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center"/>
        <w:rPr/>
      </w:pPr>
      <w:r>
        <w:rPr/>
      </w:r>
      <w:bookmarkStart w:id="0" w:name="ef20083154_formdefa14a.htm"/>
      <w:bookmarkStart w:id="1" w:name="ksef20083154_formdefa14a"/>
      <w:bookmarkStart w:id="2" w:name="ef20083154_formdefa14a.htm"/>
      <w:bookmarkStart w:id="3" w:name="ksef20083154_form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Proxy Statement Pursuant to Section 14(a)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the Securities Exchange Act of 1934 (Amendment No. )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the Registrant 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99c256ff32d64dce942c80b2654b7df1"/>
      <w:bookmarkStart w:id="5" w:name="z99c256ff32d64dce942c80b2654b7df1"/>
      <w:bookmarkEnd w:id="5"/>
    </w:p>
    <w:tbl>
      <w:tblPr>
        <w:tblW w:w="8210" w:type="dxa"/>
        <w:jc w:val="left"/>
        <w:tblInd w:w="0" w:type="dxa"/>
        <w:tblLayout w:type="fixed"/>
        <w:tblCellMar>
          <w:top w:w="0" w:type="dxa"/>
          <w:left w:w="0" w:type="dxa"/>
          <w:bottom w:w="0" w:type="dxa"/>
          <w:right w:w="0" w:type="dxa"/>
        </w:tblCellMar>
      </w:tblPr>
      <w:tblGrid>
        <w:gridCol w:w="230"/>
        <w:gridCol w:w="3620"/>
        <w:gridCol w:w="60"/>
        <w:gridCol w:w="230"/>
        <w:gridCol w:w="4070"/>
      </w:tblGrid>
      <w:tr>
        <w:trPr/>
        <w:tc>
          <w:tcPr>
            <w:tcW w:w="23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color w:val="000000"/>
              </w:rPr>
            </w:pPr>
            <w:r>
              <w:rPr>
                <w:color w:val="000000"/>
              </w:rPr>
              <w:t>Preliminary Proxy Statement</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b/>
                <w:color w:val="000000"/>
              </w:rPr>
            </w:pPr>
            <w:r>
              <w:rPr>
                <w:b/>
                <w:color w:val="000000"/>
              </w:rPr>
              <w:t>Confidential, for Use of the Commission</w:t>
            </w:r>
          </w:p>
        </w:tc>
      </w:tr>
      <w:tr>
        <w:trPr/>
        <w:tc>
          <w:tcPr>
            <w:tcW w:w="23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color w:val="000000"/>
              </w:rPr>
            </w:pPr>
            <w:r>
              <w:rPr>
                <w:color w:val="000000"/>
              </w:rPr>
              <w:t>Definitive Proxy Statement</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b/>
                <w:color w:val="000000"/>
              </w:rPr>
            </w:pPr>
            <w:r>
              <w:rPr>
                <w:b/>
                <w:color w:val="000000"/>
              </w:rPr>
              <w:t>Only (as permitted by Rule 14a-6(e)(2))</w:t>
            </w:r>
          </w:p>
        </w:tc>
      </w:tr>
      <w:tr>
        <w:trPr/>
        <w:tc>
          <w:tcPr>
            <w:tcW w:w="23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color w:val="000000"/>
              </w:rPr>
            </w:pPr>
            <w:r>
              <w:rPr>
                <w:color w:val="000000"/>
              </w:rPr>
              <w:t>Definitive Additional Materials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color w:val="000000"/>
              </w:rPr>
            </w:pPr>
            <w:r>
              <w:rPr>
                <w:color w:val="000000"/>
              </w:rPr>
              <w:t>Soliciting Material under §240.14a-12</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left"/>
              <w:rPr/>
            </w:pPr>
            <w:r>
              <w:rPr/>
              <w:t> </w:t>
            </w:r>
          </w:p>
        </w:tc>
      </w:tr>
    </w:tbl>
    <w:p>
      <w:pPr>
        <w:pStyle w:val="TextBody"/>
        <w:bidi w:val="0"/>
        <w:spacing w:before="0" w:after="0"/>
        <w:jc w:val="center"/>
        <w:rPr>
          <w:color w:val="000000"/>
        </w:rPr>
      </w:pPr>
      <w:r>
        <w:rPr>
          <w:color w:val="000000"/>
        </w:rPr>
        <w:drawing>
          <wp:inline distT="0" distB="0" distL="0" distR="0">
            <wp:extent cx="23241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24100" cy="447675"/>
                    </a:xfrm>
                    <a:prstGeom prst="rect">
                      <a:avLst/>
                    </a:prstGeom>
                  </pic:spPr>
                </pic:pic>
              </a:graphicData>
            </a:graphic>
          </wp:inline>
        </w:drawing>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SYNAPTICS INCORPORATED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0cc1add7212b4ea8b0fdaf917237e855"/>
      <w:bookmarkStart w:id="7" w:name="z0cc1add7212b4ea8b0fdaf917237e855"/>
      <w:bookmarkEnd w:id="7"/>
    </w:p>
    <w:tbl>
      <w:tblPr>
        <w:tblW w:w="1765" w:type="dxa"/>
        <w:jc w:val="left"/>
        <w:tblInd w:w="0" w:type="dxa"/>
        <w:tblLayout w:type="fixed"/>
        <w:tblCellMar>
          <w:top w:w="0" w:type="dxa"/>
          <w:left w:w="0" w:type="dxa"/>
          <w:bottom w:w="0" w:type="dxa"/>
          <w:right w:w="0" w:type="dxa"/>
        </w:tblCellMar>
      </w:tblPr>
      <w:tblGrid>
        <w:gridCol w:w="245"/>
        <w:gridCol w:w="1520"/>
      </w:tblGrid>
      <w:tr>
        <w:trPr/>
        <w:tc>
          <w:tcPr>
            <w:tcW w:w="245" w:type="dxa"/>
            <w:tcBorders/>
            <w:vAlign w:val="center"/>
          </w:tcPr>
          <w:p>
            <w:pPr>
              <w:pStyle w:val="TableContents"/>
              <w:bidi w:val="0"/>
              <w:spacing w:before="0" w:after="283"/>
              <w:jc w:val="left"/>
              <w:rPr>
                <w:color w:val="000000"/>
              </w:rPr>
            </w:pPr>
            <w:r>
              <w:rPr>
                <w:color w:val="000000"/>
              </w:rPr>
              <w:t>☒</w:t>
            </w:r>
          </w:p>
        </w:tc>
        <w:tc>
          <w:tcPr>
            <w:tcW w:w="1520" w:type="dxa"/>
            <w:tcBorders/>
            <w:vAlign w:val="center"/>
          </w:tcPr>
          <w:p>
            <w:pPr>
              <w:pStyle w:val="TableContents"/>
              <w:bidi w:val="0"/>
              <w:spacing w:before="0" w:after="0"/>
              <w:jc w:val="left"/>
              <w:rPr>
                <w:color w:val="000000"/>
              </w:rPr>
            </w:pPr>
            <w:r>
              <w:rPr>
                <w:color w:val="000000"/>
              </w:rPr>
              <w:t>No fee required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e2a380dad8c349dcb078a5dd823d548b"/>
      <w:bookmarkStart w:id="9" w:name="ze2a380dad8c349dcb078a5dd823d548b"/>
      <w:bookmarkEnd w:id="9"/>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color w:val="000000"/>
              </w:rPr>
            </w:pPr>
            <w:r>
              <w:rPr>
                <w:color w:val="000000"/>
              </w:rPr>
              <w:t>☐</w:t>
            </w:r>
          </w:p>
        </w:tc>
        <w:tc>
          <w:tcPr>
            <w:tcW w:w="4415" w:type="dxa"/>
            <w:tcBorders/>
            <w:vAlign w:val="center"/>
          </w:tcPr>
          <w:p>
            <w:pPr>
              <w:pStyle w:val="TableContents"/>
              <w:bidi w:val="0"/>
              <w:spacing w:before="0" w:after="0"/>
              <w:jc w:val="left"/>
              <w:rPr>
                <w:color w:val="000000"/>
              </w:rPr>
            </w:pPr>
            <w:r>
              <w:rPr>
                <w:color w:val="000000"/>
              </w:rPr>
              <w:t>Fee paid previously with preliminary materials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5e2bf2537e9c4a799ce7781d65062353"/>
      <w:bookmarkStart w:id="11" w:name="z5e2bf2537e9c4a799ce7781d65062353"/>
      <w:bookmarkEnd w:id="11"/>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color w:val="000000"/>
              </w:rPr>
            </w:pPr>
            <w:r>
              <w:rPr>
                <w:color w:val="000000"/>
              </w:rPr>
              <w:t>☐</w:t>
            </w:r>
          </w:p>
        </w:tc>
        <w:tc>
          <w:tcPr>
            <w:tcW w:w="9665" w:type="dxa"/>
            <w:tcBorders/>
            <w:vAlign w:val="center"/>
          </w:tcPr>
          <w:p>
            <w:pPr>
              <w:pStyle w:val="TableContents"/>
              <w:bidi w:val="0"/>
              <w:spacing w:before="0" w:after="0"/>
              <w:jc w:val="left"/>
              <w:rPr>
                <w:color w:val="000000"/>
              </w:rPr>
            </w:pPr>
            <w:r>
              <w:rPr>
                <w:color w:val="000000"/>
              </w:rPr>
              <w:t>Fee computed on table in exhibit required by Item 25(b) per Exchange Act Rules 14a-6(i)(1) and 0-11</w:t>
            </w:r>
          </w:p>
        </w:tc>
      </w:tr>
    </w:tbl>
    <w:p>
      <w:pPr>
        <w:pStyle w:val="TextBody"/>
        <w:bidi w:val="0"/>
        <w:spacing w:before="0" w:after="0"/>
        <w:jc w:val="left"/>
        <w:rPr>
          <w:color w:val="000000"/>
        </w:rPr>
      </w:pPr>
      <w:r>
        <w:rPr>
          <w:color w:val="000000"/>
        </w:rPr>
        <w:t> </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The following communication was made available by Synaptics Incorporated’s CEO, Rahul Patel, on LinkedIn on October 1, 2026</w:t>
      </w:r>
    </w:p>
    <w:p>
      <w:pPr>
        <w:pStyle w:val="TextBody"/>
        <w:bidi w:val="0"/>
        <w:jc w:val="left"/>
        <w:rPr/>
      </w:pPr>
      <w:r>
        <w:rPr/>
      </w:r>
    </w:p>
    <w:p>
      <w:pPr>
        <w:pStyle w:val="TextBody"/>
        <w:bidi w:val="0"/>
        <w:jc w:val="left"/>
        <w:rPr>
          <w:color w:val="000000"/>
        </w:rPr>
      </w:pPr>
      <w:r>
        <w:rPr>
          <w:color w:val="000000"/>
        </w:rPr>
        <w:drawing>
          <wp:inline distT="0" distB="0" distL="0" distR="0">
            <wp:extent cx="7115175" cy="5943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15175" cy="59436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Cautionary Note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current expectations, estimates and projections about the expected date of closing of the proposed transaction and the potential benefits thereof, its business and industry, management’s beliefs and certain assumptions made by Synaptics,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forward-looking statements involve known and unknown risks and uncertainties, which may cause Synaptics’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including restrictions during the pendency of the transaction that may impact the ability to pursue certain business opportunities or strategic transactions; (5) the ability of Synaptics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legislative, regulatory and economic developments; and (10) unpredictability and severity of catastrophic events, including, but not limited to, acts of terrorism or outbreak of war or hostilities, as well as Synaptics’ response to any of the aforementioned factors. These risks, as well as other risks associated with the proposed transaction, will be more fully discussed in the proxy statement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27, 2026, and its quarterly reports filed on Form 10-Q for the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Important Additional Information about the Transaction and Where To Find 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proposed transaction will be submitted to the stockholders of Synaptics for their consideration. In connection with the proposed transaction, Synaptics will file with the SEC a preliminary proxy statement on Schedule 14A. Promptly after filing its definitive proxy statement with the SEC, Synaptics will send the definitive proxy statement to each stockholder entitled to vote at the special meeting relating to the transaction. Synaptics also plans to file other documents with the SEC regarding the proposed transaction. This document is not a substitute for the proxy statement or any other document which Synaptics may file with the SEC in connection with the proposed transaction. INVESTORS AND SECURITY HOLDERS ARE URGED TO READ THE PROXY STATEMENT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hAnsi="Times New Roman"/>
          <w:color w:val="000000"/>
          <w:sz w:val="20"/>
          <w:u w:val="single"/>
        </w:rPr>
        <w:t>www.sec.gov</w:t>
      </w:r>
      <w:r>
        <w:rPr>
          <w:rFonts w:ascii="Times New Roman" w:hAnsi="Times New Roman"/>
          <w:color w:val="000000"/>
          <w:sz w:val="20"/>
        </w:rPr>
        <w:t xml:space="preserve">). In addition, investors and stockholders will be able to obtain free copies of the definitive proxy statement, preliminary proxy statement and other documents filed with the SEC by Synaptics on Synaptics Investor Relations at </w:t>
      </w:r>
      <w:r>
        <w:rPr>
          <w:rFonts w:ascii="Times New Roman" w:hAnsi="Times New Roman"/>
          <w:color w:val="000000"/>
          <w:sz w:val="20"/>
          <w:u w:val="single"/>
        </w:rPr>
        <w:t>https://investor.synaptics.com/</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Participants in the Solicitation</w:t>
      </w:r>
    </w:p>
    <w:p>
      <w:pPr>
        <w:pStyle w:val="TextBody"/>
        <w:bidi w:val="0"/>
        <w:spacing w:before="0" w:after="0"/>
        <w:jc w:val="left"/>
        <w:rPr/>
      </w:pPr>
      <w:r>
        <w:rPr/>
      </w:r>
    </w:p>
    <w:p>
      <w:pPr>
        <w:pStyle w:val="TextBody"/>
        <w:bidi w:val="0"/>
        <w:spacing w:before="0" w:after="0"/>
        <w:jc w:val="both"/>
        <w:rPr/>
      </w:pPr>
      <w:r>
        <w:rPr>
          <w:rFonts w:ascii="Times New Roman" w:hAnsi="Times New Roman"/>
          <w:color w:val="000000"/>
          <w:sz w:val="20"/>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Pay-Ratio Disclosure,” “Pay Versus Performance Disclosure” and “Beneficial Ownership of Certain Stockholders” in its definitive proxy statement filed with the SEC on </w:t>
      </w:r>
      <w:hyperlink r:id="rId4">
        <w:r>
          <w:rPr>
            <w:rStyle w:val="InternetLink"/>
            <w:rFonts w:ascii="Times New Roman" w:hAnsi="Times New Roman"/>
            <w:color w:val="000000"/>
            <w:sz w:val="20"/>
            <w:u w:val="single"/>
          </w:rPr>
          <w:t>September 15, 2026</w:t>
        </w:r>
      </w:hyperlink>
      <w:r>
        <w:rPr>
          <w:rFonts w:ascii="Times New Roman" w:hAnsi="Times New Roman"/>
          <w:color w:val="000000"/>
          <w:sz w:val="20"/>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https://www.sec.gov/edgar/browse/?CIK=817720&amp;owner=exclude</w:t>
      </w:r>
      <w:r>
        <w:rPr>
          <w:rFonts w:ascii="Times New Roman" w:hAnsi="Times New Roman"/>
          <w:color w:val="000000"/>
          <w:sz w:val="20"/>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5">
        <w:r>
          <w:rPr>
            <w:rStyle w:val="InternetLink"/>
            <w:rFonts w:ascii="Times New Roman" w:hAnsi="Times New Roman"/>
            <w:color w:val="000000"/>
            <w:sz w:val="20"/>
            <w:u w:val="single"/>
          </w:rPr>
          <w:t>April 2, 2026</w:t>
        </w:r>
      </w:hyperlink>
      <w:r>
        <w:rPr>
          <w:rFonts w:ascii="Times New Roman" w:hAnsi="Times New Roman"/>
          <w:color w:val="000000"/>
          <w:sz w:val="20"/>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https://www.sec.gov/edgar/browse/?CIK=1097864&amp;owner=exclude</w:t>
      </w:r>
      <w:r>
        <w:rPr>
          <w:rFonts w:ascii="Times New Roman" w:hAnsi="Times New Roman"/>
          <w:color w:val="000000"/>
          <w:sz w:val="20"/>
        </w:rPr>
        <w:t xml:space="preserve"> under the tab “Ownership Disclosures”. Additional information about Synaptics’ executive officers and directors and onsemi’s executive officers and directors can be found in the above-referenced proxy statement when it becomes available.</w:t>
      </w:r>
    </w:p>
    <w:p>
      <w:pPr>
        <w:pStyle w:val="TextBody"/>
        <w:bidi w:val="0"/>
        <w:spacing w:before="0" w:after="0"/>
        <w:jc w:val="both"/>
        <w:rPr>
          <w:color w:val="000000"/>
        </w:rPr>
      </w:pPr>
      <w:r>
        <w:rPr>
          <w:color w:val="000000"/>
        </w:rPr>
      </w:r>
    </w:p>
    <w:p>
      <w:pPr>
        <w:pStyle w:val="TextBody"/>
        <w:bidi w:val="0"/>
        <w:spacing w:before="0" w:after="0"/>
        <w:jc w:val="both"/>
        <w:rPr>
          <w:color w:val="000000"/>
        </w:rPr>
      </w:pPr>
      <w:r>
        <w:rPr>
          <w:color w:val="000000"/>
        </w:rPr>
      </w:r>
    </w:p>
    <w:p>
      <w:pPr>
        <w:pStyle w:val="HorizontalLine"/>
        <w:pBdr>
          <w:bottom w:val="single" w:sz="12" w:space="0" w:color="808080"/>
        </w:pBdr>
        <w:bidi w:val="0"/>
        <w:spacing w:before="0" w:after="283"/>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0000817720/000081772026000075/syna-20260915.htm" TargetMode="External"/><Relationship Id="rId5" Type="http://schemas.openxmlformats.org/officeDocument/2006/relationships/hyperlink" Target="https://www.sec.gov/ix?doc=/Archives/edgar/data/1097864/000109786426000010/on-202604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1264</Words>
  <Characters>7420</Characters>
  <CharactersWithSpaces>8656</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