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668655</wp:posOffset>
            </wp:positionH>
            <wp:positionV relativeFrom="page">
              <wp:posOffset>149860</wp:posOffset>
            </wp:positionV>
            <wp:extent cx="62242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4270" cy="7620"/>
                    </a:xfrm>
                    <a:prstGeom prst="rect">
                      <a:avLst/>
                    </a:prstGeom>
                    <a:noFill/>
                  </pic:spPr>
                </pic:pic>
              </a:graphicData>
            </a:graphic>
          </wp:anchor>
        </w:drawing>
        <w:drawing>
          <wp:anchor simplePos="0" relativeHeight="251657728" behindDoc="1" locked="0" layoutInCell="0" allowOverlap="1">
            <wp:simplePos x="0" y="0"/>
            <wp:positionH relativeFrom="page">
              <wp:posOffset>668655</wp:posOffset>
            </wp:positionH>
            <wp:positionV relativeFrom="page">
              <wp:posOffset>180340</wp:posOffset>
            </wp:positionV>
            <wp:extent cx="62242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4270" cy="7620"/>
                    </a:xfrm>
                    <a:prstGeom prst="rect">
                      <a:avLst/>
                    </a:prstGeom>
                    <a:noFill/>
                  </pic:spPr>
                </pic:pic>
              </a:graphicData>
            </a:graphic>
          </wp:anchor>
        </w:drawing>
        <w:t>UNITED STATES</w:t>
      </w:r>
    </w:p>
    <w:p>
      <w:pPr>
        <w:spacing w:after="0" w:line="15" w:lineRule="exact"/>
        <w:rPr>
          <w:sz w:val="24"/>
          <w:szCs w:val="24"/>
          <w:color w:val="auto"/>
        </w:rPr>
      </w:pPr>
    </w:p>
    <w:p>
      <w:pPr>
        <w:jc w:val="center"/>
        <w:ind w:right="-6"/>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6"/>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183515</wp:posOffset>
            </wp:positionV>
            <wp:extent cx="13119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6"/>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200660</wp:posOffset>
            </wp:positionV>
            <wp:extent cx="13119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PURSUANT TO SECTION 13 OR 15(d)</w:t>
      </w:r>
    </w:p>
    <w:p>
      <w:pPr>
        <w:jc w:val="center"/>
        <w:ind w:right="-6"/>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8"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November 7, 2019</w:t>
      </w:r>
    </w:p>
    <w:p>
      <w:pPr>
        <w:spacing w:after="0" w:line="20"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183515</wp:posOffset>
            </wp:positionV>
            <wp:extent cx="13119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6"/>
        <w:spacing w:after="0"/>
        <w:rPr>
          <w:sz w:val="20"/>
          <w:szCs w:val="20"/>
          <w:color w:val="auto"/>
        </w:rPr>
      </w:pPr>
      <w:r>
        <w:rPr>
          <w:rFonts w:ascii="Arial" w:cs="Arial" w:eastAsia="Arial" w:hAnsi="Arial"/>
          <w:sz w:val="38"/>
          <w:szCs w:val="38"/>
          <w:b w:val="1"/>
          <w:bCs w:val="1"/>
          <w:color w:val="auto"/>
        </w:rPr>
        <w:t>SYNAPTICS INCORPORATED</w:t>
      </w:r>
    </w:p>
    <w:p>
      <w:pPr>
        <w:spacing w:after="0" w:line="47"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187325</wp:posOffset>
            </wp:positionV>
            <wp:extent cx="13119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tbl>
      <w:tblPr>
        <w:tblLayout w:type="fixed"/>
        <w:tblInd w:w="887" w:type="dxa"/>
        <w:tblCellMar>
          <w:top w:w="0" w:type="dxa"/>
          <w:left w:w="0" w:type="dxa"/>
          <w:bottom w:w="0" w:type="dxa"/>
          <w:right w:w="0" w:type="dxa"/>
        </w:tblCellMar>
      </w:tblPr>
      <w:tr>
        <w:trPr>
          <w:trHeight w:val="189"/>
        </w:trPr>
        <w:tc>
          <w:tcPr>
            <w:tcW w:w="2020" w:type="dxa"/>
            <w:vAlign w:val="bottom"/>
          </w:tcPr>
          <w:p>
            <w:pPr>
              <w:jc w:val="center"/>
              <w:ind w:right="411"/>
              <w:spacing w:after="0"/>
              <w:rPr>
                <w:sz w:val="20"/>
                <w:szCs w:val="20"/>
                <w:color w:val="auto"/>
              </w:rPr>
            </w:pPr>
            <w:r>
              <w:rPr>
                <w:rFonts w:ascii="Arial" w:cs="Arial" w:eastAsia="Arial" w:hAnsi="Arial"/>
                <w:sz w:val="16"/>
                <w:szCs w:val="16"/>
                <w:b w:val="1"/>
                <w:bCs w:val="1"/>
                <w:color w:val="auto"/>
                <w:w w:val="97"/>
              </w:rPr>
              <w:t>DELAWARE</w:t>
            </w:r>
          </w:p>
        </w:tc>
        <w:tc>
          <w:tcPr>
            <w:tcW w:w="4160" w:type="dxa"/>
            <w:vAlign w:val="bottom"/>
          </w:tcPr>
          <w:p>
            <w:pPr>
              <w:ind w:left="1700"/>
              <w:spacing w:after="0"/>
              <w:rPr>
                <w:sz w:val="20"/>
                <w:szCs w:val="20"/>
                <w:color w:val="auto"/>
              </w:rPr>
            </w:pPr>
            <w:r>
              <w:rPr>
                <w:rFonts w:ascii="Arial" w:cs="Arial" w:eastAsia="Arial" w:hAnsi="Arial"/>
                <w:sz w:val="16"/>
                <w:szCs w:val="16"/>
                <w:b w:val="1"/>
                <w:bCs w:val="1"/>
                <w:color w:val="auto"/>
              </w:rPr>
              <w:t>000-49602</w:t>
            </w:r>
          </w:p>
        </w:tc>
        <w:tc>
          <w:tcPr>
            <w:tcW w:w="1660" w:type="dxa"/>
            <w:vAlign w:val="bottom"/>
          </w:tcPr>
          <w:p>
            <w:pPr>
              <w:jc w:val="center"/>
              <w:ind w:left="591"/>
              <w:spacing w:after="0"/>
              <w:rPr>
                <w:sz w:val="20"/>
                <w:szCs w:val="20"/>
                <w:color w:val="auto"/>
              </w:rPr>
            </w:pPr>
            <w:r>
              <w:rPr>
                <w:rFonts w:ascii="Arial" w:cs="Arial" w:eastAsia="Arial" w:hAnsi="Arial"/>
                <w:sz w:val="16"/>
                <w:szCs w:val="16"/>
                <w:b w:val="1"/>
                <w:bCs w:val="1"/>
                <w:color w:val="auto"/>
                <w:w w:val="88"/>
              </w:rPr>
              <w:t>77-0118518</w:t>
            </w:r>
          </w:p>
        </w:tc>
      </w:tr>
      <w:tr>
        <w:trPr>
          <w:trHeight w:val="132"/>
        </w:trPr>
        <w:tc>
          <w:tcPr>
            <w:tcW w:w="2020" w:type="dxa"/>
            <w:vAlign w:val="bottom"/>
          </w:tcPr>
          <w:p>
            <w:pPr>
              <w:jc w:val="center"/>
              <w:ind w:right="431"/>
              <w:spacing w:after="0" w:line="133" w:lineRule="exact"/>
              <w:rPr>
                <w:sz w:val="20"/>
                <w:szCs w:val="20"/>
                <w:color w:val="auto"/>
              </w:rPr>
            </w:pPr>
            <w:r>
              <w:rPr>
                <w:rFonts w:ascii="Arial" w:cs="Arial" w:eastAsia="Arial" w:hAnsi="Arial"/>
                <w:sz w:val="13"/>
                <w:szCs w:val="13"/>
                <w:b w:val="1"/>
                <w:bCs w:val="1"/>
                <w:color w:val="auto"/>
                <w:w w:val="90"/>
              </w:rPr>
              <w:t>(State or Other Jurisdiction</w:t>
            </w:r>
          </w:p>
        </w:tc>
        <w:tc>
          <w:tcPr>
            <w:tcW w:w="4160" w:type="dxa"/>
            <w:vAlign w:val="bottom"/>
          </w:tcPr>
          <w:p>
            <w:pPr>
              <w:ind w:left="1700"/>
              <w:spacing w:after="0" w:line="133" w:lineRule="exact"/>
              <w:rPr>
                <w:sz w:val="20"/>
                <w:szCs w:val="20"/>
                <w:color w:val="auto"/>
              </w:rPr>
            </w:pPr>
            <w:r>
              <w:rPr>
                <w:rFonts w:ascii="Arial" w:cs="Arial" w:eastAsia="Arial" w:hAnsi="Arial"/>
                <w:sz w:val="13"/>
                <w:szCs w:val="13"/>
                <w:b w:val="1"/>
                <w:bCs w:val="1"/>
                <w:color w:val="auto"/>
              </w:rPr>
              <w:t>(Commission</w:t>
            </w:r>
          </w:p>
        </w:tc>
        <w:tc>
          <w:tcPr>
            <w:tcW w:w="1660" w:type="dxa"/>
            <w:vAlign w:val="bottom"/>
          </w:tcPr>
          <w:p>
            <w:pPr>
              <w:jc w:val="center"/>
              <w:ind w:left="611"/>
              <w:spacing w:after="0" w:line="133" w:lineRule="exact"/>
              <w:rPr>
                <w:sz w:val="20"/>
                <w:szCs w:val="20"/>
                <w:color w:val="auto"/>
              </w:rPr>
            </w:pPr>
            <w:r>
              <w:rPr>
                <w:rFonts w:ascii="Arial" w:cs="Arial" w:eastAsia="Arial" w:hAnsi="Arial"/>
                <w:sz w:val="13"/>
                <w:szCs w:val="13"/>
                <w:b w:val="1"/>
                <w:bCs w:val="1"/>
                <w:color w:val="auto"/>
                <w:w w:val="92"/>
              </w:rPr>
              <w:t>(IRS Employer</w:t>
            </w:r>
          </w:p>
        </w:tc>
      </w:tr>
      <w:tr>
        <w:trPr>
          <w:trHeight w:val="166"/>
        </w:trPr>
        <w:tc>
          <w:tcPr>
            <w:tcW w:w="2020" w:type="dxa"/>
            <w:vAlign w:val="bottom"/>
          </w:tcPr>
          <w:p>
            <w:pPr>
              <w:jc w:val="center"/>
              <w:ind w:right="411"/>
              <w:spacing w:after="0"/>
              <w:rPr>
                <w:sz w:val="20"/>
                <w:szCs w:val="20"/>
                <w:color w:val="auto"/>
              </w:rPr>
            </w:pPr>
            <w:r>
              <w:rPr>
                <w:rFonts w:ascii="Arial" w:cs="Arial" w:eastAsia="Arial" w:hAnsi="Arial"/>
                <w:sz w:val="13"/>
                <w:szCs w:val="13"/>
                <w:b w:val="1"/>
                <w:bCs w:val="1"/>
                <w:color w:val="auto"/>
                <w:w w:val="90"/>
              </w:rPr>
              <w:t>of Incorporation)</w:t>
            </w:r>
          </w:p>
        </w:tc>
        <w:tc>
          <w:tcPr>
            <w:tcW w:w="4160" w:type="dxa"/>
            <w:vAlign w:val="bottom"/>
          </w:tcPr>
          <w:p>
            <w:pPr>
              <w:ind w:left="1680"/>
              <w:spacing w:after="0"/>
              <w:rPr>
                <w:sz w:val="20"/>
                <w:szCs w:val="20"/>
                <w:color w:val="auto"/>
              </w:rPr>
            </w:pPr>
            <w:r>
              <w:rPr>
                <w:rFonts w:ascii="Arial" w:cs="Arial" w:eastAsia="Arial" w:hAnsi="Arial"/>
                <w:sz w:val="13"/>
                <w:szCs w:val="13"/>
                <w:b w:val="1"/>
                <w:bCs w:val="1"/>
                <w:color w:val="auto"/>
              </w:rPr>
              <w:t>File Number)</w:t>
            </w:r>
          </w:p>
        </w:tc>
        <w:tc>
          <w:tcPr>
            <w:tcW w:w="1660" w:type="dxa"/>
            <w:vAlign w:val="bottom"/>
          </w:tcPr>
          <w:p>
            <w:pPr>
              <w:jc w:val="center"/>
              <w:ind w:left="591"/>
              <w:spacing w:after="0"/>
              <w:rPr>
                <w:sz w:val="20"/>
                <w:szCs w:val="20"/>
                <w:color w:val="auto"/>
              </w:rPr>
            </w:pPr>
            <w:r>
              <w:rPr>
                <w:rFonts w:ascii="Arial" w:cs="Arial" w:eastAsia="Arial" w:hAnsi="Arial"/>
                <w:sz w:val="13"/>
                <w:szCs w:val="13"/>
                <w:b w:val="1"/>
                <w:bCs w:val="1"/>
                <w:color w:val="auto"/>
                <w:w w:val="91"/>
              </w:rPr>
              <w:t>Identification No.)</w:t>
            </w:r>
          </w:p>
        </w:tc>
      </w:tr>
      <w:tr>
        <w:trPr>
          <w:trHeight w:val="354"/>
        </w:trPr>
        <w:tc>
          <w:tcPr>
            <w:tcW w:w="2020" w:type="dxa"/>
            <w:vAlign w:val="bottom"/>
          </w:tcPr>
          <w:p>
            <w:pPr>
              <w:spacing w:after="0"/>
              <w:rPr>
                <w:sz w:val="24"/>
                <w:szCs w:val="24"/>
                <w:color w:val="auto"/>
              </w:rPr>
            </w:pPr>
          </w:p>
        </w:tc>
        <w:tc>
          <w:tcPr>
            <w:tcW w:w="4160" w:type="dxa"/>
            <w:vAlign w:val="bottom"/>
          </w:tcPr>
          <w:p>
            <w:pPr>
              <w:jc w:val="center"/>
              <w:ind w:right="108"/>
              <w:spacing w:after="0"/>
              <w:rPr>
                <w:sz w:val="20"/>
                <w:szCs w:val="20"/>
                <w:color w:val="auto"/>
              </w:rPr>
            </w:pPr>
            <w:r>
              <w:rPr>
                <w:rFonts w:ascii="Arial" w:cs="Arial" w:eastAsia="Arial" w:hAnsi="Arial"/>
                <w:sz w:val="16"/>
                <w:szCs w:val="16"/>
                <w:b w:val="1"/>
                <w:bCs w:val="1"/>
                <w:color w:val="auto"/>
                <w:w w:val="95"/>
              </w:rPr>
              <w:t>1251 McKay Drive</w:t>
            </w:r>
          </w:p>
        </w:tc>
        <w:tc>
          <w:tcPr>
            <w:tcW w:w="1660" w:type="dxa"/>
            <w:vAlign w:val="bottom"/>
          </w:tcPr>
          <w:p>
            <w:pPr>
              <w:spacing w:after="0"/>
              <w:rPr>
                <w:sz w:val="24"/>
                <w:szCs w:val="24"/>
                <w:color w:val="auto"/>
              </w:rPr>
            </w:pPr>
          </w:p>
        </w:tc>
      </w:tr>
      <w:tr>
        <w:trPr>
          <w:trHeight w:val="189"/>
        </w:trPr>
        <w:tc>
          <w:tcPr>
            <w:tcW w:w="2020" w:type="dxa"/>
            <w:vAlign w:val="bottom"/>
          </w:tcPr>
          <w:p>
            <w:pPr>
              <w:spacing w:after="0"/>
              <w:rPr>
                <w:sz w:val="16"/>
                <w:szCs w:val="16"/>
                <w:color w:val="auto"/>
              </w:rPr>
            </w:pPr>
          </w:p>
        </w:tc>
        <w:tc>
          <w:tcPr>
            <w:tcW w:w="4160" w:type="dxa"/>
            <w:vAlign w:val="bottom"/>
          </w:tcPr>
          <w:p>
            <w:pPr>
              <w:jc w:val="center"/>
              <w:ind w:right="108"/>
              <w:spacing w:after="0"/>
              <w:rPr>
                <w:sz w:val="20"/>
                <w:szCs w:val="20"/>
                <w:color w:val="auto"/>
              </w:rPr>
            </w:pPr>
            <w:r>
              <w:rPr>
                <w:rFonts w:ascii="Arial" w:cs="Arial" w:eastAsia="Arial" w:hAnsi="Arial"/>
                <w:sz w:val="16"/>
                <w:szCs w:val="16"/>
                <w:b w:val="1"/>
                <w:bCs w:val="1"/>
                <w:color w:val="auto"/>
                <w:w w:val="90"/>
              </w:rPr>
              <w:t>San Jose, California 95131</w:t>
            </w:r>
          </w:p>
        </w:tc>
        <w:tc>
          <w:tcPr>
            <w:tcW w:w="1660" w:type="dxa"/>
            <w:vAlign w:val="bottom"/>
          </w:tcPr>
          <w:p>
            <w:pPr>
              <w:spacing w:after="0"/>
              <w:rPr>
                <w:sz w:val="16"/>
                <w:szCs w:val="16"/>
                <w:color w:val="auto"/>
              </w:rPr>
            </w:pPr>
          </w:p>
        </w:tc>
      </w:tr>
      <w:tr>
        <w:trPr>
          <w:trHeight w:val="166"/>
        </w:trPr>
        <w:tc>
          <w:tcPr>
            <w:tcW w:w="2020" w:type="dxa"/>
            <w:vAlign w:val="bottom"/>
          </w:tcPr>
          <w:p>
            <w:pPr>
              <w:spacing w:after="0"/>
              <w:rPr>
                <w:sz w:val="14"/>
                <w:szCs w:val="14"/>
                <w:color w:val="auto"/>
              </w:rPr>
            </w:pPr>
          </w:p>
        </w:tc>
        <w:tc>
          <w:tcPr>
            <w:tcW w:w="4160" w:type="dxa"/>
            <w:vAlign w:val="bottom"/>
          </w:tcPr>
          <w:p>
            <w:pPr>
              <w:jc w:val="center"/>
              <w:ind w:right="108"/>
              <w:spacing w:after="0"/>
              <w:rPr>
                <w:sz w:val="20"/>
                <w:szCs w:val="20"/>
                <w:color w:val="auto"/>
              </w:rPr>
            </w:pPr>
            <w:r>
              <w:rPr>
                <w:rFonts w:ascii="Arial" w:cs="Arial" w:eastAsia="Arial" w:hAnsi="Arial"/>
                <w:sz w:val="13"/>
                <w:szCs w:val="13"/>
                <w:b w:val="1"/>
                <w:bCs w:val="1"/>
                <w:color w:val="auto"/>
                <w:w w:val="89"/>
              </w:rPr>
              <w:t>(Address of Principal Executive Offices) (Zip Code)</w:t>
            </w:r>
          </w:p>
        </w:tc>
        <w:tc>
          <w:tcPr>
            <w:tcW w:w="1660" w:type="dxa"/>
            <w:vAlign w:val="bottom"/>
          </w:tcPr>
          <w:p>
            <w:pPr>
              <w:spacing w:after="0"/>
              <w:rPr>
                <w:sz w:val="14"/>
                <w:szCs w:val="14"/>
                <w:color w:val="auto"/>
              </w:rPr>
            </w:pPr>
          </w:p>
        </w:tc>
      </w:tr>
      <w:tr>
        <w:trPr>
          <w:trHeight w:val="350"/>
        </w:trPr>
        <w:tc>
          <w:tcPr>
            <w:tcW w:w="2020" w:type="dxa"/>
            <w:vAlign w:val="bottom"/>
          </w:tcPr>
          <w:p>
            <w:pPr>
              <w:spacing w:after="0"/>
              <w:rPr>
                <w:sz w:val="24"/>
                <w:szCs w:val="24"/>
                <w:color w:val="auto"/>
              </w:rPr>
            </w:pPr>
          </w:p>
        </w:tc>
        <w:tc>
          <w:tcPr>
            <w:tcW w:w="4160" w:type="dxa"/>
            <w:vAlign w:val="bottom"/>
          </w:tcPr>
          <w:p>
            <w:pPr>
              <w:jc w:val="center"/>
              <w:ind w:right="108"/>
              <w:spacing w:after="0"/>
              <w:rPr>
                <w:sz w:val="20"/>
                <w:szCs w:val="20"/>
                <w:color w:val="auto"/>
              </w:rPr>
            </w:pPr>
            <w:r>
              <w:rPr>
                <w:rFonts w:ascii="Arial" w:cs="Arial" w:eastAsia="Arial" w:hAnsi="Arial"/>
                <w:sz w:val="16"/>
                <w:szCs w:val="16"/>
                <w:b w:val="1"/>
                <w:bCs w:val="1"/>
                <w:color w:val="auto"/>
                <w:w w:val="89"/>
              </w:rPr>
              <w:t>(408) 904-1100</w:t>
            </w:r>
          </w:p>
        </w:tc>
        <w:tc>
          <w:tcPr>
            <w:tcW w:w="1660" w:type="dxa"/>
            <w:vAlign w:val="bottom"/>
          </w:tcPr>
          <w:p>
            <w:pPr>
              <w:spacing w:after="0"/>
              <w:rPr>
                <w:sz w:val="24"/>
                <w:szCs w:val="24"/>
                <w:color w:val="auto"/>
              </w:rPr>
            </w:pPr>
          </w:p>
        </w:tc>
      </w:tr>
      <w:tr>
        <w:trPr>
          <w:trHeight w:val="166"/>
        </w:trPr>
        <w:tc>
          <w:tcPr>
            <w:tcW w:w="2020" w:type="dxa"/>
            <w:vAlign w:val="bottom"/>
          </w:tcPr>
          <w:p>
            <w:pPr>
              <w:spacing w:after="0"/>
              <w:rPr>
                <w:sz w:val="14"/>
                <w:szCs w:val="14"/>
                <w:color w:val="auto"/>
              </w:rPr>
            </w:pPr>
          </w:p>
        </w:tc>
        <w:tc>
          <w:tcPr>
            <w:tcW w:w="4160" w:type="dxa"/>
            <w:vAlign w:val="bottom"/>
          </w:tcPr>
          <w:p>
            <w:pPr>
              <w:jc w:val="center"/>
              <w:ind w:right="108"/>
              <w:spacing w:after="0"/>
              <w:rPr>
                <w:sz w:val="20"/>
                <w:szCs w:val="20"/>
                <w:color w:val="auto"/>
              </w:rPr>
            </w:pPr>
            <w:r>
              <w:rPr>
                <w:rFonts w:ascii="Arial" w:cs="Arial" w:eastAsia="Arial" w:hAnsi="Arial"/>
                <w:sz w:val="13"/>
                <w:szCs w:val="13"/>
                <w:b w:val="1"/>
                <w:bCs w:val="1"/>
                <w:color w:val="auto"/>
                <w:w w:val="89"/>
              </w:rPr>
              <w:t>(Registrant’s Telephone Number, Including Area Code)</w:t>
            </w:r>
          </w:p>
        </w:tc>
        <w:tc>
          <w:tcPr>
            <w:tcW w:w="16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173990</wp:posOffset>
            </wp:positionV>
            <wp:extent cx="13119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7" w:right="420"/>
        <w:spacing w:after="0" w:line="277"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56" w:lineRule="exact"/>
        <w:rPr>
          <w:sz w:val="24"/>
          <w:szCs w:val="24"/>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04"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04"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04"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ind w:left="7"/>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6" w:lineRule="exact"/>
        <w:rPr>
          <w:sz w:val="24"/>
          <w:szCs w:val="24"/>
          <w:color w:val="auto"/>
        </w:rPr>
      </w:pPr>
    </w:p>
    <w:tbl>
      <w:tblPr>
        <w:tblLayout w:type="fixed"/>
        <w:tblInd w:w="7" w:type="dxa"/>
        <w:tblCellMar>
          <w:top w:w="0" w:type="dxa"/>
          <w:left w:w="0" w:type="dxa"/>
          <w:bottom w:w="0" w:type="dxa"/>
          <w:right w:w="0" w:type="dxa"/>
        </w:tblCellMar>
      </w:tblPr>
      <w:tr>
        <w:trPr>
          <w:trHeight w:val="149"/>
        </w:trPr>
        <w:tc>
          <w:tcPr>
            <w:tcW w:w="3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Title of each class</w:t>
            </w:r>
          </w:p>
        </w:tc>
        <w:tc>
          <w:tcPr>
            <w:tcW w:w="40" w:type="dxa"/>
            <w:vAlign w:val="bottom"/>
          </w:tcPr>
          <w:p>
            <w:pPr>
              <w:spacing w:after="0"/>
              <w:rPr>
                <w:sz w:val="12"/>
                <w:szCs w:val="12"/>
                <w:color w:val="auto"/>
              </w:rPr>
            </w:pPr>
          </w:p>
        </w:tc>
        <w:tc>
          <w:tcPr>
            <w:tcW w:w="3220" w:type="dxa"/>
            <w:vAlign w:val="bottom"/>
          </w:tcPr>
          <w:p>
            <w:pPr>
              <w:ind w:left="1400"/>
              <w:spacing w:after="0"/>
              <w:rPr>
                <w:sz w:val="20"/>
                <w:szCs w:val="20"/>
                <w:color w:val="auto"/>
              </w:rPr>
            </w:pPr>
            <w:r>
              <w:rPr>
                <w:rFonts w:ascii="Arial" w:cs="Arial" w:eastAsia="Arial" w:hAnsi="Arial"/>
                <w:sz w:val="13"/>
                <w:szCs w:val="13"/>
                <w:b w:val="1"/>
                <w:bCs w:val="1"/>
                <w:color w:val="auto"/>
              </w:rPr>
              <w:t>Trading</w:t>
            </w:r>
          </w:p>
        </w:tc>
        <w:tc>
          <w:tcPr>
            <w:tcW w:w="100" w:type="dxa"/>
            <w:vAlign w:val="bottom"/>
          </w:tcPr>
          <w:p>
            <w:pPr>
              <w:spacing w:after="0"/>
              <w:rPr>
                <w:sz w:val="12"/>
                <w:szCs w:val="12"/>
                <w:color w:val="auto"/>
              </w:rPr>
            </w:pPr>
          </w:p>
        </w:tc>
        <w:tc>
          <w:tcPr>
            <w:tcW w:w="314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w:t>
            </w:r>
          </w:p>
        </w:tc>
        <w:tc>
          <w:tcPr>
            <w:tcW w:w="0" w:type="dxa"/>
            <w:vAlign w:val="bottom"/>
          </w:tcPr>
          <w:p>
            <w:pPr>
              <w:spacing w:after="0"/>
              <w:rPr>
                <w:sz w:val="1"/>
                <w:szCs w:val="1"/>
                <w:color w:val="auto"/>
              </w:rPr>
            </w:pPr>
          </w:p>
        </w:tc>
      </w:tr>
      <w:tr>
        <w:trPr>
          <w:trHeight w:val="152"/>
        </w:trPr>
        <w:tc>
          <w:tcPr>
            <w:tcW w:w="330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3220" w:type="dxa"/>
            <w:vAlign w:val="bottom"/>
            <w:tcBorders>
              <w:bottom w:val="single" w:sz="8" w:color="auto"/>
            </w:tcBorders>
          </w:tcPr>
          <w:p>
            <w:pPr>
              <w:ind w:left="1400"/>
              <w:spacing w:after="0"/>
              <w:rPr>
                <w:sz w:val="20"/>
                <w:szCs w:val="20"/>
                <w:color w:val="auto"/>
              </w:rPr>
            </w:pPr>
            <w:r>
              <w:rPr>
                <w:rFonts w:ascii="Arial" w:cs="Arial" w:eastAsia="Arial" w:hAnsi="Arial"/>
                <w:sz w:val="13"/>
                <w:szCs w:val="13"/>
                <w:b w:val="1"/>
                <w:bCs w:val="1"/>
                <w:color w:val="auto"/>
              </w:rPr>
              <w:t>Symbol</w:t>
            </w:r>
          </w:p>
        </w:tc>
        <w:tc>
          <w:tcPr>
            <w:tcW w:w="100" w:type="dxa"/>
            <w:vAlign w:val="bottom"/>
          </w:tcPr>
          <w:p>
            <w:pPr>
              <w:spacing w:after="0"/>
              <w:rPr>
                <w:sz w:val="13"/>
                <w:szCs w:val="13"/>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201"/>
        </w:trPr>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0"/>
              </w:rPr>
              <w:t>Common Stock, par value $.001 per share</w:t>
            </w:r>
          </w:p>
        </w:tc>
        <w:tc>
          <w:tcPr>
            <w:tcW w:w="40" w:type="dxa"/>
            <w:vAlign w:val="bottom"/>
          </w:tcPr>
          <w:p>
            <w:pPr>
              <w:spacing w:after="0"/>
              <w:rPr>
                <w:sz w:val="17"/>
                <w:szCs w:val="17"/>
                <w:color w:val="auto"/>
              </w:rPr>
            </w:pPr>
          </w:p>
        </w:tc>
        <w:tc>
          <w:tcPr>
            <w:tcW w:w="3220" w:type="dxa"/>
            <w:vAlign w:val="bottom"/>
          </w:tcPr>
          <w:p>
            <w:pPr>
              <w:ind w:left="1400"/>
              <w:spacing w:after="0"/>
              <w:rPr>
                <w:sz w:val="20"/>
                <w:szCs w:val="20"/>
                <w:color w:val="auto"/>
              </w:rPr>
            </w:pPr>
            <w:r>
              <w:rPr>
                <w:rFonts w:ascii="Arial" w:cs="Arial" w:eastAsia="Arial" w:hAnsi="Arial"/>
                <w:sz w:val="16"/>
                <w:szCs w:val="16"/>
                <w:b w:val="1"/>
                <w:bCs w:val="1"/>
                <w:color w:val="auto"/>
              </w:rPr>
              <w:t>SYNA</w:t>
            </w:r>
          </w:p>
        </w:tc>
        <w:tc>
          <w:tcPr>
            <w:tcW w:w="10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93"/>
              </w:rPr>
              <w:t>The NASDAQ Global Select Market</w:t>
            </w:r>
          </w:p>
        </w:tc>
        <w:tc>
          <w:tcPr>
            <w:tcW w:w="0" w:type="dxa"/>
            <w:vAlign w:val="bottom"/>
          </w:tcPr>
          <w:p>
            <w:pPr>
              <w:spacing w:after="0"/>
              <w:rPr>
                <w:sz w:val="1"/>
                <w:szCs w:val="1"/>
                <w:color w:val="auto"/>
              </w:rPr>
            </w:pPr>
          </w:p>
        </w:tc>
      </w:tr>
    </w:tbl>
    <w:p>
      <w:pPr>
        <w:spacing w:after="0" w:line="163" w:lineRule="exact"/>
        <w:rPr>
          <w:sz w:val="24"/>
          <w:szCs w:val="24"/>
          <w:color w:val="auto"/>
        </w:rPr>
      </w:pPr>
    </w:p>
    <w:p>
      <w:pPr>
        <w:ind w:left="7" w:right="540"/>
        <w:spacing w:after="0" w:line="312" w:lineRule="auto"/>
        <w:rPr>
          <w:sz w:val="20"/>
          <w:szCs w:val="20"/>
          <w:color w:val="auto"/>
        </w:rPr>
      </w:pPr>
      <w:r>
        <w:rPr>
          <w:rFonts w:ascii="Arial" w:cs="Arial" w:eastAsia="Arial" w:hAnsi="Arial"/>
          <w:sz w:val="15"/>
          <w:szCs w:val="15"/>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98" w:lineRule="exact"/>
        <w:rPr>
          <w:sz w:val="24"/>
          <w:szCs w:val="24"/>
          <w:color w:val="auto"/>
        </w:rPr>
      </w:pPr>
    </w:p>
    <w:p>
      <w:pPr>
        <w:ind w:left="7"/>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0" w:lineRule="exact"/>
        <w:rPr>
          <w:sz w:val="24"/>
          <w:szCs w:val="24"/>
          <w:color w:val="auto"/>
        </w:rPr>
      </w:pPr>
    </w:p>
    <w:p>
      <w:pPr>
        <w:ind w:left="7" w:right="2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2242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4270" cy="7620"/>
                    </a:xfrm>
                    <a:prstGeom prst="rect">
                      <a:avLst/>
                    </a:prstGeom>
                    <a:noFill/>
                  </pic:spPr>
                </pic:pic>
              </a:graphicData>
            </a:graphic>
          </wp:anchor>
        </w:drawing>
      </w:r>
    </w:p>
    <w:p>
      <w:pPr>
        <w:sectPr>
          <w:pgSz w:w="11900" w:h="16838" w:orient="portrait"/>
          <w:cols w:equalWidth="0" w:num="1">
            <w:col w:w="9807"/>
          </w:cols>
          <w:pgMar w:left="1053" w:top="319" w:right="10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2500" cy="50800"/>
                    </a:xfrm>
                    <a:prstGeom prst="rect">
                      <a:avLst/>
                    </a:prstGeom>
                    <a:noFill/>
                  </pic:spPr>
                </pic:pic>
              </a:graphicData>
            </a:graphic>
          </wp:anchor>
        </w:drawing>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108" w:lineRule="exact"/>
        <w:rPr>
          <w:sz w:val="20"/>
          <w:szCs w:val="20"/>
          <w:color w:val="auto"/>
        </w:rPr>
      </w:pPr>
    </w:p>
    <w:p>
      <w:pPr>
        <w:ind w:firstLine="784"/>
        <w:spacing w:after="0" w:line="264" w:lineRule="auto"/>
        <w:rPr>
          <w:sz w:val="20"/>
          <w:szCs w:val="20"/>
          <w:color w:val="auto"/>
        </w:rPr>
      </w:pPr>
      <w:r>
        <w:rPr>
          <w:rFonts w:ascii="Arial" w:cs="Arial" w:eastAsia="Arial" w:hAnsi="Arial"/>
          <w:sz w:val="16"/>
          <w:szCs w:val="16"/>
          <w:color w:val="auto"/>
        </w:rPr>
        <w:t xml:space="preserve">The Company is furnishing this Current Report on Form 8-K in connection with the disclosure of information, in the form of a press release issued on November 7, 2019 and attached hereto as Exhibit 99.1. The Company also posted supplemental earnings materials on the investor section of the Company’s website at </w:t>
      </w:r>
      <w:r>
        <w:rPr>
          <w:rFonts w:ascii="Arial" w:cs="Arial" w:eastAsia="Arial" w:hAnsi="Arial"/>
          <w:sz w:val="16"/>
          <w:szCs w:val="16"/>
          <w:u w:val="single" w:color="auto"/>
          <w:color w:val="auto"/>
        </w:rPr>
        <w:t>www.synaptics.com</w:t>
      </w:r>
      <w:r>
        <w:rPr>
          <w:rFonts w:ascii="Arial" w:cs="Arial" w:eastAsia="Arial" w:hAnsi="Arial"/>
          <w:sz w:val="16"/>
          <w:szCs w:val="16"/>
          <w:color w:val="auto"/>
        </w:rPr>
        <w:t xml:space="preserve"> and attached hereto as Exhibit 99.2.</w:t>
      </w:r>
    </w:p>
    <w:p>
      <w:pPr>
        <w:spacing w:after="0" w:line="162" w:lineRule="exact"/>
        <w:rPr>
          <w:sz w:val="20"/>
          <w:szCs w:val="20"/>
          <w:color w:val="auto"/>
        </w:rPr>
      </w:pPr>
    </w:p>
    <w:p>
      <w:pPr>
        <w:jc w:val="both"/>
        <w:ind w:right="100" w:firstLine="784"/>
        <w:spacing w:after="0" w:line="289" w:lineRule="auto"/>
        <w:rPr>
          <w:sz w:val="20"/>
          <w:szCs w:val="20"/>
          <w:color w:val="auto"/>
        </w:rPr>
      </w:pPr>
      <w:r>
        <w:rPr>
          <w:rFonts w:ascii="Arial" w:cs="Arial" w:eastAsia="Arial" w:hAnsi="Arial"/>
          <w:sz w:val="15"/>
          <w:szCs w:val="15"/>
          <w:color w:val="auto"/>
        </w:rPr>
        <w:t>The information in this Current Report on Form 8-K (including Exhibit 99.1 and Exhibit 99.2) is furnished pursuant to Item 2.02 and shall not be deemed “filed” for the purposes of Section 18 of the Securities Exchange Act of 1934, as amended, or otherwise subject to the liabilities of that section, nor shall it be incorporated by reference into any registration document or other document filed by the Company.</w:t>
      </w:r>
    </w:p>
    <w:p>
      <w:pPr>
        <w:spacing w:after="0" w:line="146" w:lineRule="exact"/>
        <w:rPr>
          <w:sz w:val="20"/>
          <w:szCs w:val="20"/>
          <w:color w:val="auto"/>
        </w:rPr>
      </w:pPr>
    </w:p>
    <w:p>
      <w:pPr>
        <w:ind w:right="340" w:firstLine="784"/>
        <w:spacing w:after="0" w:line="312" w:lineRule="auto"/>
        <w:rPr>
          <w:sz w:val="20"/>
          <w:szCs w:val="20"/>
          <w:color w:val="auto"/>
        </w:rPr>
      </w:pPr>
      <w:r>
        <w:rPr>
          <w:rFonts w:ascii="Arial" w:cs="Arial" w:eastAsia="Arial" w:hAnsi="Arial"/>
          <w:sz w:val="15"/>
          <w:szCs w:val="15"/>
          <w:color w:val="auto"/>
        </w:rPr>
        <w:t>The Company does not have, and expressly disclaims, any obligation to release publicly any updates or any changes in the Company’s expectations or any change in events, conditions, or circumstances on which any forward-looking statement is based.</w:t>
      </w:r>
    </w:p>
    <w:p>
      <w:pPr>
        <w:spacing w:after="0" w:line="128" w:lineRule="exact"/>
        <w:rPr>
          <w:sz w:val="20"/>
          <w:szCs w:val="20"/>
          <w:color w:val="auto"/>
        </w:rPr>
      </w:pPr>
    </w:p>
    <w:p>
      <w:pPr>
        <w:ind w:right="40" w:firstLine="784"/>
        <w:spacing w:after="0" w:line="277" w:lineRule="auto"/>
        <w:rPr>
          <w:sz w:val="20"/>
          <w:szCs w:val="20"/>
          <w:color w:val="auto"/>
        </w:rPr>
      </w:pPr>
      <w:r>
        <w:rPr>
          <w:rFonts w:ascii="Arial" w:cs="Arial" w:eastAsia="Arial" w:hAnsi="Arial"/>
          <w:sz w:val="16"/>
          <w:szCs w:val="16"/>
          <w:color w:val="auto"/>
        </w:rPr>
        <w:t xml:space="preserve">The text included with this Current Report on Form 8-K is available on the Company’s website located at </w:t>
      </w:r>
      <w:r>
        <w:rPr>
          <w:rFonts w:ascii="Arial" w:cs="Arial" w:eastAsia="Arial" w:hAnsi="Arial"/>
          <w:sz w:val="16"/>
          <w:szCs w:val="16"/>
          <w:i w:val="1"/>
          <w:iCs w:val="1"/>
          <w:color w:val="auto"/>
        </w:rPr>
        <w:t>www.synaptics.com</w:t>
      </w:r>
      <w:r>
        <w:rPr>
          <w:rFonts w:ascii="Arial" w:cs="Arial" w:eastAsia="Arial" w:hAnsi="Arial"/>
          <w:sz w:val="16"/>
          <w:szCs w:val="16"/>
          <w:color w:val="auto"/>
        </w:rPr>
        <w:t>, although the Company reserves the right to discontinue that availability at any time.</w:t>
      </w:r>
    </w:p>
    <w:p>
      <w:pPr>
        <w:spacing w:after="0" w:line="340"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08" w:lineRule="exact"/>
        <w:rPr>
          <w:sz w:val="20"/>
          <w:szCs w:val="20"/>
          <w:color w:val="auto"/>
        </w:rPr>
      </w:pPr>
    </w:p>
    <w:p>
      <w:pPr>
        <w:ind w:left="780" w:right="6200" w:hanging="403"/>
        <w:spacing w:after="0" w:line="376" w:lineRule="auto"/>
        <w:tabs>
          <w:tab w:leader="none" w:pos="765"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Financial Statements of Business Acquired. </w:t>
      </w:r>
      <w:r>
        <w:rPr>
          <w:rFonts w:ascii="Arial" w:cs="Arial" w:eastAsia="Arial" w:hAnsi="Arial"/>
          <w:sz w:val="16"/>
          <w:szCs w:val="16"/>
          <w:color w:val="auto"/>
        </w:rPr>
        <w:t>Not applicable.</w:t>
      </w:r>
    </w:p>
    <w:p>
      <w:pPr>
        <w:ind w:left="780" w:right="6760" w:hanging="403"/>
        <w:spacing w:after="0" w:line="376" w:lineRule="auto"/>
        <w:tabs>
          <w:tab w:leader="none" w:pos="765"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 Forma Financial Information. </w:t>
      </w:r>
      <w:r>
        <w:rPr>
          <w:rFonts w:ascii="Arial" w:cs="Arial" w:eastAsia="Arial" w:hAnsi="Arial"/>
          <w:sz w:val="16"/>
          <w:szCs w:val="16"/>
          <w:color w:val="auto"/>
        </w:rPr>
        <w:t>Not applicable.</w:t>
      </w:r>
    </w:p>
    <w:p>
      <w:pPr>
        <w:ind w:left="780" w:right="7100" w:hanging="403"/>
        <w:spacing w:after="0" w:line="429" w:lineRule="auto"/>
        <w:tabs>
          <w:tab w:leader="none" w:pos="765"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Shell Company Transactions. </w:t>
      </w:r>
      <w:r>
        <w:rPr>
          <w:rFonts w:ascii="Arial" w:cs="Arial" w:eastAsia="Arial" w:hAnsi="Arial"/>
          <w:sz w:val="14"/>
          <w:szCs w:val="14"/>
          <w:color w:val="auto"/>
        </w:rPr>
        <w:t>Not applicable.</w:t>
      </w:r>
    </w:p>
    <w:p>
      <w:pPr>
        <w:spacing w:after="0" w:line="1" w:lineRule="exact"/>
        <w:rPr>
          <w:rFonts w:ascii="Arial" w:cs="Arial" w:eastAsia="Arial" w:hAnsi="Arial"/>
          <w:sz w:val="14"/>
          <w:szCs w:val="14"/>
          <w:i w:val="1"/>
          <w:iCs w:val="1"/>
          <w:color w:val="auto"/>
        </w:rPr>
      </w:pPr>
    </w:p>
    <w:p>
      <w:pPr>
        <w:ind w:left="760" w:hanging="383"/>
        <w:spacing w:after="0"/>
        <w:tabs>
          <w:tab w:leader="none" w:pos="76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Exhibits.</w:t>
      </w:r>
    </w:p>
    <w:p>
      <w:pPr>
        <w:spacing w:after="0" w:line="180" w:lineRule="exact"/>
        <w:rPr>
          <w:sz w:val="20"/>
          <w:szCs w:val="20"/>
          <w:color w:val="auto"/>
        </w:rPr>
      </w:pPr>
    </w:p>
    <w:tbl>
      <w:tblPr>
        <w:tblLayout w:type="fixed"/>
        <w:tblInd w:w="880" w:type="dxa"/>
        <w:tblCellMar>
          <w:top w:w="0" w:type="dxa"/>
          <w:left w:w="0" w:type="dxa"/>
          <w:bottom w:w="0" w:type="dxa"/>
          <w:right w:w="0" w:type="dxa"/>
        </w:tblCellMar>
      </w:tblPr>
      <w:tr>
        <w:trPr>
          <w:trHeight w:val="149"/>
        </w:trPr>
        <w:tc>
          <w:tcPr>
            <w:tcW w:w="860" w:type="dxa"/>
            <w:vAlign w:val="bottom"/>
            <w:gridSpan w:val="2"/>
          </w:tcPr>
          <w:p>
            <w:pPr>
              <w:jc w:val="center"/>
              <w:ind w:right="480"/>
              <w:spacing w:after="0"/>
              <w:rPr>
                <w:sz w:val="20"/>
                <w:szCs w:val="20"/>
                <w:color w:val="auto"/>
              </w:rPr>
            </w:pPr>
            <w:r>
              <w:rPr>
                <w:rFonts w:ascii="Arial" w:cs="Arial" w:eastAsia="Arial" w:hAnsi="Arial"/>
                <w:sz w:val="13"/>
                <w:szCs w:val="13"/>
                <w:color w:val="auto"/>
                <w:w w:val="97"/>
              </w:rPr>
              <w:t>Exhibit</w:t>
            </w:r>
          </w:p>
        </w:tc>
        <w:tc>
          <w:tcPr>
            <w:tcW w:w="13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48"/>
        </w:trPr>
        <w:tc>
          <w:tcPr>
            <w:tcW w:w="4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w w:val="90"/>
              </w:rPr>
              <w:t>Number</w:t>
            </w: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80" w:type="dxa"/>
            <w:vAlign w:val="bottom"/>
            <w:tcBorders>
              <w:bottom w:val="single" w:sz="8" w:color="auto"/>
            </w:tcBorders>
            <w:gridSpan w:val="2"/>
          </w:tcPr>
          <w:p>
            <w:pPr>
              <w:spacing w:after="0" w:line="148" w:lineRule="exact"/>
              <w:rPr>
                <w:sz w:val="20"/>
                <w:szCs w:val="20"/>
                <w:color w:val="auto"/>
              </w:rPr>
            </w:pPr>
            <w:r>
              <w:rPr>
                <w:rFonts w:ascii="Arial" w:cs="Arial" w:eastAsia="Arial" w:hAnsi="Arial"/>
                <w:sz w:val="13"/>
                <w:szCs w:val="13"/>
                <w:color w:val="auto"/>
                <w:w w:val="92"/>
              </w:rPr>
              <w:t>Exhibit</w:t>
            </w:r>
          </w:p>
        </w:tc>
        <w:tc>
          <w:tcPr>
            <w:tcW w:w="3340" w:type="dxa"/>
            <w:vAlign w:val="bottom"/>
          </w:tcPr>
          <w:p>
            <w:pPr>
              <w:spacing w:after="0"/>
              <w:rPr>
                <w:sz w:val="12"/>
                <w:szCs w:val="12"/>
                <w:color w:val="auto"/>
              </w:rPr>
            </w:pPr>
          </w:p>
        </w:tc>
      </w:tr>
      <w:tr>
        <w:trPr>
          <w:trHeight w:val="244"/>
        </w:trPr>
        <w:tc>
          <w:tcPr>
            <w:tcW w:w="42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440" w:type="dxa"/>
            <w:vAlign w:val="bottom"/>
          </w:tcPr>
          <w:p>
            <w:pPr>
              <w:spacing w:after="0"/>
              <w:rPr>
                <w:sz w:val="21"/>
                <w:szCs w:val="21"/>
                <w:color w:val="auto"/>
              </w:rPr>
            </w:pPr>
          </w:p>
        </w:tc>
        <w:tc>
          <w:tcPr>
            <w:tcW w:w="7120" w:type="dxa"/>
            <w:vAlign w:val="bottom"/>
            <w:tcBorders>
              <w:bottom w:val="single" w:sz="8" w:color="0000EE"/>
            </w:tcBorders>
            <w:gridSpan w:val="5"/>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Press release from Synaptics Incorporated, dated November 7, 2019, titled “Synaptics Reports Results for First</w:t>
              </w:r>
            </w:hyperlink>
          </w:p>
        </w:tc>
      </w:tr>
      <w:tr>
        <w:trPr>
          <w:trHeight w:val="172"/>
        </w:trPr>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120" w:type="dxa"/>
            <w:vAlign w:val="bottom"/>
            <w:gridSpan w:val="5"/>
          </w:tcPr>
          <w:p>
            <w:pPr>
              <w:spacing w:after="0" w:line="172" w:lineRule="exact"/>
              <w:rPr>
                <w:rFonts w:ascii="Arial" w:cs="Arial" w:eastAsia="Arial" w:hAnsi="Arial"/>
                <w:sz w:val="16"/>
                <w:szCs w:val="16"/>
                <w:color w:val="0000EE"/>
              </w:rPr>
            </w:pPr>
            <w:hyperlink w:anchor="page4">
              <w:r>
                <w:rPr>
                  <w:rFonts w:ascii="Arial" w:cs="Arial" w:eastAsia="Arial" w:hAnsi="Arial"/>
                  <w:sz w:val="16"/>
                  <w:szCs w:val="16"/>
                  <w:color w:val="0000EE"/>
                </w:rPr>
                <w:t>Quarter Fiscal 2020”</w:t>
              </w:r>
            </w:hyperlink>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r>
      <w:tr>
        <w:trPr>
          <w:trHeight w:val="268"/>
        </w:trPr>
        <w:tc>
          <w:tcPr>
            <w:tcW w:w="420" w:type="dxa"/>
            <w:vAlign w:val="bottom"/>
          </w:tcPr>
          <w:p>
            <w:pPr>
              <w:jc w:val="center"/>
              <w:spacing w:after="0"/>
              <w:rPr>
                <w:sz w:val="20"/>
                <w:szCs w:val="20"/>
                <w:color w:val="auto"/>
              </w:rPr>
            </w:pPr>
            <w:r>
              <w:rPr>
                <w:rFonts w:ascii="Arial" w:cs="Arial" w:eastAsia="Arial" w:hAnsi="Arial"/>
                <w:sz w:val="16"/>
                <w:szCs w:val="16"/>
                <w:color w:val="auto"/>
                <w:w w:val="89"/>
              </w:rPr>
              <w:t>99.2</w:t>
            </w:r>
          </w:p>
        </w:tc>
        <w:tc>
          <w:tcPr>
            <w:tcW w:w="440" w:type="dxa"/>
            <w:vAlign w:val="bottom"/>
          </w:tcPr>
          <w:p>
            <w:pPr>
              <w:spacing w:after="0"/>
              <w:rPr>
                <w:sz w:val="23"/>
                <w:szCs w:val="23"/>
                <w:color w:val="auto"/>
              </w:rPr>
            </w:pPr>
          </w:p>
        </w:tc>
        <w:tc>
          <w:tcPr>
            <w:tcW w:w="7120" w:type="dxa"/>
            <w:vAlign w:val="bottom"/>
            <w:gridSpan w:val="5"/>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Synaptics First Quarter Fiscal 2020 Earnings Supplement</w:t>
              </w:r>
            </w:hyperlink>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ectPr>
          <w:pgSz w:w="11900" w:h="16838" w:orient="portrait"/>
          <w:cols w:equalWidth="0" w:num="1">
            <w:col w:w="9740"/>
          </w:cols>
          <w:pgMar w:left="1060" w:top="279" w:right="10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50800"/>
                    </a:xfrm>
                    <a:prstGeom prst="rect">
                      <a:avLst/>
                    </a:prstGeom>
                    <a:noFill/>
                  </pic:spPr>
                </pic:pic>
              </a:graphicData>
            </a:graphic>
          </wp:anchor>
        </w:drawing>
        <w:t>SIGNATURES</w:t>
      </w:r>
    </w:p>
    <w:p>
      <w:pPr>
        <w:spacing w:after="0" w:line="204" w:lineRule="exact"/>
        <w:rPr>
          <w:sz w:val="20"/>
          <w:szCs w:val="20"/>
          <w:color w:val="auto"/>
        </w:rPr>
      </w:pPr>
    </w:p>
    <w:p>
      <w:pPr>
        <w:ind w:firstLine="392"/>
        <w:spacing w:after="0" w:line="277" w:lineRule="auto"/>
        <w:rPr>
          <w:sz w:val="20"/>
          <w:szCs w:val="20"/>
          <w:color w:val="auto"/>
        </w:rPr>
      </w:pPr>
      <w:r>
        <w:rPr>
          <w:rFonts w:ascii="Arial" w:cs="Arial" w:eastAsia="Arial" w:hAnsi="Arial"/>
          <w:sz w:val="16"/>
          <w:szCs w:val="16"/>
          <w:color w:val="auto"/>
        </w:rPr>
        <w:t>Pursuant to the requirements of the Securities Exchange Act of 1934, the Company has duly caused this report to be signed on its behalf by the undersigned hereunto duly authorized.</w:t>
      </w:r>
    </w:p>
    <w:p>
      <w:pPr>
        <w:spacing w:after="0" w:line="152"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SYNAPTICS INCORPORATED</w:t>
      </w:r>
    </w:p>
    <w:p>
      <w:pPr>
        <w:spacing w:after="0" w:line="200" w:lineRule="exact"/>
        <w:rPr>
          <w:sz w:val="20"/>
          <w:szCs w:val="20"/>
          <w:color w:val="auto"/>
        </w:rPr>
      </w:pPr>
    </w:p>
    <w:p>
      <w:pPr>
        <w:spacing w:after="0"/>
        <w:tabs>
          <w:tab w:leader="none" w:pos="5040" w:val="left"/>
        </w:tabs>
        <w:rPr>
          <w:sz w:val="20"/>
          <w:szCs w:val="20"/>
          <w:color w:val="auto"/>
        </w:rPr>
      </w:pPr>
      <w:r>
        <w:rPr>
          <w:rFonts w:ascii="Arial" w:cs="Arial" w:eastAsia="Arial" w:hAnsi="Arial"/>
          <w:sz w:val="16"/>
          <w:szCs w:val="16"/>
          <w:color w:val="auto"/>
        </w:rPr>
        <w:t>Date: November 7, 2019</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13335</wp:posOffset>
            </wp:positionV>
            <wp:extent cx="279971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9715" cy="7620"/>
                    </a:xfrm>
                    <a:prstGeom prst="rect">
                      <a:avLst/>
                    </a:prstGeom>
                    <a:noFill/>
                  </pic:spPr>
                </pic:pic>
              </a:graphicData>
            </a:graphic>
          </wp:anchor>
        </w:drawing>
      </w:r>
    </w:p>
    <w:p>
      <w:pPr>
        <w:spacing w:after="0" w:line="1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Dean Butler</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9540"/>
          </w:cols>
          <w:pgMar w:left="1060" w:top="279"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153035</wp:posOffset>
            </wp:positionV>
            <wp:extent cx="2021205"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120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Synaptics Reports Results for First Quarter Fiscal 2020</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Highlights</w:t>
      </w:r>
    </w:p>
    <w:p>
      <w:pPr>
        <w:spacing w:after="0" w:line="120" w:lineRule="exact"/>
        <w:rPr>
          <w:sz w:val="20"/>
          <w:szCs w:val="20"/>
          <w:color w:val="auto"/>
        </w:rPr>
      </w:pPr>
    </w:p>
    <w:p>
      <w:pPr>
        <w:ind w:left="380" w:hanging="291"/>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Michael Hurlston joins Synaptics as new president and chief executive officer</w:t>
      </w:r>
    </w:p>
    <w:p>
      <w:pPr>
        <w:spacing w:after="0" w:line="116" w:lineRule="exact"/>
        <w:rPr>
          <w:rFonts w:ascii="Arial" w:cs="Arial" w:eastAsia="Arial" w:hAnsi="Arial"/>
          <w:sz w:val="16"/>
          <w:szCs w:val="16"/>
          <w:color w:val="auto"/>
        </w:rPr>
      </w:pPr>
    </w:p>
    <w:p>
      <w:pPr>
        <w:ind w:left="380" w:hanging="291"/>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Dean Butler joins Synaptics as new chief financial officer</w:t>
      </w:r>
    </w:p>
    <w:p>
      <w:pPr>
        <w:spacing w:after="0" w:line="116" w:lineRule="exact"/>
        <w:rPr>
          <w:rFonts w:ascii="Arial" w:cs="Arial" w:eastAsia="Arial" w:hAnsi="Arial"/>
          <w:sz w:val="16"/>
          <w:szCs w:val="16"/>
          <w:color w:val="auto"/>
        </w:rPr>
      </w:pPr>
    </w:p>
    <w:p>
      <w:pPr>
        <w:ind w:left="380" w:right="540" w:hanging="291"/>
        <w:spacing w:after="0" w:line="277"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GAAP gross margin in the first quarter was 31.7 percent and Non-GAAP gross margin was 41.5 percent, which was the first quarter above 40 percent in five years</w:t>
      </w:r>
    </w:p>
    <w:p>
      <w:pPr>
        <w:spacing w:after="0" w:line="67" w:lineRule="exact"/>
        <w:rPr>
          <w:rFonts w:ascii="Arial" w:cs="Arial" w:eastAsia="Arial" w:hAnsi="Arial"/>
          <w:sz w:val="16"/>
          <w:szCs w:val="16"/>
          <w:color w:val="auto"/>
        </w:rPr>
      </w:pPr>
    </w:p>
    <w:p>
      <w:pPr>
        <w:ind w:left="380" w:right="480" w:hanging="291"/>
        <w:spacing w:after="0" w:line="277"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Leading US search provider launched a smart speaker and a Wi-Fi mesh router powered by Synaptics’ edge computing SoC with integrated machine learning</w:t>
      </w:r>
    </w:p>
    <w:p>
      <w:pPr>
        <w:spacing w:after="0" w:line="67" w:lineRule="exact"/>
        <w:rPr>
          <w:rFonts w:ascii="Arial" w:cs="Arial" w:eastAsia="Arial" w:hAnsi="Arial"/>
          <w:sz w:val="16"/>
          <w:szCs w:val="16"/>
          <w:color w:val="auto"/>
        </w:rPr>
      </w:pPr>
    </w:p>
    <w:p>
      <w:pPr>
        <w:ind w:left="380" w:hanging="291"/>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Leading China OEM shipping flagship OLED smartphone with Synaptics’ differentiating touch controller and display driver IC</w:t>
      </w:r>
    </w:p>
    <w:p>
      <w:pPr>
        <w:spacing w:after="0" w:line="196" w:lineRule="exact"/>
        <w:rPr>
          <w:sz w:val="20"/>
          <w:szCs w:val="20"/>
          <w:color w:val="auto"/>
        </w:rPr>
      </w:pPr>
    </w:p>
    <w:p>
      <w:pPr>
        <w:ind w:right="420"/>
        <w:spacing w:after="0" w:line="282" w:lineRule="auto"/>
        <w:rPr>
          <w:sz w:val="20"/>
          <w:szCs w:val="20"/>
          <w:color w:val="auto"/>
        </w:rPr>
      </w:pPr>
      <w:r>
        <w:rPr>
          <w:rFonts w:ascii="Arial" w:cs="Arial" w:eastAsia="Arial" w:hAnsi="Arial"/>
          <w:sz w:val="16"/>
          <w:szCs w:val="16"/>
          <w:b w:val="1"/>
          <w:bCs w:val="1"/>
          <w:color w:val="auto"/>
        </w:rPr>
        <w:t xml:space="preserve">SAN JOSE, Calif., – November 7, 2019 </w:t>
      </w:r>
      <w:r>
        <w:rPr>
          <w:rFonts w:ascii="Arial" w:cs="Arial" w:eastAsia="Arial" w:hAnsi="Arial"/>
          <w:sz w:val="16"/>
          <w:szCs w:val="16"/>
          <w:color w:val="auto"/>
        </w:rPr>
        <w:t>– Synaptics Incorporated (NASDAQ: SYNA), the leading developer of human interface solutions, today</w:t>
      </w:r>
      <w:r>
        <w:rPr>
          <w:rFonts w:ascii="Arial" w:cs="Arial" w:eastAsia="Arial" w:hAnsi="Arial"/>
          <w:sz w:val="16"/>
          <w:szCs w:val="16"/>
          <w:b w:val="1"/>
          <w:bCs w:val="1"/>
          <w:color w:val="auto"/>
        </w:rPr>
        <w:t xml:space="preserve"> </w:t>
      </w:r>
      <w:r>
        <w:rPr>
          <w:rFonts w:ascii="Arial" w:cs="Arial" w:eastAsia="Arial" w:hAnsi="Arial"/>
          <w:sz w:val="16"/>
          <w:szCs w:val="16"/>
          <w:color w:val="auto"/>
        </w:rPr>
        <w:t>reported financial results for its first fiscal quarter ended September 28, 2019.</w:t>
      </w:r>
    </w:p>
    <w:p>
      <w:pPr>
        <w:spacing w:after="0" w:line="148"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Net revenue for the first quarter of fiscal 2020 was up 15% sequentially to $339.9 million and exceeded the guidance the company provided last quarter. GAAP net income for the first quarter of fiscal 2020 was $4.0 million, or $0.12 per diluted share. Non-GAAP net income for the first quarter of fiscal 2020 increased $27.7 million sequentially to $41.0 million, or $1.22 per diluted share. (See below under the heading “Use of Non-GAAP Financial Information” and the attached table for a description and a reconciliation of GAAP to Non-GAAP financial measures.)</w:t>
      </w:r>
    </w:p>
    <w:p>
      <w:pPr>
        <w:spacing w:after="0" w:line="150"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“Our September quarter was stronger than expected as we had a number of successful large OEM customer product launches this quarter including smart home devices leveraging our edge computing SoCs, and new smartphones with both LCD and OLED panels featuring our display and touch IC solutions,” stated Michael Hurlston, president and chief executive officer, Synaptics. “As we continue our corporate transformation, I am committed to focusing our investments on sustainable franchise solutions that are more defensible with better margins. We have a strong foundation in technology and IP at Synaptics, and I am confident that we will become a stronger, more profitable growth company long-term.”</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Cash at September 30, 2019 was $351 million. Cash flow from operations during the first quarter of fiscal 2020 was $47 million and the company used $17 million to repurchase approximately 556 thousand shares of its common stock.</w:t>
      </w:r>
    </w:p>
    <w:p>
      <w:pPr>
        <w:sectPr>
          <w:pgSz w:w="11900" w:h="16838" w:orient="portrait"/>
          <w:cols w:equalWidth="0" w:num="1">
            <w:col w:w="9800"/>
          </w:cols>
          <w:pgMar w:left="1060" w:top="123" w:right="1039" w:bottom="1440" w:gutter="0" w:footer="0" w:header="0"/>
        </w:sectPr>
      </w:pPr>
    </w:p>
    <w:bookmarkStart w:id="4" w:name="page5"/>
    <w:bookmarkEnd w:id="4"/>
    <w:p>
      <w:pPr>
        <w:ind w:left="7"/>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5721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00" cy="572135"/>
                    </a:xfrm>
                    <a:prstGeom prst="rect">
                      <a:avLst/>
                    </a:prstGeom>
                    <a:noFill/>
                  </pic:spPr>
                </pic:pic>
              </a:graphicData>
            </a:graphic>
          </wp:anchor>
        </w:drawing>
        <w:t>Business Outlook</w:t>
      </w:r>
    </w:p>
    <w:p>
      <w:pPr>
        <w:spacing w:after="0" w:line="108" w:lineRule="exact"/>
        <w:rPr>
          <w:sz w:val="20"/>
          <w:szCs w:val="20"/>
          <w:color w:val="auto"/>
        </w:rPr>
      </w:pPr>
    </w:p>
    <w:p>
      <w:pPr>
        <w:ind w:left="7"/>
        <w:spacing w:after="0"/>
        <w:rPr>
          <w:sz w:val="20"/>
          <w:szCs w:val="20"/>
          <w:color w:val="auto"/>
        </w:rPr>
      </w:pPr>
      <w:r>
        <w:rPr>
          <w:rFonts w:ascii="Arial" w:cs="Arial" w:eastAsia="Arial" w:hAnsi="Arial"/>
          <w:sz w:val="15"/>
          <w:szCs w:val="15"/>
          <w:color w:val="auto"/>
        </w:rPr>
        <w:t>Dean Butler, chief financial officer of Synaptics, added, “We had a strong start to our fiscal year and continue to maintain a healthy backlog of</w:t>
      </w:r>
    </w:p>
    <w:p>
      <w:pPr>
        <w:spacing w:after="0" w:line="32" w:lineRule="exact"/>
        <w:rPr>
          <w:sz w:val="20"/>
          <w:szCs w:val="20"/>
          <w:color w:val="auto"/>
        </w:rPr>
      </w:pPr>
    </w:p>
    <w:p>
      <w:pPr>
        <w:jc w:val="both"/>
        <w:ind w:left="7" w:right="60"/>
        <w:spacing w:after="0" w:line="281" w:lineRule="auto"/>
        <w:rPr>
          <w:sz w:val="20"/>
          <w:szCs w:val="20"/>
          <w:color w:val="auto"/>
        </w:rPr>
      </w:pPr>
      <w:r>
        <w:rPr>
          <w:rFonts w:ascii="Arial" w:cs="Arial" w:eastAsia="Arial" w:hAnsi="Arial"/>
          <w:sz w:val="15"/>
          <w:szCs w:val="15"/>
          <w:color w:val="auto"/>
        </w:rPr>
        <w:t>$265 million entering the December quarter, and expect that subsequent bookings, customer forecasts and product sell-in and sell-through patterns will result in revenue for the second quarter of fiscal 2020 to be in the range of $345 to $365 million. Based upon this guidance, we expect the revenue mix from mobile, IoT and PC products to be approximately 54 percent, 25 percent and 21 percent respectively.”</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6"/>
          <w:szCs w:val="16"/>
          <w:color w:val="auto"/>
        </w:rPr>
        <w:t>For the second quarter of fiscal 2020, the company expects:</w:t>
      </w:r>
    </w:p>
    <w:p>
      <w:pPr>
        <w:spacing w:after="0" w:line="200" w:lineRule="exact"/>
        <w:rPr>
          <w:sz w:val="20"/>
          <w:szCs w:val="20"/>
          <w:color w:val="auto"/>
        </w:rPr>
      </w:pPr>
    </w:p>
    <w:tbl>
      <w:tblPr>
        <w:tblLayout w:type="fixed"/>
        <w:tblInd w:w="787" w:type="dxa"/>
        <w:tblCellMar>
          <w:top w:w="0" w:type="dxa"/>
          <w:left w:w="0" w:type="dxa"/>
          <w:bottom w:w="0" w:type="dxa"/>
          <w:right w:w="0" w:type="dxa"/>
        </w:tblCellMar>
      </w:tblPr>
      <w:tr>
        <w:trPr>
          <w:trHeight w:val="149"/>
        </w:trPr>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4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5"/>
              </w:rPr>
              <w:t>Non-GAAP</w:t>
            </w:r>
          </w:p>
        </w:tc>
        <w:tc>
          <w:tcPr>
            <w:tcW w:w="34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Non-GAAP</w:t>
            </w: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Adjustment</w:t>
            </w:r>
          </w:p>
        </w:tc>
        <w:tc>
          <w:tcPr>
            <w:tcW w:w="340" w:type="dxa"/>
            <w:vAlign w:val="bottom"/>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jc w:val="center"/>
              <w:spacing w:after="0" w:line="171" w:lineRule="exact"/>
              <w:rPr>
                <w:sz w:val="20"/>
                <w:szCs w:val="20"/>
                <w:color w:val="auto"/>
              </w:rPr>
            </w:pPr>
            <w:r>
              <w:rPr>
                <w:rFonts w:ascii="Arial" w:cs="Arial" w:eastAsia="Arial" w:hAnsi="Arial"/>
                <w:sz w:val="16"/>
                <w:szCs w:val="16"/>
                <w:color w:val="auto"/>
                <w:w w:val="93"/>
              </w:rPr>
              <w:t>$345M to $365M</w:t>
            </w:r>
          </w:p>
        </w:tc>
        <w:tc>
          <w:tcPr>
            <w:tcW w:w="420" w:type="dxa"/>
            <w:vAlign w:val="bottom"/>
          </w:tcPr>
          <w:p>
            <w:pPr>
              <w:spacing w:after="0"/>
              <w:rPr>
                <w:sz w:val="14"/>
                <w:szCs w:val="14"/>
                <w:color w:val="auto"/>
              </w:rPr>
            </w:pPr>
          </w:p>
        </w:tc>
        <w:tc>
          <w:tcPr>
            <w:tcW w:w="1140" w:type="dxa"/>
            <w:vAlign w:val="bottom"/>
          </w:tcPr>
          <w:p>
            <w:pPr>
              <w:jc w:val="center"/>
              <w:spacing w:after="0" w:line="171" w:lineRule="exact"/>
              <w:rPr>
                <w:sz w:val="20"/>
                <w:szCs w:val="20"/>
                <w:color w:val="auto"/>
              </w:rPr>
            </w:pPr>
            <w:r>
              <w:rPr>
                <w:rFonts w:ascii="Arial" w:cs="Arial" w:eastAsia="Arial" w:hAnsi="Arial"/>
                <w:sz w:val="16"/>
                <w:szCs w:val="16"/>
                <w:color w:val="auto"/>
              </w:rPr>
              <w:t>N/A</w:t>
            </w:r>
          </w:p>
        </w:tc>
        <w:tc>
          <w:tcPr>
            <w:tcW w:w="340" w:type="dxa"/>
            <w:vAlign w:val="bottom"/>
          </w:tcPr>
          <w:p>
            <w:pPr>
              <w:spacing w:after="0"/>
              <w:rPr>
                <w:sz w:val="14"/>
                <w:szCs w:val="14"/>
                <w:color w:val="auto"/>
              </w:rPr>
            </w:pPr>
          </w:p>
        </w:tc>
        <w:tc>
          <w:tcPr>
            <w:tcW w:w="1300" w:type="dxa"/>
            <w:vAlign w:val="bottom"/>
          </w:tcPr>
          <w:p>
            <w:pPr>
              <w:jc w:val="center"/>
              <w:spacing w:after="0" w:line="171"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+2 percent to +7</w:t>
            </w: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560" w:type="dxa"/>
            <w:vAlign w:val="bottom"/>
          </w:tcPr>
          <w:p>
            <w:pPr>
              <w:spacing w:after="0"/>
              <w:rPr>
                <w:sz w:val="20"/>
                <w:szCs w:val="20"/>
                <w:color w:val="auto"/>
              </w:rPr>
            </w:pPr>
            <w:r>
              <w:rPr>
                <w:rFonts w:ascii="Arial" w:cs="Arial" w:eastAsia="Arial" w:hAnsi="Arial"/>
                <w:sz w:val="16"/>
                <w:szCs w:val="16"/>
                <w:color w:val="auto"/>
              </w:rPr>
              <w:t>Revenue</w:t>
            </w:r>
          </w:p>
        </w:tc>
        <w:tc>
          <w:tcPr>
            <w:tcW w:w="13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percent Q/Q</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25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38 percent to 40</w:t>
            </w:r>
          </w:p>
        </w:tc>
        <w:tc>
          <w:tcPr>
            <w:tcW w:w="4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Approximately</w:t>
            </w:r>
          </w:p>
        </w:tc>
        <w:tc>
          <w:tcPr>
            <w:tcW w:w="1640" w:type="dxa"/>
            <w:vAlign w:val="bottom"/>
            <w:gridSpan w:val="2"/>
          </w:tcPr>
          <w:p>
            <w:pPr>
              <w:jc w:val="center"/>
              <w:ind w:left="240"/>
              <w:spacing w:after="0"/>
              <w:rPr>
                <w:sz w:val="20"/>
                <w:szCs w:val="20"/>
                <w:color w:val="auto"/>
              </w:rPr>
            </w:pPr>
            <w:r>
              <w:rPr>
                <w:rFonts w:ascii="Arial" w:cs="Arial" w:eastAsia="Arial" w:hAnsi="Arial"/>
                <w:sz w:val="16"/>
                <w:szCs w:val="16"/>
                <w:color w:val="auto"/>
                <w:w w:val="89"/>
              </w:rPr>
              <w:t>40.5 percent to 42.5</w:t>
            </w:r>
          </w:p>
        </w:tc>
        <w:tc>
          <w:tcPr>
            <w:tcW w:w="0" w:type="dxa"/>
            <w:vAlign w:val="bottom"/>
          </w:tcPr>
          <w:p>
            <w:pPr>
              <w:spacing w:after="0"/>
              <w:rPr>
                <w:sz w:val="1"/>
                <w:szCs w:val="1"/>
                <w:color w:val="auto"/>
              </w:rPr>
            </w:pPr>
          </w:p>
        </w:tc>
      </w:tr>
      <w:tr>
        <w:trPr>
          <w:trHeight w:val="205"/>
        </w:trPr>
        <w:tc>
          <w:tcPr>
            <w:tcW w:w="2560" w:type="dxa"/>
            <w:vAlign w:val="bottom"/>
          </w:tcPr>
          <w:p>
            <w:pPr>
              <w:spacing w:after="0"/>
              <w:rPr>
                <w:sz w:val="20"/>
                <w:szCs w:val="20"/>
                <w:color w:val="auto"/>
              </w:rPr>
            </w:pPr>
            <w:r>
              <w:rPr>
                <w:rFonts w:ascii="Arial" w:cs="Arial" w:eastAsia="Arial" w:hAnsi="Arial"/>
                <w:sz w:val="16"/>
                <w:szCs w:val="16"/>
                <w:color w:val="auto"/>
              </w:rPr>
              <w:t>Gross Margin</w:t>
            </w:r>
          </w:p>
        </w:tc>
        <w:tc>
          <w:tcPr>
            <w:tcW w:w="13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percent</w:t>
            </w:r>
          </w:p>
        </w:tc>
        <w:tc>
          <w:tcPr>
            <w:tcW w:w="4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$8.8m*</w:t>
            </w:r>
          </w:p>
        </w:tc>
        <w:tc>
          <w:tcPr>
            <w:tcW w:w="3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6"/>
              </w:rPr>
              <w:t>percent</w:t>
            </w:r>
          </w:p>
        </w:tc>
        <w:tc>
          <w:tcPr>
            <w:tcW w:w="0" w:type="dxa"/>
            <w:vAlign w:val="bottom"/>
          </w:tcPr>
          <w:p>
            <w:pPr>
              <w:spacing w:after="0"/>
              <w:rPr>
                <w:sz w:val="1"/>
                <w:szCs w:val="1"/>
                <w:color w:val="auto"/>
              </w:rPr>
            </w:pPr>
          </w:p>
        </w:tc>
      </w:tr>
      <w:tr>
        <w:trPr>
          <w:trHeight w:val="276"/>
        </w:trPr>
        <w:tc>
          <w:tcPr>
            <w:tcW w:w="2560" w:type="dxa"/>
            <w:vAlign w:val="bottom"/>
          </w:tcPr>
          <w:p>
            <w:pPr>
              <w:spacing w:after="0"/>
              <w:rPr>
                <w:sz w:val="23"/>
                <w:szCs w:val="23"/>
                <w:color w:val="auto"/>
              </w:rPr>
            </w:pPr>
          </w:p>
        </w:tc>
        <w:tc>
          <w:tcPr>
            <w:tcW w:w="2480" w:type="dxa"/>
            <w:vAlign w:val="bottom"/>
            <w:gridSpan w:val="2"/>
          </w:tcPr>
          <w:p>
            <w:pPr>
              <w:jc w:val="center"/>
              <w:ind w:left="1240"/>
              <w:spacing w:after="0"/>
              <w:rPr>
                <w:sz w:val="20"/>
                <w:szCs w:val="20"/>
                <w:color w:val="auto"/>
              </w:rPr>
            </w:pPr>
            <w:r>
              <w:rPr>
                <w:rFonts w:ascii="Arial" w:cs="Arial" w:eastAsia="Arial" w:hAnsi="Arial"/>
                <w:sz w:val="16"/>
                <w:szCs w:val="16"/>
                <w:color w:val="auto"/>
                <w:w w:val="93"/>
              </w:rPr>
              <w:t>$121M to $126M</w:t>
            </w:r>
          </w:p>
        </w:tc>
        <w:tc>
          <w:tcPr>
            <w:tcW w:w="4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Approximately</w:t>
            </w:r>
          </w:p>
        </w:tc>
        <w:tc>
          <w:tcPr>
            <w:tcW w:w="34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5"/>
              </w:rPr>
              <w:t>$90M to $93M</w:t>
            </w:r>
          </w:p>
        </w:tc>
        <w:tc>
          <w:tcPr>
            <w:tcW w:w="0" w:type="dxa"/>
            <w:vAlign w:val="bottom"/>
          </w:tcPr>
          <w:p>
            <w:pPr>
              <w:spacing w:after="0"/>
              <w:rPr>
                <w:sz w:val="1"/>
                <w:szCs w:val="1"/>
                <w:color w:val="auto"/>
              </w:rPr>
            </w:pPr>
          </w:p>
        </w:tc>
      </w:tr>
      <w:tr>
        <w:trPr>
          <w:trHeight w:val="205"/>
        </w:trPr>
        <w:tc>
          <w:tcPr>
            <w:tcW w:w="2560" w:type="dxa"/>
            <w:vAlign w:val="bottom"/>
          </w:tcPr>
          <w:p>
            <w:pPr>
              <w:spacing w:after="0"/>
              <w:rPr>
                <w:sz w:val="20"/>
                <w:szCs w:val="20"/>
                <w:color w:val="auto"/>
              </w:rPr>
            </w:pPr>
            <w:r>
              <w:rPr>
                <w:rFonts w:ascii="Arial" w:cs="Arial" w:eastAsia="Arial" w:hAnsi="Arial"/>
                <w:sz w:val="16"/>
                <w:szCs w:val="16"/>
                <w:color w:val="auto"/>
              </w:rPr>
              <w:t>Operating Expense</w:t>
            </w: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gridSpan w:val="2"/>
          </w:tcPr>
          <w:p>
            <w:pPr>
              <w:jc w:val="center"/>
              <w:ind w:left="320"/>
              <w:spacing w:after="0"/>
              <w:rPr>
                <w:sz w:val="20"/>
                <w:szCs w:val="20"/>
                <w:color w:val="auto"/>
              </w:rPr>
            </w:pPr>
            <w:r>
              <w:rPr>
                <w:rFonts w:ascii="Arial" w:cs="Arial" w:eastAsia="Arial" w:hAnsi="Arial"/>
                <w:sz w:val="16"/>
                <w:szCs w:val="16"/>
                <w:color w:val="auto"/>
                <w:w w:val="97"/>
              </w:rPr>
              <w:t>$31M to $33M**</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387" w:hanging="387"/>
        <w:spacing w:after="0"/>
        <w:tabs>
          <w:tab w:leader="none" w:pos="387" w:val="left"/>
        </w:tabs>
        <w:numPr>
          <w:ilvl w:val="0"/>
          <w:numId w:val="4"/>
        </w:numPr>
        <w:rPr>
          <w:rFonts w:ascii="Arial" w:cs="Arial" w:eastAsia="Arial" w:hAnsi="Arial"/>
          <w:sz w:val="15"/>
          <w:szCs w:val="15"/>
          <w:color w:val="auto"/>
        </w:rPr>
      </w:pPr>
      <w:r>
        <w:rPr>
          <w:rFonts w:ascii="Arial" w:cs="Arial" w:eastAsia="Arial" w:hAnsi="Arial"/>
          <w:sz w:val="15"/>
          <w:szCs w:val="15"/>
          <w:color w:val="auto"/>
        </w:rPr>
        <w:t>Projected Non-GAAP gross margin excludes $8 million of intangible asset amortization, $0.7 million of stock-based compensation, and</w:t>
      </w:r>
    </w:p>
    <w:p>
      <w:pPr>
        <w:spacing w:after="0" w:line="32" w:lineRule="exact"/>
        <w:rPr>
          <w:sz w:val="20"/>
          <w:szCs w:val="20"/>
          <w:color w:val="auto"/>
        </w:rPr>
      </w:pPr>
    </w:p>
    <w:p>
      <w:pPr>
        <w:ind w:left="387"/>
        <w:spacing w:after="0"/>
        <w:rPr>
          <w:sz w:val="20"/>
          <w:szCs w:val="20"/>
          <w:color w:val="auto"/>
        </w:rPr>
      </w:pPr>
      <w:r>
        <w:rPr>
          <w:rFonts w:ascii="Arial" w:cs="Arial" w:eastAsia="Arial" w:hAnsi="Arial"/>
          <w:sz w:val="16"/>
          <w:szCs w:val="16"/>
          <w:color w:val="auto"/>
        </w:rPr>
        <w:t>$0.1 million of retention program costs.</w:t>
      </w:r>
    </w:p>
    <w:p>
      <w:pPr>
        <w:spacing w:after="0" w:line="8" w:lineRule="exact"/>
        <w:rPr>
          <w:sz w:val="20"/>
          <w:szCs w:val="20"/>
          <w:color w:val="auto"/>
        </w:rPr>
      </w:pPr>
    </w:p>
    <w:p>
      <w:pPr>
        <w:ind w:left="387" w:right="560" w:hanging="387"/>
        <w:spacing w:after="0" w:line="261" w:lineRule="auto"/>
        <w:tabs>
          <w:tab w:leader="none" w:pos="387"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Projected Non-GAAP operating expense excludes $15 million to $16 million of stock-based compensation, $10 million to $11 million of restructuring, $4 million of retention program costs, and $3 million of intangible asset amortization.</w:t>
      </w:r>
    </w:p>
    <w:p>
      <w:pPr>
        <w:spacing w:after="0" w:line="25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Earnings Call and Supplementary Materials</w:t>
      </w:r>
    </w:p>
    <w:p>
      <w:pPr>
        <w:spacing w:after="0" w:line="108" w:lineRule="exact"/>
        <w:rPr>
          <w:sz w:val="20"/>
          <w:szCs w:val="20"/>
          <w:color w:val="auto"/>
        </w:rPr>
      </w:pPr>
    </w:p>
    <w:p>
      <w:pPr>
        <w:ind w:left="7"/>
        <w:spacing w:after="0" w:line="277" w:lineRule="auto"/>
        <w:rPr>
          <w:sz w:val="20"/>
          <w:szCs w:val="20"/>
          <w:color w:val="auto"/>
        </w:rPr>
      </w:pPr>
      <w:r>
        <w:rPr>
          <w:rFonts w:ascii="Arial" w:cs="Arial" w:eastAsia="Arial" w:hAnsi="Arial"/>
          <w:sz w:val="16"/>
          <w:szCs w:val="16"/>
          <w:color w:val="auto"/>
        </w:rPr>
        <w:t>The Synaptics first quarter and fiscal 2020 teleconference and webcast is scheduled to begin at 2:00 p.m. PT (5:00 p.m. ET), on Thursday, November 7, 2019, during which the company will provide forward-looking information.</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6"/>
          <w:szCs w:val="16"/>
          <w:color w:val="auto"/>
        </w:rPr>
        <w:t>Speakers:</w:t>
      </w:r>
    </w:p>
    <w:p>
      <w:pPr>
        <w:spacing w:after="0" w:line="116" w:lineRule="exact"/>
        <w:rPr>
          <w:sz w:val="20"/>
          <w:szCs w:val="20"/>
          <w:color w:val="auto"/>
        </w:rPr>
      </w:pPr>
    </w:p>
    <w:p>
      <w:pPr>
        <w:ind w:left="867" w:hanging="387"/>
        <w:spacing w:after="0"/>
        <w:tabs>
          <w:tab w:leader="none" w:pos="867" w:val="left"/>
        </w:tabs>
        <w:numPr>
          <w:ilvl w:val="0"/>
          <w:numId w:val="6"/>
        </w:numPr>
        <w:rPr>
          <w:rFonts w:ascii="Arial" w:cs="Arial" w:eastAsia="Arial" w:hAnsi="Arial"/>
          <w:sz w:val="16"/>
          <w:szCs w:val="16"/>
          <w:color w:val="auto"/>
        </w:rPr>
      </w:pPr>
      <w:r>
        <w:rPr>
          <w:rFonts w:ascii="Arial" w:cs="Arial" w:eastAsia="Arial" w:hAnsi="Arial"/>
          <w:sz w:val="16"/>
          <w:szCs w:val="16"/>
          <w:color w:val="auto"/>
        </w:rPr>
        <w:t>Michael Hurlston, President and Chief Executive Officer</w:t>
      </w:r>
    </w:p>
    <w:p>
      <w:pPr>
        <w:spacing w:after="0" w:line="116" w:lineRule="exact"/>
        <w:rPr>
          <w:rFonts w:ascii="Arial" w:cs="Arial" w:eastAsia="Arial" w:hAnsi="Arial"/>
          <w:sz w:val="16"/>
          <w:szCs w:val="16"/>
          <w:color w:val="auto"/>
        </w:rPr>
      </w:pPr>
    </w:p>
    <w:p>
      <w:pPr>
        <w:ind w:left="867" w:hanging="387"/>
        <w:spacing w:after="0"/>
        <w:tabs>
          <w:tab w:leader="none" w:pos="867" w:val="left"/>
        </w:tabs>
        <w:numPr>
          <w:ilvl w:val="0"/>
          <w:numId w:val="6"/>
        </w:numPr>
        <w:rPr>
          <w:rFonts w:ascii="Arial" w:cs="Arial" w:eastAsia="Arial" w:hAnsi="Arial"/>
          <w:sz w:val="16"/>
          <w:szCs w:val="16"/>
          <w:color w:val="auto"/>
        </w:rPr>
      </w:pPr>
      <w:r>
        <w:rPr>
          <w:rFonts w:ascii="Arial" w:cs="Arial" w:eastAsia="Arial" w:hAnsi="Arial"/>
          <w:sz w:val="16"/>
          <w:szCs w:val="16"/>
          <w:color w:val="auto"/>
        </w:rPr>
        <w:t>Dean Butler, Chief Financial Officer</w:t>
      </w:r>
    </w:p>
    <w:p>
      <w:pPr>
        <w:spacing w:after="0" w:line="116" w:lineRule="exact"/>
        <w:rPr>
          <w:rFonts w:ascii="Arial" w:cs="Arial" w:eastAsia="Arial" w:hAnsi="Arial"/>
          <w:sz w:val="16"/>
          <w:szCs w:val="16"/>
          <w:color w:val="auto"/>
        </w:rPr>
      </w:pPr>
    </w:p>
    <w:p>
      <w:pPr>
        <w:ind w:left="867" w:hanging="387"/>
        <w:spacing w:after="0"/>
        <w:tabs>
          <w:tab w:leader="none" w:pos="867" w:val="left"/>
        </w:tabs>
        <w:numPr>
          <w:ilvl w:val="0"/>
          <w:numId w:val="6"/>
        </w:numPr>
        <w:rPr>
          <w:rFonts w:ascii="Arial" w:cs="Arial" w:eastAsia="Arial" w:hAnsi="Arial"/>
          <w:sz w:val="16"/>
          <w:szCs w:val="16"/>
          <w:color w:val="auto"/>
        </w:rPr>
      </w:pPr>
      <w:r>
        <w:rPr>
          <w:rFonts w:ascii="Arial" w:cs="Arial" w:eastAsia="Arial" w:hAnsi="Arial"/>
          <w:sz w:val="16"/>
          <w:szCs w:val="16"/>
          <w:color w:val="auto"/>
        </w:rPr>
        <w:t>Saleel Awsare, Senior Vice President and General Manager, IoT Division</w:t>
      </w:r>
    </w:p>
    <w:p>
      <w:pPr>
        <w:spacing w:after="0" w:line="116" w:lineRule="exact"/>
        <w:rPr>
          <w:rFonts w:ascii="Arial" w:cs="Arial" w:eastAsia="Arial" w:hAnsi="Arial"/>
          <w:sz w:val="16"/>
          <w:szCs w:val="16"/>
          <w:color w:val="auto"/>
        </w:rPr>
      </w:pPr>
    </w:p>
    <w:p>
      <w:pPr>
        <w:ind w:left="867" w:hanging="387"/>
        <w:spacing w:after="0"/>
        <w:tabs>
          <w:tab w:leader="none" w:pos="867" w:val="left"/>
        </w:tabs>
        <w:numPr>
          <w:ilvl w:val="0"/>
          <w:numId w:val="6"/>
        </w:numPr>
        <w:rPr>
          <w:rFonts w:ascii="Arial" w:cs="Arial" w:eastAsia="Arial" w:hAnsi="Arial"/>
          <w:sz w:val="16"/>
          <w:szCs w:val="16"/>
          <w:color w:val="auto"/>
        </w:rPr>
      </w:pPr>
      <w:r>
        <w:rPr>
          <w:rFonts w:ascii="Arial" w:cs="Arial" w:eastAsia="Arial" w:hAnsi="Arial"/>
          <w:sz w:val="16"/>
          <w:szCs w:val="16"/>
          <w:color w:val="auto"/>
        </w:rPr>
        <w:t>Jason Tsai, Head of Investor Relations</w:t>
      </w:r>
    </w:p>
    <w:p>
      <w:pPr>
        <w:spacing w:after="0" w:line="200" w:lineRule="exact"/>
        <w:rPr>
          <w:sz w:val="20"/>
          <w:szCs w:val="20"/>
          <w:color w:val="auto"/>
        </w:rPr>
      </w:pPr>
    </w:p>
    <w:p>
      <w:pPr>
        <w:ind w:left="7" w:right="20"/>
        <w:spacing w:after="0" w:line="264" w:lineRule="auto"/>
        <w:rPr>
          <w:sz w:val="20"/>
          <w:szCs w:val="20"/>
          <w:color w:val="auto"/>
        </w:rPr>
      </w:pPr>
      <w:r>
        <w:rPr>
          <w:rFonts w:ascii="Arial" w:cs="Arial" w:eastAsia="Arial" w:hAnsi="Arial"/>
          <w:sz w:val="16"/>
          <w:szCs w:val="16"/>
          <w:color w:val="auto"/>
        </w:rPr>
        <w:t xml:space="preserve">To participate on the live call, analysts and investors should dial 800-367-2403 (conference ID: 9659203). Supplementary slides, a copy of the prepared remarks, and a live and archived webcast of the conference call will be accessible from the “Investor Relations” section of the company’s Website at </w:t>
      </w:r>
      <w:r>
        <w:rPr>
          <w:rFonts w:ascii="Arial" w:cs="Arial" w:eastAsia="Arial" w:hAnsi="Arial"/>
          <w:sz w:val="16"/>
          <w:szCs w:val="16"/>
          <w:u w:val="single" w:color="auto"/>
          <w:color w:val="auto"/>
        </w:rPr>
        <w:t>www.synaptics.com</w:t>
      </w:r>
      <w:r>
        <w:rPr>
          <w:rFonts w:ascii="Arial" w:cs="Arial" w:eastAsia="Arial" w:hAnsi="Arial"/>
          <w:sz w:val="16"/>
          <w:szCs w:val="16"/>
          <w:color w:val="auto"/>
        </w:rPr>
        <w:t>.</w:t>
      </w:r>
    </w:p>
    <w:p>
      <w:pPr>
        <w:sectPr>
          <w:pgSz w:w="11900" w:h="16838" w:orient="portrait"/>
          <w:cols w:equalWidth="0" w:num="1">
            <w:col w:w="9727"/>
          </w:cols>
          <w:pgMar w:left="1053" w:top="1156" w:right="11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572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2500" cy="572135"/>
                    </a:xfrm>
                    <a:prstGeom prst="rect">
                      <a:avLst/>
                    </a:prstGeom>
                    <a:noFill/>
                  </pic:spPr>
                </pic:pic>
              </a:graphicData>
            </a:graphic>
          </wp:anchor>
        </w:drawing>
        <w:t>About Synaptics Incorporated</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Synaptics is the pioneer and leader of the human interface revolution, bringing innovative and intuitive user experiences to intelligent devices. Synaptics’ broad portfolio of touch, display, biometrics, voice, audio, and multimedia products is built on the company’s rich R&amp;D, extensive IP and dependable supply chain capabilities. With solutions designed for mobile, PC, smart home, and automotive industries, Synaptics combines ease of use, functionality and aesthetics to enable products that help make our digital lives more productive, secure and enjoyable. (NASDAQ: SYNA) www.synaptics.com.</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Join Synaptics on </w:t>
      </w:r>
      <w:r>
        <w:rPr>
          <w:rFonts w:ascii="Arial" w:cs="Arial" w:eastAsia="Arial" w:hAnsi="Arial"/>
          <w:sz w:val="16"/>
          <w:szCs w:val="16"/>
          <w:u w:val="single" w:color="auto"/>
          <w:color w:val="auto"/>
        </w:rPr>
        <w:t>Twitter, LinkedIn,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Facebook</w:t>
      </w:r>
      <w:r>
        <w:rPr>
          <w:rFonts w:ascii="Arial" w:cs="Arial" w:eastAsia="Arial" w:hAnsi="Arial"/>
          <w:sz w:val="16"/>
          <w:szCs w:val="16"/>
          <w:color w:val="auto"/>
        </w:rPr>
        <w:t xml:space="preserve"> or visit </w:t>
      </w:r>
      <w:r>
        <w:rPr>
          <w:rFonts w:ascii="Arial" w:cs="Arial" w:eastAsia="Arial" w:hAnsi="Arial"/>
          <w:sz w:val="16"/>
          <w:szCs w:val="16"/>
          <w:u w:val="single" w:color="auto"/>
          <w:color w:val="auto"/>
        </w:rPr>
        <w:t>www.synaptics.com</w:t>
      </w:r>
      <w:r>
        <w:rPr>
          <w:rFonts w:ascii="Arial" w:cs="Arial" w:eastAsia="Arial" w:hAnsi="Arial"/>
          <w:sz w:val="16"/>
          <w:szCs w:val="16"/>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Non-GAAP Financial Information</w:t>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In evaluating its business, Synaptics considers and uses Non-GAAP Net Income, which we define as net income excluding share-based compensation, acquisition related costs, and certain other non-cash or recurring and non-recurring items the company does not believe are indicative of its core operating performance as a supplemental measure of operating performance. Non-GAAP Net Income is not a measurement of the company’s financial performance under GAAP and should not be considered as an alternative to GAAP net income. The company presents Non-GAAP Net Income because it considers it an important supplemental measure of its performance since it facilitates operating performance comparisons from period to period by eliminating potential differences in net income caused by the existence and timing of share-based compensation charges, acquisition related costs, and certain other non-cash or recurring and non-recurring items. Non-GAAP Net Income has limitations as an analytical tool and should not be considered in isolation or as a substitute for the company’s GAAP net income. The principal limitations of this measure are that it does not reflect the company’s actual expenses and may thus have the effect of inflating its net income and net income per share as compared to its operating results reported under GAAP. In addition, the company presents components of Non-GAAP Net Income, such as Non-GAAP Gross Margin and Non-GAAP operating expenses, for similar reasons.</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As presented in the “Reconciliation of GAAP Financial Measures to Non-GAAP Financial Measures” tables that follow, Non-GAAP Net Income and each of the other Non-GAAP financial measures excludes one or more of the following items: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related costs.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Acquisition related costs primarily consist of:</w:t>
      </w:r>
    </w:p>
    <w:p>
      <w:pPr>
        <w:spacing w:after="0" w:line="116" w:lineRule="exact"/>
        <w:rPr>
          <w:sz w:val="20"/>
          <w:szCs w:val="20"/>
          <w:color w:val="auto"/>
        </w:rPr>
      </w:pPr>
    </w:p>
    <w:p>
      <w:pPr>
        <w:ind w:left="860" w:right="340" w:hanging="387"/>
        <w:spacing w:after="0" w:line="264"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amortization of purchased intangibles, which includes acquired intangibles such as developed technology, customer relationships, trademarks, backlog, licensed technology, patents, and in-process technology when post-acquisition development is determined to be substantively complete,</w:t>
      </w:r>
    </w:p>
    <w:p>
      <w:pPr>
        <w:spacing w:after="0" w:line="77" w:lineRule="exact"/>
        <w:rPr>
          <w:rFonts w:ascii="Arial" w:cs="Arial" w:eastAsia="Arial" w:hAnsi="Arial"/>
          <w:sz w:val="16"/>
          <w:szCs w:val="16"/>
          <w:color w:val="auto"/>
        </w:rPr>
      </w:pPr>
    </w:p>
    <w:p>
      <w:pPr>
        <w:ind w:left="860" w:hanging="387"/>
        <w:spacing w:after="0"/>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inventory adjustments affecting the carrying value of inventory acquired in an acquisition,</w:t>
      </w:r>
    </w:p>
    <w:p>
      <w:pPr>
        <w:spacing w:after="0" w:line="116" w:lineRule="exact"/>
        <w:rPr>
          <w:rFonts w:ascii="Arial" w:cs="Arial" w:eastAsia="Arial" w:hAnsi="Arial"/>
          <w:sz w:val="16"/>
          <w:szCs w:val="16"/>
          <w:color w:val="auto"/>
        </w:rPr>
      </w:pPr>
    </w:p>
    <w:p>
      <w:pPr>
        <w:ind w:left="860" w:right="600" w:hanging="387"/>
        <w:spacing w:after="0" w:line="277"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transitory post-acquisition incentive programs negotiated in connection with an acquired business or designed to encourage post-acquisition retention of key employees, and</w:t>
      </w:r>
    </w:p>
    <w:p>
      <w:pPr>
        <w:spacing w:after="0" w:line="67" w:lineRule="exact"/>
        <w:rPr>
          <w:rFonts w:ascii="Arial" w:cs="Arial" w:eastAsia="Arial" w:hAnsi="Arial"/>
          <w:sz w:val="16"/>
          <w:szCs w:val="16"/>
          <w:color w:val="auto"/>
        </w:rPr>
      </w:pPr>
    </w:p>
    <w:p>
      <w:pPr>
        <w:ind w:left="860" w:right="380" w:hanging="387"/>
        <w:spacing w:after="0" w:line="277"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legal and consulting costs associated with acquisitions that have been announced, including non-recurring post-acquisition costs and services.</w:t>
      </w:r>
    </w:p>
    <w:p>
      <w:pPr>
        <w:sectPr>
          <w:pgSz w:w="11900" w:h="16838" w:orient="portrait"/>
          <w:cols w:equalWidth="0" w:num="1">
            <w:col w:w="9720"/>
          </w:cols>
          <w:pgMar w:left="1060" w:top="1156" w:right="1119" w:bottom="1440" w:gutter="0" w:footer="0" w:header="0"/>
        </w:sectPr>
      </w:pPr>
    </w:p>
    <w:bookmarkStart w:id="6" w:name="page7"/>
    <w:bookmarkEnd w:id="6"/>
    <w:p>
      <w:pPr>
        <w:ind w:right="20"/>
        <w:spacing w:after="0" w:line="25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572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2500" cy="572135"/>
                    </a:xfrm>
                    <a:prstGeom prst="rect">
                      <a:avLst/>
                    </a:prstGeom>
                    <a:noFill/>
                  </pic:spPr>
                </pic:pic>
              </a:graphicData>
            </a:graphic>
          </wp:anchor>
        </w:drawing>
        <w:t>These acquisition related costs are not factored into the company’s evaluation of its ongoing business operating performance or potential acquisitions, as they are not considered as part of the company’s principal operations. Further, the amount of these costs can vary significantly from period to period based on the terms of an earn-out arrangement, revisions to assumptions that went into developing the estimate of the contingent consideration associated with an earn-out arrangement, the size and timing of an acquisition, the lives assigned to the acquired intangible assets, and the maturity of the business acquired. Excluding acquisition related costs from Non-GAAP measures provides investors with a basis to compare Synaptics against the performance of other companies without the variability and potential earnings volatility associated with purchase accounting and acquisition related items.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Share-based compensation.</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Share-based compensation expense relates to employee equity award programs and the vesting of the underlying awards, which includes stock options, deferred stock units, market stock units and the employee stock purchase plan. Share-based compensation is a non-cash expense that varies in amount from period to period and is dependent on market forces that are often beyond the company’s control. As a result, the company excludes this item from its internal operating forecasts and models. The company believes that Non-GAAP measures reflecting adjustments for share-based compensation provide investors with a basis to compare the company’s principal operating performance against the performance of peer companies without the variability created by share-based compensation resulting from the variety of equity awards used by other companies and the varying methodologies and assumptions used.</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costs.</w:t>
      </w:r>
    </w:p>
    <w:p>
      <w:pPr>
        <w:spacing w:after="0" w:line="104"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Restructuring costs consist primarily of employee severance and office closure costs, including the reversal of such costs. These costs are cash-based and designed to address cost structure inefficiencies. As a result, the company excludes restructuring costs from its internal operating forecasts and models when evaluating its ongoing business performance. The company believes that Non-GAAP measures reflecting adjustments for restructuring costs provide investors with a basis to compare the company’s principal operating performance against the performance of other companies without the variability created by restructuring costs designed to address cost structure inefficiencies in its business.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Retention program costs.</w:t>
      </w:r>
    </w:p>
    <w:p>
      <w:pPr>
        <w:spacing w:after="0" w:line="104" w:lineRule="exact"/>
        <w:rPr>
          <w:sz w:val="20"/>
          <w:szCs w:val="20"/>
          <w:color w:val="auto"/>
        </w:rPr>
      </w:pPr>
    </w:p>
    <w:p>
      <w:pPr>
        <w:ind w:right="380"/>
        <w:spacing w:after="0" w:line="302" w:lineRule="auto"/>
        <w:rPr>
          <w:sz w:val="20"/>
          <w:szCs w:val="20"/>
          <w:color w:val="auto"/>
        </w:rPr>
      </w:pPr>
      <w:r>
        <w:rPr>
          <w:rFonts w:ascii="Arial" w:cs="Arial" w:eastAsia="Arial" w:hAnsi="Arial"/>
          <w:sz w:val="14"/>
          <w:szCs w:val="14"/>
          <w:color w:val="auto"/>
        </w:rPr>
        <w:t>Retention program costs consist of employee retention arrangement costs designed to ensure operational continuity and support through employee retention. These costs are cash-based and designed to ensure retention of certain key engineering and management employees as we transition the company through senior level management and product focus changes. As a result, the company excludes retention program costs from its internal operating forecasts and models when evaluating its ongoing business performance. The company believes that Non-GAAP measures reflecting adjustments for retention program costs provide investors with a basis to compare the company’s principal operating performance</w:t>
      </w:r>
    </w:p>
    <w:p>
      <w:pPr>
        <w:sectPr>
          <w:pgSz w:w="11900" w:h="16838" w:orient="portrait"/>
          <w:cols w:equalWidth="0" w:num="1">
            <w:col w:w="9780"/>
          </w:cols>
          <w:pgMar w:left="1060" w:top="1160" w:right="1059" w:bottom="1440" w:gutter="0" w:footer="0" w:header="0"/>
        </w:sectPr>
      </w:pPr>
    </w:p>
    <w:bookmarkStart w:id="7" w:name="page8"/>
    <w:bookmarkEnd w:id="7"/>
    <w:p>
      <w:pPr>
        <w:ind w:right="26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5721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2500" cy="572135"/>
                    </a:xfrm>
                    <a:prstGeom prst="rect">
                      <a:avLst/>
                    </a:prstGeom>
                    <a:noFill/>
                  </pic:spPr>
                </pic:pic>
              </a:graphicData>
            </a:graphic>
          </wp:anchor>
        </w:drawing>
        <w:t>against the performance of other companies without the variability created by retention program costs designed to ensure operational continuity and support through employee retention during a transition of senior level management and product focus changes.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In-process research and development.</w:t>
      </w:r>
    </w:p>
    <w:p>
      <w:pPr>
        <w:spacing w:after="0" w:line="104"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In-process research and development represents research and development that is not yet complete. In the context of a business combination, in-process research and development costs will be capitalized and subsequently amortized over an estimated life or impaired. In the context of an asset acquisition, in-process research and development costs will be expensed immediately unless there is an alternative future use. From time to time, we may acquire in-process research and development assets as part of an asset acquisition. If determined to have no alternative future use, these in-process research and development assets will be expensed in the period acquired. As a result, the company excludes in-process research and development costs from its internal operating forecasts and models when evaluating its ongoing business performance. The company believes that Non-GAAP measures reflecting adjustments for in-process research and development costs provide investors with a basis to compare the company’s principal operating performance against the performance of other companies without the variability created by in-process research and development costs.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non-cash items.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Other non-cash items includes non-cash amortization of debt discount and issuance costs. These items are excluded from Non-GAAP results as they are non-cash. Excluding other non-cash items from Non-GAAP measures provides investors with a basis to compare Synaptics against the performance of other companies without the variability associated with other non-cash items.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Recovery on sale of investment.</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Recovery on sale of investment, represents the gain on the recovery of an investment in which the cost basis was previously written down to fair value. This item is excluded from Non-GAAP results as the previous write-down was excluded from Non-GAAP results. Excluding recovery on sale of investment from Non-GAAP measures provides investors with a basis to compare Synaptics against the performance of other companies without the variability associated with recovery on sale of investment.</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Arbitration settlement, net</w:t>
      </w:r>
    </w:p>
    <w:p>
      <w:pPr>
        <w:spacing w:after="0" w:line="104"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Arbitration settlement, net represents the impact of the settlement of an arbitration matter net of related legal and consulting services that is unusual or infrequent. As a result, the company excludes from its internal operating forecasts and models, when evaluating its ongoing business performance, arbitration settlement amounts net of related costs. The company believes that Non-GAAP measures reflecting an adjustment for arbitration settlements net of related costs provides investors with a basis to compare the company’s principal operating performance against the performance of other companies without the variability created by infrequent, non-recurring or non-routine arbitration settlements net of related costs.</w:t>
      </w:r>
    </w:p>
    <w:p>
      <w:pPr>
        <w:sectPr>
          <w:pgSz w:w="11900" w:h="16838" w:orient="portrait"/>
          <w:cols w:equalWidth="0" w:num="1">
            <w:col w:w="9720"/>
          </w:cols>
          <w:pgMar w:left="1060" w:top="1160" w:right="1119" w:bottom="1440" w:gutter="0" w:footer="0" w:header="0"/>
        </w:sectPr>
      </w:pPr>
    </w:p>
    <w:bookmarkStart w:id="8" w:name="page9"/>
    <w:bookmarkEnd w:id="8"/>
    <w:p>
      <w:pP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5721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2500" cy="572135"/>
                    </a:xfrm>
                    <a:prstGeom prst="rect">
                      <a:avLst/>
                    </a:prstGeom>
                    <a:noFill/>
                  </pic:spPr>
                </pic:pic>
              </a:graphicData>
            </a:graphic>
          </wp:anchor>
        </w:drawing>
        <w:t>Equity investment loss.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Equity investment loss represents an adjustment in the book value of an equity investment in a minority owned company. The equity investment loss is a non-cash item. As a result, the company excludes equity investment loss from its internal operating forecasts and models when evaluating its ongoing business performance. The company believes that Non-GAAP measures reflecting adjustments for equity investment loss provide investors with a basis to compare the company’s principal operating performance against the performance of other companies without the variability created by non-cash items.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Non-GAAP tax adjustments.</w:t>
      </w:r>
    </w:p>
    <w:p>
      <w:pPr>
        <w:spacing w:after="0" w:line="104"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The company forecasts its long-term Non-GAAP tax rate in order to provide investors with improved long-term modeling accuracy and consistency across financial reporting periods by eliminating the effects of certain items in our Non-GAAP net income and Non-GAAP net income per share, including the type and amount of deductible stock options, delivery of shares under deferred stock unit awards, market stock unit awards, and performance stock unit awards, the taxation of post-acquisition intercompany intellectual property cross-licensing or transfer transactions, and the impact of other acquisition items that may or may not be tax deductible. The company intends to evaluate its long-term Non-GAAP tax rate annually for significant events, including material tax law changes in the major tax jurisdictions in which the company operates, corporate organizational changes related to acquisitions or tax planning opportunities, and substantive changes in our geographic earnings mix.</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08" w:lineRule="exact"/>
        <w:rPr>
          <w:sz w:val="20"/>
          <w:szCs w:val="20"/>
          <w:color w:val="auto"/>
        </w:rPr>
      </w:pPr>
    </w:p>
    <w:p>
      <w:pPr>
        <w:ind w:right="40"/>
        <w:spacing w:after="0" w:line="293" w:lineRule="auto"/>
        <w:rPr>
          <w:sz w:val="20"/>
          <w:szCs w:val="20"/>
          <w:color w:val="auto"/>
        </w:rPr>
      </w:pPr>
      <w:r>
        <w:rPr>
          <w:rFonts w:ascii="Arial" w:cs="Arial" w:eastAsia="Arial" w:hAnsi="Arial"/>
          <w:sz w:val="14"/>
          <w:szCs w:val="14"/>
          <w:color w:val="auto"/>
        </w:rPr>
        <w:t>This press release contains forward-looking statements that are subject to the safe harbors created under the Securities Act of 1933, as amended, and the Securities Exchange Act of 1934, as amended. Forward-looking statements give our current expectations and projections relating to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of our Annual Report on Form 10-K for the fiscal year ended June 29, 2019, and other risks as identified from time to time in our Securities and Exchange Commission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w:t>
      </w:r>
    </w:p>
    <w:p>
      <w:pPr>
        <w:sectPr>
          <w:pgSz w:w="11900" w:h="16838" w:orient="portrait"/>
          <w:cols w:equalWidth="0" w:num="1">
            <w:col w:w="9780"/>
          </w:cols>
          <w:pgMar w:left="1060" w:top="1160" w:right="1059" w:bottom="1440" w:gutter="0" w:footer="0" w:header="0"/>
        </w:sectPr>
      </w:pPr>
    </w:p>
    <w:bookmarkStart w:id="9" w:name="page10"/>
    <w:bookmarkEnd w:id="9"/>
    <w:p>
      <w:pPr>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5721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2500" cy="572135"/>
                    </a:xfrm>
                    <a:prstGeom prst="rect">
                      <a:avLst/>
                    </a:prstGeom>
                    <a:noFill/>
                  </pic:spPr>
                </pic:pic>
              </a:graphicData>
            </a:graphic>
          </wp:anchor>
        </w:drawing>
        <w:t>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release.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more information contact: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Jason Tsai</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jason.tsai@synaptics.com</w:t>
      </w:r>
    </w:p>
    <w:p>
      <w:pPr>
        <w:sectPr>
          <w:pgSz w:w="11900" w:h="16838" w:orient="portrait"/>
          <w:cols w:equalWidth="0" w:num="1">
            <w:col w:w="9740"/>
          </w:cols>
          <w:pgMar w:left="1060" w:top="1160" w:right="10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SYNAPTICS INCORPORATED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BALANCE SHEETS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 except share data)</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w w:val="86"/>
              </w:rPr>
              <w:t>Sept 30,</w:t>
            </w:r>
          </w:p>
        </w:tc>
        <w:tc>
          <w:tcPr>
            <w:tcW w:w="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w w:val="84"/>
              </w:rPr>
              <w:t>June 30,</w:t>
            </w:r>
          </w:p>
        </w:tc>
      </w:tr>
      <w:tr>
        <w:trPr>
          <w:trHeight w:val="148"/>
        </w:trPr>
        <w:tc>
          <w:tcPr>
            <w:tcW w:w="8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1"/>
              <w:spacing w:after="0" w:line="148" w:lineRule="exact"/>
              <w:rPr>
                <w:sz w:val="20"/>
                <w:szCs w:val="20"/>
                <w:color w:val="auto"/>
              </w:rPr>
            </w:pPr>
            <w:r>
              <w:rPr>
                <w:rFonts w:ascii="Arial" w:cs="Arial" w:eastAsia="Arial" w:hAnsi="Arial"/>
                <w:sz w:val="13"/>
                <w:szCs w:val="13"/>
                <w:color w:val="auto"/>
              </w:rPr>
              <w:t>2019</w:t>
            </w: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1"/>
              <w:spacing w:after="0" w:line="148" w:lineRule="exact"/>
              <w:rPr>
                <w:sz w:val="20"/>
                <w:szCs w:val="20"/>
                <w:color w:val="auto"/>
              </w:rPr>
            </w:pPr>
            <w:r>
              <w:rPr>
                <w:rFonts w:ascii="Arial" w:cs="Arial" w:eastAsia="Arial" w:hAnsi="Arial"/>
                <w:sz w:val="13"/>
                <w:szCs w:val="13"/>
                <w:color w:val="auto"/>
              </w:rPr>
              <w:t>2019</w:t>
            </w:r>
          </w:p>
        </w:tc>
        <w:tc>
          <w:tcPr>
            <w:tcW w:w="100" w:type="dxa"/>
            <w:vAlign w:val="bottom"/>
            <w:tcBorders>
              <w:bottom w:val="single" w:sz="8" w:color="CCEEFF"/>
            </w:tcBorders>
          </w:tcPr>
          <w:p>
            <w:pPr>
              <w:spacing w:after="0"/>
              <w:rPr>
                <w:sz w:val="12"/>
                <w:szCs w:val="12"/>
                <w:color w:val="auto"/>
              </w:rPr>
            </w:pPr>
          </w:p>
        </w:tc>
      </w:tr>
      <w:tr>
        <w:trPr>
          <w:trHeight w:val="172"/>
        </w:trPr>
        <w:tc>
          <w:tcPr>
            <w:tcW w:w="816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Assets</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2"/>
        </w:trPr>
        <w:tc>
          <w:tcPr>
            <w:tcW w:w="8160" w:type="dxa"/>
            <w:vAlign w:val="bottom"/>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350.8</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327.8</w:t>
            </w:r>
          </w:p>
        </w:tc>
      </w:tr>
      <w:tr>
        <w:trPr>
          <w:trHeight w:val="192"/>
        </w:trPr>
        <w:tc>
          <w:tcPr>
            <w:tcW w:w="8160" w:type="dxa"/>
            <w:vAlign w:val="bottom"/>
          </w:tcPr>
          <w:p>
            <w:pPr>
              <w:ind w:left="320"/>
              <w:spacing w:after="0"/>
              <w:rPr>
                <w:sz w:val="20"/>
                <w:szCs w:val="20"/>
                <w:color w:val="auto"/>
              </w:rPr>
            </w:pPr>
            <w:r>
              <w:rPr>
                <w:rFonts w:ascii="Arial" w:cs="Arial" w:eastAsia="Arial" w:hAnsi="Arial"/>
                <w:sz w:val="16"/>
                <w:szCs w:val="16"/>
                <w:color w:val="auto"/>
              </w:rPr>
              <w:t>Accounts receivables, net of allowances of $2.1 at September 30, and June 30, 2019</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232.2</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230.0</w:t>
            </w:r>
          </w:p>
        </w:tc>
      </w:tr>
      <w:tr>
        <w:trPr>
          <w:trHeight w:val="192"/>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Inventories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158.7</w:t>
            </w:r>
          </w:p>
        </w:tc>
      </w:tr>
      <w:tr>
        <w:trPr>
          <w:trHeight w:val="196"/>
        </w:trPr>
        <w:tc>
          <w:tcPr>
            <w:tcW w:w="816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15.9</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14.6</w:t>
            </w:r>
          </w:p>
        </w:tc>
      </w:tr>
      <w:tr>
        <w:trPr>
          <w:trHeight w:val="192"/>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737.1</w:t>
            </w:r>
          </w:p>
        </w:tc>
        <w:tc>
          <w:tcPr>
            <w:tcW w:w="3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731.1</w:t>
            </w:r>
          </w:p>
        </w:tc>
        <w:tc>
          <w:tcPr>
            <w:tcW w:w="100" w:type="dxa"/>
            <w:vAlign w:val="bottom"/>
            <w:shd w:val="clear" w:color="auto" w:fill="CCEEFF"/>
          </w:tcPr>
          <w:p>
            <w:pPr>
              <w:spacing w:after="0"/>
              <w:rPr>
                <w:sz w:val="16"/>
                <w:szCs w:val="16"/>
                <w:color w:val="auto"/>
              </w:rPr>
            </w:pPr>
          </w:p>
        </w:tc>
      </w:tr>
      <w:tr>
        <w:trPr>
          <w:trHeight w:val="288"/>
        </w:trPr>
        <w:tc>
          <w:tcPr>
            <w:tcW w:w="8160" w:type="dxa"/>
            <w:vAlign w:val="bottom"/>
          </w:tcPr>
          <w:p>
            <w:pPr>
              <w:spacing w:after="0"/>
              <w:rPr>
                <w:sz w:val="20"/>
                <w:szCs w:val="20"/>
                <w:color w:val="auto"/>
              </w:rPr>
            </w:pPr>
            <w:r>
              <w:rPr>
                <w:rFonts w:ascii="Arial" w:cs="Arial" w:eastAsia="Arial" w:hAnsi="Arial"/>
                <w:sz w:val="16"/>
                <w:szCs w:val="16"/>
                <w:color w:val="auto"/>
              </w:rPr>
              <w:t>Property and equipment at cost, net</w:t>
            </w:r>
          </w:p>
        </w:tc>
        <w:tc>
          <w:tcPr>
            <w:tcW w:w="8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98.8</w:t>
            </w: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103.0</w:t>
            </w:r>
          </w:p>
        </w:tc>
      </w:tr>
      <w:tr>
        <w:trPr>
          <w:trHeight w:val="192"/>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372.8</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372.8</w:t>
            </w:r>
          </w:p>
        </w:tc>
      </w:tr>
      <w:tr>
        <w:trPr>
          <w:trHeight w:val="192"/>
        </w:trPr>
        <w:tc>
          <w:tcPr>
            <w:tcW w:w="8160" w:type="dxa"/>
            <w:vAlign w:val="bottom"/>
          </w:tcPr>
          <w:p>
            <w:pPr>
              <w:spacing w:after="0"/>
              <w:rPr>
                <w:sz w:val="20"/>
                <w:szCs w:val="20"/>
                <w:color w:val="auto"/>
              </w:rPr>
            </w:pPr>
            <w:r>
              <w:rPr>
                <w:rFonts w:ascii="Arial" w:cs="Arial" w:eastAsia="Arial" w:hAnsi="Arial"/>
                <w:sz w:val="16"/>
                <w:szCs w:val="16"/>
                <w:color w:val="auto"/>
              </w:rPr>
              <w:t>Purchased intangibles, net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126.6</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144.8</w:t>
            </w:r>
          </w:p>
        </w:tc>
      </w:tr>
      <w:tr>
        <w:trPr>
          <w:trHeight w:val="192"/>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Non-current other assets</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89.0</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58.1</w:t>
            </w:r>
          </w:p>
        </w:tc>
      </w:tr>
      <w:tr>
        <w:trPr>
          <w:trHeight w:val="196"/>
        </w:trPr>
        <w:tc>
          <w:tcPr>
            <w:tcW w:w="8160" w:type="dxa"/>
            <w:vAlign w:val="bottom"/>
          </w:tcPr>
          <w:p>
            <w:pPr>
              <w:spacing w:after="0"/>
              <w:rPr>
                <w:sz w:val="20"/>
                <w:szCs w:val="20"/>
                <w:color w:val="auto"/>
              </w:rPr>
            </w:pPr>
            <w:r>
              <w:rPr>
                <w:rFonts w:ascii="Arial" w:cs="Arial" w:eastAsia="Arial" w:hAnsi="Arial"/>
                <w:sz w:val="16"/>
                <w:szCs w:val="16"/>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1,424.3</w:t>
            </w:r>
          </w:p>
        </w:tc>
        <w:tc>
          <w:tcPr>
            <w:tcW w:w="3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1,409.8</w:t>
            </w:r>
          </w:p>
        </w:tc>
        <w:tc>
          <w:tcPr>
            <w:tcW w:w="100" w:type="dxa"/>
            <w:vAlign w:val="bottom"/>
          </w:tcPr>
          <w:p>
            <w:pPr>
              <w:spacing w:after="0"/>
              <w:rPr>
                <w:sz w:val="17"/>
                <w:szCs w:val="17"/>
                <w:color w:val="auto"/>
              </w:rPr>
            </w:pPr>
          </w:p>
        </w:tc>
      </w:tr>
      <w:tr>
        <w:trPr>
          <w:trHeight w:val="20"/>
        </w:trPr>
        <w:tc>
          <w:tcPr>
            <w:tcW w:w="8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0"/>
        </w:trPr>
        <w:tc>
          <w:tcPr>
            <w:tcW w:w="81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Liabilities and stockholders’ equity</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2"/>
        </w:trPr>
        <w:tc>
          <w:tcPr>
            <w:tcW w:w="8160" w:type="dxa"/>
            <w:vAlign w:val="bottom"/>
          </w:tcPr>
          <w:p>
            <w:pPr>
              <w:spacing w:after="0"/>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98.3</w:t>
            </w:r>
          </w:p>
        </w:tc>
      </w:tr>
      <w:tr>
        <w:trPr>
          <w:trHeight w:val="192"/>
        </w:trPr>
        <w:tc>
          <w:tcPr>
            <w:tcW w:w="8160" w:type="dxa"/>
            <w:vAlign w:val="bottom"/>
          </w:tcPr>
          <w:p>
            <w:pPr>
              <w:ind w:left="320"/>
              <w:spacing w:after="0"/>
              <w:rPr>
                <w:sz w:val="20"/>
                <w:szCs w:val="20"/>
                <w:color w:val="auto"/>
              </w:rPr>
            </w:pPr>
            <w:r>
              <w:rPr>
                <w:rFonts w:ascii="Arial" w:cs="Arial" w:eastAsia="Arial" w:hAnsi="Arial"/>
                <w:sz w:val="16"/>
                <w:szCs w:val="16"/>
                <w:color w:val="auto"/>
              </w:rPr>
              <w:t>Accrued compensation</w:t>
            </w:r>
          </w:p>
        </w:tc>
        <w:tc>
          <w:tcPr>
            <w:tcW w:w="8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31.3</w:t>
            </w:r>
          </w:p>
        </w:tc>
        <w:tc>
          <w:tcPr>
            <w:tcW w:w="8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30.4</w:t>
            </w:r>
          </w:p>
        </w:tc>
      </w:tr>
      <w:tr>
        <w:trPr>
          <w:trHeight w:val="192"/>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taxes payable</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w:t>
            </w:r>
          </w:p>
        </w:tc>
      </w:tr>
      <w:tr>
        <w:trPr>
          <w:trHeight w:val="196"/>
        </w:trPr>
        <w:tc>
          <w:tcPr>
            <w:tcW w:w="8160" w:type="dxa"/>
            <w:vAlign w:val="bottom"/>
          </w:tcPr>
          <w:p>
            <w:pPr>
              <w:ind w:left="320"/>
              <w:spacing w:after="0"/>
              <w:rPr>
                <w:sz w:val="20"/>
                <w:szCs w:val="20"/>
                <w:color w:val="auto"/>
              </w:rPr>
            </w:pPr>
            <w:r>
              <w:rPr>
                <w:rFonts w:ascii="Arial" w:cs="Arial" w:eastAsia="Arial" w:hAnsi="Arial"/>
                <w:sz w:val="16"/>
                <w:szCs w:val="16"/>
                <w:color w:val="auto"/>
              </w:rPr>
              <w:t>Other accrued liabilities</w:t>
            </w: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7"/>
                <w:szCs w:val="17"/>
                <w:color w:val="auto"/>
              </w:rPr>
            </w:pPr>
          </w:p>
        </w:tc>
      </w:tr>
      <w:tr>
        <w:trPr>
          <w:trHeight w:val="192"/>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253.9</w:t>
            </w:r>
          </w:p>
        </w:tc>
      </w:tr>
      <w:tr>
        <w:trPr>
          <w:trHeight w:val="288"/>
        </w:trPr>
        <w:tc>
          <w:tcPr>
            <w:tcW w:w="8160" w:type="dxa"/>
            <w:vAlign w:val="bottom"/>
          </w:tcPr>
          <w:p>
            <w:pPr>
              <w:spacing w:after="0"/>
              <w:rPr>
                <w:sz w:val="20"/>
                <w:szCs w:val="20"/>
                <w:color w:val="auto"/>
              </w:rPr>
            </w:pPr>
            <w:r>
              <w:rPr>
                <w:rFonts w:ascii="Arial" w:cs="Arial" w:eastAsia="Arial" w:hAnsi="Arial"/>
                <w:sz w:val="16"/>
                <w:szCs w:val="16"/>
                <w:color w:val="auto"/>
              </w:rPr>
              <w:t>Convertible notes, net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472.8</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468.3</w:t>
            </w:r>
          </w:p>
        </w:tc>
      </w:tr>
      <w:tr>
        <w:trPr>
          <w:trHeight w:val="192"/>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Non-current portion of acquisition-related liabilities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816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47.9</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30.3</w:t>
            </w:r>
          </w:p>
        </w:tc>
      </w:tr>
      <w:tr>
        <w:trPr>
          <w:trHeight w:val="192"/>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769.5</w:t>
            </w:r>
          </w:p>
        </w:tc>
        <w:tc>
          <w:tcPr>
            <w:tcW w:w="3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752.5</w:t>
            </w:r>
          </w:p>
        </w:tc>
        <w:tc>
          <w:tcPr>
            <w:tcW w:w="100" w:type="dxa"/>
            <w:vAlign w:val="bottom"/>
            <w:shd w:val="clear" w:color="auto" w:fill="CCEEFF"/>
          </w:tcPr>
          <w:p>
            <w:pPr>
              <w:spacing w:after="0"/>
              <w:rPr>
                <w:sz w:val="16"/>
                <w:szCs w:val="16"/>
                <w:color w:val="auto"/>
              </w:rPr>
            </w:pPr>
          </w:p>
        </w:tc>
      </w:tr>
      <w:tr>
        <w:trPr>
          <w:trHeight w:val="288"/>
        </w:trPr>
        <w:tc>
          <w:tcPr>
            <w:tcW w:w="816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6"/>
        </w:trPr>
        <w:tc>
          <w:tcPr>
            <w:tcW w:w="8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92"/>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2"/>
        </w:trPr>
        <w:tc>
          <w:tcPr>
            <w:tcW w:w="8160" w:type="dxa"/>
            <w:vAlign w:val="bottom"/>
          </w:tcPr>
          <w:p>
            <w:pPr>
              <w:ind w:left="320"/>
              <w:spacing w:after="0"/>
              <w:rPr>
                <w:sz w:val="20"/>
                <w:szCs w:val="20"/>
                <w:color w:val="auto"/>
              </w:rPr>
            </w:pPr>
            <w:r>
              <w:rPr>
                <w:rFonts w:ascii="Arial" w:cs="Arial" w:eastAsia="Arial" w:hAnsi="Arial"/>
                <w:sz w:val="16"/>
                <w:szCs w:val="16"/>
                <w:color w:val="auto"/>
              </w:rPr>
              <w:t>Preferred stock;</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81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$.001 par value; 10,000,000 shares authorized; no shares issued and outstanding</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192"/>
        </w:trPr>
        <w:tc>
          <w:tcPr>
            <w:tcW w:w="8160" w:type="dxa"/>
            <w:vAlign w:val="bottom"/>
          </w:tcPr>
          <w:p>
            <w:pPr>
              <w:ind w:left="320"/>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0"/>
        </w:trPr>
        <w:tc>
          <w:tcPr>
            <w:tcW w:w="8160" w:type="dxa"/>
            <w:vAlign w:val="bottom"/>
            <w:shd w:val="clear" w:color="auto" w:fill="CCEEFF"/>
          </w:tcPr>
          <w:p>
            <w:pPr>
              <w:ind w:left="640"/>
              <w:spacing w:after="0" w:line="180" w:lineRule="exact"/>
              <w:rPr>
                <w:sz w:val="20"/>
                <w:szCs w:val="20"/>
                <w:color w:val="auto"/>
              </w:rPr>
            </w:pPr>
            <w:r>
              <w:rPr>
                <w:rFonts w:ascii="Arial" w:cs="Arial" w:eastAsia="Arial" w:hAnsi="Arial"/>
                <w:sz w:val="16"/>
                <w:szCs w:val="16"/>
                <w:color w:val="auto"/>
                <w:w w:val="93"/>
              </w:rPr>
              <w:t>$.001 par value; 120,000,000 shares authorized; 64,493,058 and 64,283,948 shares issued, and 33,003,182 and</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5"/>
        </w:trPr>
        <w:tc>
          <w:tcPr>
            <w:tcW w:w="81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33,349,735 shares outstanding, respectively</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w:t>
            </w:r>
          </w:p>
        </w:tc>
      </w:tr>
      <w:tr>
        <w:trPr>
          <w:trHeight w:val="192"/>
        </w:trPr>
        <w:tc>
          <w:tcPr>
            <w:tcW w:w="8160" w:type="dxa"/>
            <w:vAlign w:val="bottom"/>
          </w:tcPr>
          <w:p>
            <w:pPr>
              <w:ind w:left="320"/>
              <w:spacing w:after="0"/>
              <w:rPr>
                <w:sz w:val="20"/>
                <w:szCs w:val="20"/>
                <w:color w:val="auto"/>
              </w:rPr>
            </w:pPr>
            <w:r>
              <w:rPr>
                <w:rFonts w:ascii="Arial" w:cs="Arial" w:eastAsia="Arial" w:hAnsi="Arial"/>
                <w:sz w:val="16"/>
                <w:szCs w:val="16"/>
                <w:color w:val="auto"/>
              </w:rPr>
              <w:t>Additional paid in capital</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7"/>
              </w:rPr>
              <w:t>1,277.5</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1,266.1</w:t>
            </w:r>
          </w:p>
        </w:tc>
      </w:tr>
      <w:tr>
        <w:trPr>
          <w:trHeight w:val="192"/>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Less: 31,489,876 and 30,934,213 treasury shares, respectively, at cost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0"/>
              </w:rPr>
              <w:t>(1,209.4)</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(1,192.4)</w:t>
            </w:r>
          </w:p>
        </w:tc>
      </w:tr>
      <w:tr>
        <w:trPr>
          <w:trHeight w:val="192"/>
        </w:trPr>
        <w:tc>
          <w:tcPr>
            <w:tcW w:w="8160" w:type="dxa"/>
            <w:vAlign w:val="bottom"/>
          </w:tcPr>
          <w:p>
            <w:pPr>
              <w:ind w:left="320"/>
              <w:spacing w:after="0"/>
              <w:rPr>
                <w:sz w:val="20"/>
                <w:szCs w:val="20"/>
                <w:color w:val="auto"/>
              </w:rPr>
            </w:pPr>
            <w:r>
              <w:rPr>
                <w:rFonts w:ascii="Arial" w:cs="Arial" w:eastAsia="Arial" w:hAnsi="Arial"/>
                <w:sz w:val="16"/>
                <w:szCs w:val="16"/>
                <w:color w:val="auto"/>
              </w:rPr>
              <w:t>Accumulated other comprehensive income</w:t>
            </w:r>
          </w:p>
        </w:tc>
        <w:tc>
          <w:tcPr>
            <w:tcW w:w="80" w:type="dxa"/>
            <w:vAlign w:val="bottom"/>
          </w:tcPr>
          <w:p>
            <w:pPr>
              <w:spacing w:after="0"/>
              <w:rPr>
                <w:sz w:val="16"/>
                <w:szCs w:val="16"/>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92"/>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Retained earnings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586.6</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583.5</w:t>
            </w:r>
          </w:p>
        </w:tc>
      </w:tr>
      <w:tr>
        <w:trPr>
          <w:trHeight w:val="200"/>
        </w:trPr>
        <w:tc>
          <w:tcPr>
            <w:tcW w:w="816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654.8</w:t>
            </w:r>
          </w:p>
        </w:tc>
        <w:tc>
          <w:tcPr>
            <w:tcW w:w="3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657.3</w:t>
            </w:r>
          </w:p>
        </w:tc>
        <w:tc>
          <w:tcPr>
            <w:tcW w:w="100" w:type="dxa"/>
            <w:vAlign w:val="bottom"/>
          </w:tcPr>
          <w:p>
            <w:pPr>
              <w:spacing w:after="0"/>
              <w:rPr>
                <w:sz w:val="17"/>
                <w:szCs w:val="17"/>
                <w:color w:val="auto"/>
              </w:rPr>
            </w:pPr>
          </w:p>
        </w:tc>
      </w:tr>
      <w:tr>
        <w:trPr>
          <w:trHeight w:val="192"/>
        </w:trPr>
        <w:tc>
          <w:tcPr>
            <w:tcW w:w="816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1,424.3</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1,409.8</w:t>
            </w:r>
          </w:p>
        </w:tc>
      </w:tr>
      <w:tr>
        <w:trPr>
          <w:trHeight w:val="20"/>
        </w:trPr>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9800"/>
          </w:cols>
          <w:pgMar w:left="1060" w:top="259" w:right="1039" w:bottom="1440" w:gutter="0" w:footer="0" w:header="0"/>
        </w:sectPr>
      </w:pPr>
    </w:p>
    <w:bookmarkStart w:id="11" w:name="page12"/>
    <w:bookmarkEnd w:id="11"/>
    <w:p>
      <w:pPr>
        <w:jc w:val="center"/>
        <w:ind w:right="-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SYNAPTICS INCORPORATED</w:t>
      </w:r>
    </w:p>
    <w:p>
      <w:pPr>
        <w:spacing w:after="0" w:line="2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CONDENSED CONSOLIDATED STATEMENTS OF OPERATIONS</w:t>
      </w:r>
    </w:p>
    <w:p>
      <w:pPr>
        <w:spacing w:after="0" w:line="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(In millions except per share data)</w:t>
      </w:r>
    </w:p>
    <w:p>
      <w:pPr>
        <w:spacing w:after="0" w:line="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(Unaudited)</w:t>
      </w:r>
    </w:p>
    <w:p>
      <w:pPr>
        <w:spacing w:after="0" w:line="201" w:lineRule="exact"/>
        <w:rPr>
          <w:sz w:val="20"/>
          <w:szCs w:val="20"/>
          <w:color w:val="auto"/>
        </w:rPr>
      </w:pPr>
    </w:p>
    <w:p>
      <w:pPr>
        <w:jc w:val="center"/>
        <w:ind w:left="8480"/>
        <w:spacing w:after="0"/>
        <w:rPr>
          <w:sz w:val="20"/>
          <w:szCs w:val="20"/>
          <w:color w:val="auto"/>
        </w:rPr>
      </w:pPr>
      <w:r>
        <w:rPr>
          <w:rFonts w:ascii="Arial" w:cs="Arial" w:eastAsia="Arial" w:hAnsi="Arial"/>
          <w:sz w:val="13"/>
          <w:szCs w:val="13"/>
          <w:color w:val="auto"/>
        </w:rPr>
        <w:t>Three Months Ended</w:t>
      </w:r>
    </w:p>
    <w:p>
      <w:pPr>
        <w:jc w:val="center"/>
        <w:ind w:left="8480"/>
        <w:spacing w:after="0" w:line="221" w:lineRule="auto"/>
        <w:rPr>
          <w:sz w:val="20"/>
          <w:szCs w:val="20"/>
          <w:color w:val="auto"/>
        </w:rPr>
      </w:pPr>
      <w:r>
        <w:rPr>
          <w:rFonts w:ascii="Arial" w:cs="Arial" w:eastAsia="Arial" w:hAnsi="Arial"/>
          <w:sz w:val="13"/>
          <w:szCs w:val="13"/>
          <w:color w:val="auto"/>
        </w:rPr>
        <w:t>September 30,</w:t>
      </w:r>
    </w:p>
    <w:tbl>
      <w:tblPr>
        <w:tblLayout w:type="fixed"/>
        <w:tblInd w:w="7" w:type="dxa"/>
        <w:tblCellMar>
          <w:top w:w="0" w:type="dxa"/>
          <w:left w:w="0" w:type="dxa"/>
          <w:bottom w:w="0" w:type="dxa"/>
          <w:right w:w="0" w:type="dxa"/>
        </w:tblCellMar>
      </w:tblPr>
      <w:tr>
        <w:trPr>
          <w:trHeight w:val="124"/>
        </w:trPr>
        <w:tc>
          <w:tcPr>
            <w:tcW w:w="856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1"/>
              <w:spacing w:after="0" w:line="124" w:lineRule="exact"/>
              <w:rPr>
                <w:sz w:val="20"/>
                <w:szCs w:val="20"/>
                <w:color w:val="auto"/>
              </w:rPr>
            </w:pPr>
            <w:r>
              <w:rPr>
                <w:rFonts w:ascii="Arial" w:cs="Arial" w:eastAsia="Arial" w:hAnsi="Arial"/>
                <w:sz w:val="13"/>
                <w:szCs w:val="13"/>
                <w:color w:val="auto"/>
                <w:w w:val="82"/>
              </w:rPr>
              <w:t>2019</w:t>
            </w:r>
          </w:p>
        </w:tc>
        <w:tc>
          <w:tcPr>
            <w:tcW w:w="2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41"/>
              <w:spacing w:after="0" w:line="124" w:lineRule="exact"/>
              <w:rPr>
                <w:sz w:val="20"/>
                <w:szCs w:val="20"/>
                <w:color w:val="auto"/>
              </w:rPr>
            </w:pPr>
            <w:r>
              <w:rPr>
                <w:rFonts w:ascii="Arial" w:cs="Arial" w:eastAsia="Arial" w:hAnsi="Arial"/>
                <w:sz w:val="13"/>
                <w:szCs w:val="13"/>
                <w:color w:val="auto"/>
                <w:w w:val="82"/>
              </w:rPr>
              <w:t>2018</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339.9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417.6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560" w:type="dxa"/>
            <w:vAlign w:val="bottom"/>
          </w:tcPr>
          <w:p>
            <w:pPr>
              <w:spacing w:after="0"/>
              <w:rPr>
                <w:sz w:val="20"/>
                <w:szCs w:val="20"/>
                <w:color w:val="auto"/>
              </w:rPr>
            </w:pPr>
            <w:r>
              <w:rPr>
                <w:rFonts w:ascii="Arial" w:cs="Arial" w:eastAsia="Arial" w:hAnsi="Arial"/>
                <w:sz w:val="16"/>
                <w:szCs w:val="16"/>
                <w:color w:val="auto"/>
              </w:rPr>
              <w:t>Acquisition related costs (1)</w:t>
            </w:r>
          </w:p>
        </w:tc>
        <w:tc>
          <w:tcPr>
            <w:tcW w:w="10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92"/>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4"/>
              </w:rPr>
              <w:t>198.4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259.7</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20"/>
                <w:szCs w:val="20"/>
                <w:color w:val="auto"/>
              </w:rPr>
            </w:pPr>
            <w:r>
              <w:rPr>
                <w:rFonts w:ascii="Arial" w:cs="Arial" w:eastAsia="Arial" w:hAnsi="Arial"/>
                <w:sz w:val="16"/>
                <w:szCs w:val="16"/>
                <w:color w:val="auto"/>
              </w:rPr>
              <w:t>Gross margin</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126.2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140.9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56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192"/>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192"/>
        </w:trPr>
        <w:tc>
          <w:tcPr>
            <w:tcW w:w="8560" w:type="dxa"/>
            <w:vAlign w:val="bottom"/>
          </w:tcPr>
          <w:p>
            <w:pPr>
              <w:ind w:left="320"/>
              <w:spacing w:after="0"/>
              <w:rPr>
                <w:sz w:val="20"/>
                <w:szCs w:val="20"/>
                <w:color w:val="auto"/>
              </w:rPr>
            </w:pPr>
            <w:r>
              <w:rPr>
                <w:rFonts w:ascii="Arial" w:cs="Arial" w:eastAsia="Arial" w:hAnsi="Arial"/>
                <w:sz w:val="16"/>
                <w:szCs w:val="16"/>
                <w:color w:val="auto"/>
              </w:rPr>
              <w:t>Acquisition related costs, net (2)</w:t>
            </w:r>
          </w:p>
        </w:tc>
        <w:tc>
          <w:tcPr>
            <w:tcW w:w="10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2"/>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Restructuring costs (3)</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0"/>
        </w:trPr>
        <w:tc>
          <w:tcPr>
            <w:tcW w:w="856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123.0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135.1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20"/>
                <w:szCs w:val="20"/>
                <w:color w:val="auto"/>
              </w:rPr>
            </w:pPr>
            <w:r>
              <w:rPr>
                <w:rFonts w:ascii="Arial" w:cs="Arial" w:eastAsia="Arial" w:hAnsi="Arial"/>
                <w:sz w:val="16"/>
                <w:szCs w:val="16"/>
                <w:color w:val="auto"/>
              </w:rPr>
              <w:t>Interest and other income, net</w:t>
            </w:r>
          </w:p>
        </w:tc>
        <w:tc>
          <w:tcPr>
            <w:tcW w:w="100" w:type="dxa"/>
            <w:vAlign w:val="bottom"/>
          </w:tcPr>
          <w:p>
            <w:pPr>
              <w:spacing w:after="0"/>
              <w:rPr>
                <w:sz w:val="16"/>
                <w:szCs w:val="16"/>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Income/(loss) before income taxes</w:t>
            </w:r>
          </w:p>
        </w:tc>
        <w:tc>
          <w:tcPr>
            <w:tcW w:w="10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20"/>
                <w:szCs w:val="20"/>
                <w:color w:val="auto"/>
              </w:rPr>
            </w:pPr>
            <w:r>
              <w:rPr>
                <w:rFonts w:ascii="Arial" w:cs="Arial" w:eastAsia="Arial" w:hAnsi="Arial"/>
                <w:sz w:val="16"/>
                <w:szCs w:val="16"/>
                <w:color w:val="auto"/>
              </w:rPr>
              <w:t>Benefit for income taxes</w:t>
            </w:r>
          </w:p>
        </w:tc>
        <w:tc>
          <w:tcPr>
            <w:tcW w:w="100" w:type="dxa"/>
            <w:vAlign w:val="bottom"/>
          </w:tcPr>
          <w:p>
            <w:pPr>
              <w:spacing w:after="0"/>
              <w:rPr>
                <w:sz w:val="16"/>
                <w:szCs w:val="16"/>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2"/>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Equity investment loss</w:t>
            </w:r>
          </w:p>
        </w:tc>
        <w:tc>
          <w:tcPr>
            <w:tcW w:w="10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6"/>
        </w:trPr>
        <w:tc>
          <w:tcPr>
            <w:tcW w:w="856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r>
              <w:rPr>
                <w:rFonts w:ascii="Arial" w:cs="Arial" w:eastAsia="Arial" w:hAnsi="Arial"/>
                <w:sz w:val="16"/>
                <w:szCs w:val="16"/>
                <w:u w:val="single" w:color="auto"/>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5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income per share:</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560" w:type="dxa"/>
            <w:vAlign w:val="bottom"/>
          </w:tcPr>
          <w:p>
            <w:pPr>
              <w:ind w:left="320"/>
              <w:spacing w:after="0"/>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560" w:type="dxa"/>
            <w:vAlign w:val="bottom"/>
            <w:shd w:val="clear" w:color="auto" w:fill="CCEEFF"/>
          </w:tcPr>
          <w:p>
            <w:pPr>
              <w:ind w:left="320"/>
              <w:spacing w:after="0" w:line="181" w:lineRule="exact"/>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6"/>
                <w:szCs w:val="16"/>
                <w:color w:val="auto"/>
              </w:rPr>
              <w:t>Shares used in computing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ind w:left="32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560" w:type="dxa"/>
            <w:vAlign w:val="bottom"/>
            <w:vMerge w:val="continue"/>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33.6</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387" w:right="60" w:hanging="387"/>
        <w:spacing w:after="0" w:line="258" w:lineRule="auto"/>
        <w:tabs>
          <w:tab w:leader="none" w:pos="38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acquisition related costs consist primarily of amortization of acquired intangible assets and inventory fair value adjustments associated with acquisitions.</w:t>
      </w:r>
    </w:p>
    <w:p>
      <w:pPr>
        <w:spacing w:after="0" w:line="1" w:lineRule="exact"/>
        <w:rPr>
          <w:rFonts w:ascii="Arial" w:cs="Arial" w:eastAsia="Arial" w:hAnsi="Arial"/>
          <w:sz w:val="16"/>
          <w:szCs w:val="16"/>
          <w:color w:val="auto"/>
        </w:rPr>
      </w:pPr>
    </w:p>
    <w:p>
      <w:pPr>
        <w:ind w:left="387" w:right="540" w:hanging="387"/>
        <w:spacing w:after="0" w:line="250" w:lineRule="auto"/>
        <w:tabs>
          <w:tab w:leader="none" w:pos="38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acquisition related costs, net consist primarily of amortization associated with certain acquired intangible assets as well as transitory acquisition related compensation plans.</w:t>
      </w:r>
    </w:p>
    <w:p>
      <w:pPr>
        <w:spacing w:after="0" w:line="1" w:lineRule="exact"/>
        <w:rPr>
          <w:rFonts w:ascii="Arial" w:cs="Arial" w:eastAsia="Arial" w:hAnsi="Arial"/>
          <w:sz w:val="16"/>
          <w:szCs w:val="16"/>
          <w:color w:val="auto"/>
        </w:rPr>
      </w:pPr>
    </w:p>
    <w:p>
      <w:pPr>
        <w:ind w:left="387" w:hanging="387"/>
        <w:spacing w:after="0"/>
        <w:tabs>
          <w:tab w:leader="none" w:pos="387" w:val="left"/>
        </w:tabs>
        <w:numPr>
          <w:ilvl w:val="0"/>
          <w:numId w:val="8"/>
        </w:numPr>
        <w:rPr>
          <w:rFonts w:ascii="Arial" w:cs="Arial" w:eastAsia="Arial" w:hAnsi="Arial"/>
          <w:sz w:val="14"/>
          <w:szCs w:val="14"/>
          <w:color w:val="auto"/>
        </w:rPr>
      </w:pPr>
      <w:r>
        <w:rPr>
          <w:rFonts w:ascii="Arial" w:cs="Arial" w:eastAsia="Arial" w:hAnsi="Arial"/>
          <w:sz w:val="14"/>
          <w:szCs w:val="14"/>
          <w:color w:val="auto"/>
        </w:rPr>
        <w:t>Restructuring costs primarily include severance costs and facility consolidation costs associated with operational restructurings and acquisitions.</w:t>
      </w:r>
    </w:p>
    <w:p>
      <w:pPr>
        <w:sectPr>
          <w:pgSz w:w="11900" w:h="16838" w:orient="portrait"/>
          <w:cols w:equalWidth="0" w:num="1">
            <w:col w:w="9807"/>
          </w:cols>
          <w:pgMar w:left="1053" w:top="259" w:right="10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SYNAPTICS INCORPORATED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Reconciliation of GAAP Financial Measures to Non-GAAP Financial Measures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millions except per share data)</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(Unaudited)</w:t>
      </w:r>
    </w:p>
    <w:p>
      <w:pPr>
        <w:sectPr>
          <w:pgSz w:w="11900" w:h="16838" w:orient="portrait"/>
          <w:cols w:equalWidth="0" w:num="1">
            <w:col w:w="9740"/>
          </w:cols>
          <w:pgMar w:left="1060" w:top="259"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224270" cy="129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24270" cy="129540"/>
                    </a:xfrm>
                    <a:prstGeom prst="rect">
                      <a:avLst/>
                    </a:prstGeom>
                    <a:noFill/>
                  </pic:spPr>
                </pic:pic>
              </a:graphicData>
            </a:graphic>
          </wp:anchor>
        </w:drawing>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Acquisition related costs</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Loss/(recovery) on supply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Retention costs</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Non-GAAP gross margin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GAAP gross margin -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224270" cy="121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spacing w:after="0" w:line="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Acquisition related costs - percentage of revenue</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Loss/(recovery) on supply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4"/>
          <w:szCs w:val="14"/>
          <w:color w:val="auto"/>
        </w:rPr>
        <w:t>Share-based compensation - percentage of revenue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Non-GAAP gross margin -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224270" cy="121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GAAP research and development expense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Retention costs</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In-process research and development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Non-GAAP research and development expense</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GAAP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6224270" cy="121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Share-based compensation</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Acquisition and integration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Retention costs</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Arbitration settlement,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Non-GAAP selling, general, and administrative expense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224270" cy="121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Share-based compensation</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Acquisition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Loss/(recovery) on supply commitment</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Restructuring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Retention costs</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In-process research and development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Arbitration settlement, net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Non-GAAP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224270" cy="121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GAAP net income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Acquisition related costs</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Loss/(recovery) on supply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Restructuring costs</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Retention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In-process research and development charge</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Arbitration settlement,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Other non-cash items</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Recovery on sale 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Equity investment loss</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Non-GAAP tax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Non-GAAP net income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GAAP net income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224270" cy="121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Share-based compensation</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Acquisition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Loss/(recovery) on supply commitment</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Restructuring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Retention costs</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In-process research and development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Arbitration settlement, net</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Other non-cash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Recovery on sale of investment</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Equity investment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224270" cy="1219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Non-GAAP tax adjustments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Non-GAAP net income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6224270" cy="121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24270" cy="121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Three Months Ended</w:t>
      </w:r>
    </w:p>
    <w:p>
      <w:pPr>
        <w:jc w:val="center"/>
        <w:ind w:right="120"/>
        <w:spacing w:after="0" w:line="231" w:lineRule="auto"/>
        <w:rPr>
          <w:sz w:val="20"/>
          <w:szCs w:val="20"/>
          <w:color w:val="auto"/>
        </w:rPr>
      </w:pPr>
      <w:r>
        <w:rPr>
          <w:rFonts w:ascii="Arial" w:cs="Arial" w:eastAsia="Arial" w:hAnsi="Arial"/>
          <w:sz w:val="13"/>
          <w:szCs w:val="13"/>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80073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00735" cy="7620"/>
                    </a:xfrm>
                    <a:prstGeom prst="rect">
                      <a:avLst/>
                    </a:prstGeom>
                    <a:noFill/>
                  </pic:spPr>
                </pic:pic>
              </a:graphicData>
            </a:graphic>
          </wp:anchor>
        </w:drawing>
      </w:r>
    </w:p>
    <w:p>
      <w:pPr>
        <w:ind w:left="80"/>
        <w:spacing w:after="0"/>
        <w:tabs>
          <w:tab w:leader="none" w:pos="880" w:val="left"/>
        </w:tabs>
        <w:rPr>
          <w:sz w:val="20"/>
          <w:szCs w:val="20"/>
          <w:color w:val="auto"/>
        </w:rPr>
      </w:pPr>
      <w:r>
        <w:rPr>
          <w:rFonts w:ascii="Arial" w:cs="Arial" w:eastAsia="Arial" w:hAnsi="Arial"/>
          <w:sz w:val="13"/>
          <w:szCs w:val="13"/>
          <w:color w:val="auto"/>
        </w:rPr>
        <w:t>2019</w:t>
      </w:r>
      <w:r>
        <w:rPr>
          <w:sz w:val="20"/>
          <w:szCs w:val="20"/>
          <w:color w:val="auto"/>
        </w:rPr>
        <w:tab/>
      </w:r>
      <w:r>
        <w:rPr>
          <w:rFonts w:ascii="Arial" w:cs="Arial" w:eastAsia="Arial" w:hAnsi="Arial"/>
          <w:sz w:val="13"/>
          <w:szCs w:val="13"/>
          <w:color w:val="auto"/>
        </w:rPr>
        <w:t>2018</w:t>
      </w:r>
    </w:p>
    <w:p>
      <w:pPr>
        <w:spacing w:after="0" w:line="2"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$126.2</w:t>
      </w:r>
      <w:r>
        <w:rPr>
          <w:sz w:val="20"/>
          <w:szCs w:val="20"/>
          <w:color w:val="auto"/>
        </w:rPr>
        <w:tab/>
      </w:r>
      <w:r>
        <w:rPr>
          <w:rFonts w:ascii="Arial" w:cs="Arial" w:eastAsia="Arial" w:hAnsi="Arial"/>
          <w:sz w:val="14"/>
          <w:szCs w:val="14"/>
          <w:color w:val="auto"/>
        </w:rPr>
        <w:t>$140.9</w:t>
      </w:r>
    </w:p>
    <w:p>
      <w:pPr>
        <w:spacing w:after="0" w:line="7"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6"/>
          <w:szCs w:val="16"/>
          <w:color w:val="auto"/>
        </w:rPr>
        <w:t>15.3</w:t>
      </w:r>
      <w:r>
        <w:rPr>
          <w:sz w:val="20"/>
          <w:szCs w:val="20"/>
          <w:color w:val="auto"/>
        </w:rPr>
        <w:tab/>
      </w:r>
      <w:r>
        <w:rPr>
          <w:rFonts w:ascii="Arial" w:cs="Arial" w:eastAsia="Arial" w:hAnsi="Arial"/>
          <w:sz w:val="14"/>
          <w:szCs w:val="14"/>
          <w:color w:val="auto"/>
        </w:rPr>
        <w:t>17.0</w:t>
      </w:r>
    </w:p>
    <w:p>
      <w:pPr>
        <w:spacing w:after="0" w:line="8"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w:t>
      </w:r>
    </w:p>
    <w:p>
      <w:pPr>
        <w:spacing w:after="0" w:line="8" w:lineRule="exact"/>
        <w:rPr>
          <w:sz w:val="20"/>
          <w:szCs w:val="20"/>
          <w:color w:val="auto"/>
        </w:rPr>
      </w:pPr>
    </w:p>
    <w:p>
      <w:pPr>
        <w:ind w:left="240"/>
        <w:spacing w:after="0"/>
        <w:tabs>
          <w:tab w:leader="none" w:pos="1000" w:val="left"/>
        </w:tabs>
        <w:rPr>
          <w:sz w:val="20"/>
          <w:szCs w:val="20"/>
          <w:color w:val="auto"/>
        </w:rPr>
      </w:pPr>
      <w:r>
        <w:rPr>
          <w:rFonts w:ascii="Arial" w:cs="Arial" w:eastAsia="Arial" w:hAnsi="Arial"/>
          <w:sz w:val="16"/>
          <w:szCs w:val="16"/>
          <w:color w:val="auto"/>
        </w:rPr>
        <w:t>0.1</w:t>
      </w:r>
      <w:r>
        <w:rPr>
          <w:sz w:val="20"/>
          <w:szCs w:val="20"/>
          <w:color w:val="auto"/>
        </w:rPr>
        <w:tab/>
      </w:r>
      <w:r>
        <w:rPr>
          <w:rFonts w:ascii="Arial" w:cs="Arial" w:eastAsia="Arial" w:hAnsi="Arial"/>
          <w:sz w:val="16"/>
          <w:szCs w:val="16"/>
          <w:color w:val="auto"/>
        </w:rPr>
        <w:t>—</w:t>
      </w:r>
    </w:p>
    <w:p>
      <w:pPr>
        <w:spacing w:after="0" w:line="8"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6"/>
          <w:szCs w:val="16"/>
          <w:color w:val="auto"/>
        </w:rPr>
        <w:t>0.7</w:t>
      </w:r>
      <w:r>
        <w:rPr>
          <w:sz w:val="20"/>
          <w:szCs w:val="20"/>
          <w:color w:val="auto"/>
        </w:rPr>
        <w:tab/>
      </w:r>
      <w:r>
        <w:rPr>
          <w:rFonts w:ascii="Arial" w:cs="Arial" w:eastAsia="Arial" w:hAnsi="Arial"/>
          <w:sz w:val="14"/>
          <w:szCs w:val="14"/>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28194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1940" cy="7620"/>
                    </a:xfrm>
                    <a:prstGeom prst="rect">
                      <a:avLst/>
                    </a:prstGeom>
                    <a:noFill/>
                  </pic:spPr>
                </pic:pic>
              </a:graphicData>
            </a:graphic>
          </wp:anchor>
        </w:drawing>
        <w:drawing>
          <wp:anchor simplePos="0" relativeHeight="251657728" behindDoc="1" locked="0" layoutInCell="0" allowOverlap="1">
            <wp:simplePos x="0" y="0"/>
            <wp:positionH relativeFrom="column">
              <wp:posOffset>514350</wp:posOffset>
            </wp:positionH>
            <wp:positionV relativeFrom="paragraph">
              <wp:posOffset>5080</wp:posOffset>
            </wp:positionV>
            <wp:extent cx="28194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1940" cy="7620"/>
                    </a:xfrm>
                    <a:prstGeom prst="rect">
                      <a:avLst/>
                    </a:prstGeom>
                    <a:noFill/>
                  </pic:spPr>
                </pic:pic>
              </a:graphicData>
            </a:graphic>
          </wp:anchor>
        </w:drawing>
      </w:r>
    </w:p>
    <w:p>
      <w:pPr>
        <w:spacing w:after="0"/>
        <w:tabs>
          <w:tab w:leader="none" w:pos="800" w:val="left"/>
        </w:tabs>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141.1</w:t>
      </w:r>
      <w:r>
        <w:rPr>
          <w:sz w:val="20"/>
          <w:szCs w:val="20"/>
          <w:color w:val="auto"/>
        </w:rPr>
        <w:tab/>
      </w:r>
      <w:r>
        <w:rPr>
          <w:rFonts w:ascii="Arial" w:cs="Arial" w:eastAsia="Arial" w:hAnsi="Arial"/>
          <w:sz w:val="14"/>
          <w:szCs w:val="14"/>
          <w:u w:val="single" w:color="auto"/>
          <w:color w:val="auto"/>
        </w:rPr>
        <w:t>$</w:t>
      </w:r>
      <w:r>
        <w:rPr>
          <w:rFonts w:ascii="Arial" w:cs="Arial" w:eastAsia="Arial" w:hAnsi="Arial"/>
          <w:sz w:val="14"/>
          <w:szCs w:val="14"/>
          <w:color w:val="auto"/>
        </w:rPr>
        <w:t>158.8</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8"/>
        </w:trPr>
        <w:tc>
          <w:tcPr>
            <w:tcW w:w="12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6"/>
                <w:szCs w:val="16"/>
                <w:color w:val="auto"/>
                <w:w w:val="96"/>
              </w:rPr>
              <w:t>37.1%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w w:val="92"/>
              </w:rPr>
              <w:t>33.7%</w:t>
            </w:r>
          </w:p>
        </w:tc>
      </w:tr>
      <w:tr>
        <w:trPr>
          <w:trHeight w:val="192"/>
        </w:trPr>
        <w:tc>
          <w:tcPr>
            <w:tcW w:w="12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4.1%</w:t>
            </w:r>
          </w:p>
        </w:tc>
      </w:tr>
      <w:tr>
        <w:trPr>
          <w:trHeight w:val="192"/>
        </w:trPr>
        <w:tc>
          <w:tcPr>
            <w:tcW w:w="12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205"/>
        </w:trPr>
        <w:tc>
          <w:tcPr>
            <w:tcW w:w="120" w:type="dxa"/>
            <w:vAlign w:val="bottom"/>
          </w:tcPr>
          <w:p>
            <w:pPr>
              <w:spacing w:after="0"/>
              <w:rPr>
                <w:sz w:val="17"/>
                <w:szCs w:val="17"/>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
        </w:trPr>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6"/>
                <w:szCs w:val="16"/>
                <w:color w:val="auto"/>
                <w:w w:val="96"/>
              </w:rPr>
              <w:t>41.5%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w w:val="92"/>
              </w:rPr>
              <w:t>38.0%</w:t>
            </w:r>
          </w:p>
        </w:tc>
      </w:tr>
      <w:tr>
        <w:trPr>
          <w:trHeight w:val="20"/>
        </w:trPr>
        <w:tc>
          <w:tcPr>
            <w:tcW w:w="1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1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w w:val="96"/>
              </w:rPr>
              <w:t>86.0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w w:val="96"/>
              </w:rPr>
              <w:t>89.6</w:t>
            </w:r>
          </w:p>
        </w:tc>
        <w:tc>
          <w:tcPr>
            <w:tcW w:w="120" w:type="dxa"/>
            <w:vAlign w:val="bottom"/>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(8.3)</w:t>
            </w:r>
          </w:p>
        </w:tc>
      </w:tr>
      <w:tr>
        <w:trPr>
          <w:trHeight w:val="192"/>
        </w:trPr>
        <w:tc>
          <w:tcPr>
            <w:tcW w:w="120" w:type="dxa"/>
            <w:vAlign w:val="bottom"/>
          </w:tcPr>
          <w:p>
            <w:pPr>
              <w:spacing w:after="0"/>
              <w:rPr>
                <w:sz w:val="16"/>
                <w:szCs w:val="16"/>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205"/>
        </w:trPr>
        <w:tc>
          <w:tcPr>
            <w:tcW w:w="120" w:type="dxa"/>
            <w:vAlign w:val="bottom"/>
          </w:tcPr>
          <w:p>
            <w:pPr>
              <w:spacing w:after="0"/>
              <w:rPr>
                <w:sz w:val="17"/>
                <w:szCs w:val="1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196"/>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96"/>
              </w:rPr>
              <w:t>72.3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81.3</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68"/>
        </w:trPr>
        <w:tc>
          <w:tcPr>
            <w:tcW w:w="1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w w:val="96"/>
              </w:rPr>
              <w:t>27.5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w w:val="96"/>
              </w:rPr>
              <w:t>33.6</w:t>
            </w:r>
          </w:p>
        </w:tc>
        <w:tc>
          <w:tcPr>
            <w:tcW w:w="120" w:type="dxa"/>
            <w:vAlign w:val="bottom"/>
          </w:tcPr>
          <w:p>
            <w:pPr>
              <w:spacing w:after="0"/>
              <w:rPr>
                <w:sz w:val="14"/>
                <w:szCs w:val="14"/>
                <w:color w:val="auto"/>
              </w:rPr>
            </w:pPr>
          </w:p>
        </w:tc>
      </w:tr>
      <w:tr>
        <w:trPr>
          <w:trHeight w:val="205"/>
        </w:trPr>
        <w:tc>
          <w:tcPr>
            <w:tcW w:w="120" w:type="dxa"/>
            <w:vAlign w:val="bottom"/>
          </w:tcPr>
          <w:p>
            <w:pPr>
              <w:spacing w:after="0"/>
              <w:rPr>
                <w:sz w:val="17"/>
                <w:szCs w:val="1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(7.5)</w:t>
            </w:r>
          </w:p>
        </w:tc>
      </w:tr>
    </w:tbl>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(1.2)</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(1.3)—</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1.7</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w w:val="96"/>
              </w:rPr>
              <w:t>23.2</w:t>
            </w:r>
          </w:p>
        </w:tc>
        <w:tc>
          <w:tcPr>
            <w:tcW w:w="220" w:type="dxa"/>
            <w:vAlign w:val="bottom"/>
          </w:tcPr>
          <w:p>
            <w:pPr>
              <w:spacing w:after="0"/>
              <w:rPr>
                <w:sz w:val="15"/>
                <w:szCs w:val="15"/>
                <w:color w:val="auto"/>
              </w:rPr>
            </w:pPr>
          </w:p>
        </w:tc>
        <w:tc>
          <w:tcPr>
            <w:tcW w:w="28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w w:val="96"/>
              </w:rPr>
              <w:t>26.6</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120" w:type="dxa"/>
            <w:vAlign w:val="bottom"/>
          </w:tcPr>
          <w:p>
            <w:pPr>
              <w:jc w:val="right"/>
              <w:spacing w:after="0" w:line="168" w:lineRule="exact"/>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3.2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5.8</w:t>
            </w:r>
          </w:p>
        </w:tc>
        <w:tc>
          <w:tcPr>
            <w:tcW w:w="20" w:type="dxa"/>
            <w:vAlign w:val="bottom"/>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6"/>
              </w:rPr>
              <w:t>11.2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16.7</w:t>
            </w:r>
          </w:p>
        </w:tc>
      </w:tr>
      <w:tr>
        <w:trPr>
          <w:trHeight w:val="192"/>
        </w:trPr>
        <w:tc>
          <w:tcPr>
            <w:tcW w:w="1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6"/>
              </w:rPr>
              <w:t>18.2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21.8</w:t>
            </w:r>
          </w:p>
        </w:tc>
      </w:tr>
      <w:tr>
        <w:trPr>
          <w:trHeight w:val="192"/>
        </w:trPr>
        <w:tc>
          <w:tcPr>
            <w:tcW w:w="1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r>
      <w:tr>
        <w:trPr>
          <w:trHeight w:val="192"/>
        </w:trPr>
        <w:tc>
          <w:tcPr>
            <w:tcW w:w="1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6.6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8.3</w:t>
            </w:r>
          </w:p>
        </w:tc>
      </w:tr>
      <w:tr>
        <w:trPr>
          <w:trHeight w:val="192"/>
        </w:trPr>
        <w:tc>
          <w:tcPr>
            <w:tcW w:w="1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r>
      <w:tr>
        <w:trPr>
          <w:trHeight w:val="205"/>
        </w:trPr>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r>
    </w:tbl>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(1.7)</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line="176" w:lineRule="exact"/>
              <w:rPr>
                <w:sz w:val="20"/>
                <w:szCs w:val="20"/>
                <w:color w:val="auto"/>
              </w:rPr>
            </w:pPr>
            <w:r>
              <w:rPr>
                <w:rFonts w:ascii="Arial" w:cs="Arial" w:eastAsia="Arial" w:hAnsi="Arial"/>
                <w:sz w:val="16"/>
                <w:szCs w:val="16"/>
                <w:color w:val="auto"/>
                <w:w w:val="96"/>
              </w:rPr>
              <w:t>45.6</w:t>
            </w:r>
          </w:p>
        </w:tc>
        <w:tc>
          <w:tcPr>
            <w:tcW w:w="220" w:type="dxa"/>
            <w:vAlign w:val="bottom"/>
          </w:tcPr>
          <w:p>
            <w:pPr>
              <w:spacing w:after="0"/>
              <w:rPr>
                <w:sz w:val="15"/>
                <w:szCs w:val="15"/>
                <w:color w:val="auto"/>
              </w:rPr>
            </w:pPr>
          </w:p>
        </w:tc>
        <w:tc>
          <w:tcPr>
            <w:tcW w:w="28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w w:val="96"/>
              </w:rPr>
              <w:t>50.9</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120" w:type="dxa"/>
            <w:vAlign w:val="bottom"/>
          </w:tcPr>
          <w:p>
            <w:pPr>
              <w:jc w:val="right"/>
              <w:spacing w:after="0" w:line="168" w:lineRule="exact"/>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4.0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3.8</w:t>
            </w:r>
          </w:p>
        </w:tc>
        <w:tc>
          <w:tcPr>
            <w:tcW w:w="20" w:type="dxa"/>
            <w:vAlign w:val="bottom"/>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6"/>
              </w:rPr>
              <w:t>11.2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16.7</w:t>
            </w:r>
          </w:p>
        </w:tc>
      </w:tr>
      <w:tr>
        <w:trPr>
          <w:trHeight w:val="192"/>
        </w:trPr>
        <w:tc>
          <w:tcPr>
            <w:tcW w:w="1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6"/>
              </w:rPr>
              <w:t>18.2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21.8</w:t>
            </w:r>
          </w:p>
        </w:tc>
      </w:tr>
      <w:tr>
        <w:trPr>
          <w:trHeight w:val="192"/>
        </w:trPr>
        <w:tc>
          <w:tcPr>
            <w:tcW w:w="1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r>
      <w:tr>
        <w:trPr>
          <w:trHeight w:val="192"/>
        </w:trPr>
        <w:tc>
          <w:tcPr>
            <w:tcW w:w="1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6.6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8.3</w:t>
            </w:r>
          </w:p>
        </w:tc>
      </w:tr>
      <w:tr>
        <w:trPr>
          <w:trHeight w:val="192"/>
        </w:trPr>
        <w:tc>
          <w:tcPr>
            <w:tcW w:w="1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r>
      <w:tr>
        <w:trPr>
          <w:trHeight w:val="205"/>
        </w:trPr>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r>
    </w:tbl>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(1.7)</w:t>
      </w:r>
    </w:p>
    <w:p>
      <w:pPr>
        <w:spacing w:after="0" w:line="8"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4"/>
          <w:szCs w:val="14"/>
          <w:color w:val="auto"/>
        </w:rPr>
        <w:t>4.5</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(2.8)</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0.5</w:t>
      </w:r>
      <w:r>
        <w:rPr>
          <w:rFonts w:ascii="Arial" w:cs="Arial" w:eastAsia="Arial" w:hAnsi="Arial"/>
          <w:sz w:val="14"/>
          <w:szCs w:val="14"/>
          <w:color w:val="auto"/>
        </w:rPr>
        <w:t>0.4</w:t>
      </w:r>
    </w:p>
    <w:p>
      <w:pPr>
        <w:spacing w:after="0" w:line="8" w:lineRule="exact"/>
        <w:rPr>
          <w:sz w:val="20"/>
          <w:szCs w:val="20"/>
          <w:color w:val="auto"/>
        </w:rPr>
      </w:pPr>
    </w:p>
    <w:p>
      <w:pPr>
        <w:ind w:left="100"/>
        <w:spacing w:after="0"/>
        <w:tabs>
          <w:tab w:leader="none" w:pos="98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4"/>
          <w:szCs w:val="14"/>
          <w:color w:val="auto"/>
        </w:rPr>
        <w:t>(6.4)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176" w:lineRule="exact"/>
              <w:rPr>
                <w:sz w:val="20"/>
                <w:szCs w:val="20"/>
                <w:color w:val="auto"/>
              </w:rPr>
            </w:pPr>
            <w:r>
              <w:rPr>
                <w:rFonts w:ascii="Arial" w:cs="Arial" w:eastAsia="Arial" w:hAnsi="Arial"/>
                <w:sz w:val="16"/>
                <w:szCs w:val="16"/>
                <w:color w:val="auto"/>
              </w:rPr>
              <w:t>41.0</w:t>
            </w:r>
          </w:p>
        </w:tc>
        <w:tc>
          <w:tcPr>
            <w:tcW w:w="200" w:type="dxa"/>
            <w:vAlign w:val="bottom"/>
          </w:tcPr>
          <w:p>
            <w:pPr>
              <w:spacing w:after="0"/>
              <w:rPr>
                <w:sz w:val="15"/>
                <w:szCs w:val="15"/>
                <w:color w:val="auto"/>
              </w:rPr>
            </w:pPr>
          </w:p>
        </w:tc>
        <w:tc>
          <w:tcPr>
            <w:tcW w:w="28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340" w:type="dxa"/>
            <w:vAlign w:val="bottom"/>
            <w:gridSpan w:val="2"/>
          </w:tcPr>
          <w:p>
            <w:pPr>
              <w:jc w:val="center"/>
              <w:spacing w:after="0" w:line="176" w:lineRule="exact"/>
              <w:rPr>
                <w:sz w:val="20"/>
                <w:szCs w:val="20"/>
                <w:color w:val="auto"/>
              </w:rPr>
            </w:pPr>
            <w:r>
              <w:rPr>
                <w:rFonts w:ascii="Arial" w:cs="Arial" w:eastAsia="Arial" w:hAnsi="Arial"/>
                <w:sz w:val="16"/>
                <w:szCs w:val="16"/>
                <w:color w:val="auto"/>
                <w:w w:val="89"/>
              </w:rPr>
              <w:t>44.6</w:t>
            </w:r>
          </w:p>
        </w:tc>
      </w:tr>
      <w:tr>
        <w:trPr>
          <w:trHeight w:val="20"/>
        </w:trPr>
        <w:tc>
          <w:tcPr>
            <w:tcW w:w="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8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0.12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color w:val="auto"/>
                <w:w w:val="89"/>
              </w:rPr>
              <w:t>0.11</w:t>
            </w:r>
          </w:p>
        </w:tc>
        <w:tc>
          <w:tcPr>
            <w:tcW w:w="20" w:type="dxa"/>
            <w:vAlign w:val="bottom"/>
          </w:tcPr>
          <w:p>
            <w:pPr>
              <w:spacing w:after="0"/>
              <w:rPr>
                <w:sz w:val="14"/>
                <w:szCs w:val="14"/>
                <w:color w:val="auto"/>
              </w:rPr>
            </w:pPr>
          </w:p>
        </w:tc>
      </w:tr>
      <w:tr>
        <w:trPr>
          <w:trHeight w:val="192"/>
        </w:trPr>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0.33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center"/>
              <w:spacing w:after="0"/>
              <w:rPr>
                <w:sz w:val="20"/>
                <w:szCs w:val="20"/>
                <w:color w:val="auto"/>
              </w:rPr>
            </w:pPr>
            <w:r>
              <w:rPr>
                <w:rFonts w:ascii="Arial" w:cs="Arial" w:eastAsia="Arial" w:hAnsi="Arial"/>
                <w:sz w:val="16"/>
                <w:szCs w:val="16"/>
                <w:color w:val="auto"/>
                <w:w w:val="89"/>
              </w:rPr>
              <w:t>0.46</w:t>
            </w:r>
          </w:p>
        </w:tc>
      </w:tr>
      <w:tr>
        <w:trPr>
          <w:trHeight w:val="192"/>
        </w:trPr>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0.54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center"/>
              <w:spacing w:after="0"/>
              <w:rPr>
                <w:sz w:val="20"/>
                <w:szCs w:val="20"/>
                <w:color w:val="auto"/>
              </w:rPr>
            </w:pPr>
            <w:r>
              <w:rPr>
                <w:rFonts w:ascii="Arial" w:cs="Arial" w:eastAsia="Arial" w:hAnsi="Arial"/>
                <w:sz w:val="16"/>
                <w:szCs w:val="16"/>
                <w:color w:val="auto"/>
                <w:w w:val="89"/>
              </w:rPr>
              <w:t>0.61</w:t>
            </w:r>
          </w:p>
        </w:tc>
      </w:tr>
      <w:tr>
        <w:trPr>
          <w:trHeight w:val="192"/>
        </w:trPr>
        <w:tc>
          <w:tcPr>
            <w:tcW w:w="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w w:val="95"/>
              </w:rPr>
              <w:t>(0.04)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center"/>
              <w:ind w:right="20"/>
              <w:spacing w:after="0"/>
              <w:rPr>
                <w:sz w:val="20"/>
                <w:szCs w:val="20"/>
                <w:color w:val="auto"/>
              </w:rPr>
            </w:pPr>
            <w:r>
              <w:rPr>
                <w:rFonts w:ascii="Arial" w:cs="Arial" w:eastAsia="Arial" w:hAnsi="Arial"/>
                <w:sz w:val="16"/>
                <w:szCs w:val="16"/>
                <w:color w:val="auto"/>
                <w:w w:val="99"/>
              </w:rPr>
              <w:t>—</w:t>
            </w:r>
          </w:p>
        </w:tc>
      </w:tr>
      <w:tr>
        <w:trPr>
          <w:trHeight w:val="192"/>
        </w:trPr>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0.20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center"/>
              <w:spacing w:after="0"/>
              <w:rPr>
                <w:sz w:val="20"/>
                <w:szCs w:val="20"/>
                <w:color w:val="auto"/>
              </w:rPr>
            </w:pPr>
            <w:r>
              <w:rPr>
                <w:rFonts w:ascii="Arial" w:cs="Arial" w:eastAsia="Arial" w:hAnsi="Arial"/>
                <w:sz w:val="16"/>
                <w:szCs w:val="16"/>
                <w:color w:val="auto"/>
                <w:w w:val="89"/>
              </w:rPr>
              <w:t>0.23</w:t>
            </w:r>
          </w:p>
        </w:tc>
      </w:tr>
      <w:tr>
        <w:trPr>
          <w:trHeight w:val="192"/>
        </w:trPr>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0.12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tcPr>
          <w:p>
            <w:pPr>
              <w:jc w:val="center"/>
              <w:ind w:right="20"/>
              <w:spacing w:after="0"/>
              <w:rPr>
                <w:sz w:val="20"/>
                <w:szCs w:val="20"/>
                <w:color w:val="auto"/>
              </w:rPr>
            </w:pPr>
            <w:r>
              <w:rPr>
                <w:rFonts w:ascii="Arial" w:cs="Arial" w:eastAsia="Arial" w:hAnsi="Arial"/>
                <w:sz w:val="16"/>
                <w:szCs w:val="16"/>
                <w:color w:val="auto"/>
                <w:w w:val="99"/>
              </w:rPr>
              <w:t>—</w:t>
            </w:r>
          </w:p>
        </w:tc>
      </w:tr>
      <w:tr>
        <w:trPr>
          <w:trHeight w:val="205"/>
        </w:trPr>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center"/>
              <w:ind w:right="20"/>
              <w:spacing w:after="0"/>
              <w:rPr>
                <w:sz w:val="20"/>
                <w:szCs w:val="20"/>
                <w:color w:val="auto"/>
              </w:rPr>
            </w:pPr>
            <w:r>
              <w:rPr>
                <w:rFonts w:ascii="Arial" w:cs="Arial" w:eastAsia="Arial" w:hAnsi="Arial"/>
                <w:sz w:val="16"/>
                <w:szCs w:val="16"/>
                <w:color w:val="auto"/>
                <w:w w:val="99"/>
              </w:rPr>
              <w:t>—</w:t>
            </w:r>
          </w:p>
        </w:tc>
      </w:tr>
    </w:tbl>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(0.05)</w:t>
      </w:r>
    </w:p>
    <w:p>
      <w:pPr>
        <w:spacing w:after="0" w:line="8"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6"/>
          <w:szCs w:val="16"/>
          <w:color w:val="auto"/>
        </w:rPr>
        <w:t>0.14</w:t>
      </w:r>
      <w:r>
        <w:rPr>
          <w:sz w:val="20"/>
          <w:szCs w:val="20"/>
          <w:color w:val="auto"/>
        </w:rPr>
        <w:tab/>
      </w:r>
      <w:r>
        <w:rPr>
          <w:rFonts w:ascii="Arial" w:cs="Arial" w:eastAsia="Arial" w:hAnsi="Arial"/>
          <w:sz w:val="14"/>
          <w:szCs w:val="14"/>
          <w:color w:val="auto"/>
        </w:rPr>
        <w:t>0.12</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(0.08)</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0.01</w:t>
      </w:r>
      <w:r>
        <w:rPr>
          <w:rFonts w:ascii="Arial" w:cs="Arial" w:eastAsia="Arial" w:hAnsi="Arial"/>
          <w:sz w:val="14"/>
          <w:szCs w:val="14"/>
          <w:color w:val="auto"/>
        </w:rPr>
        <w:t>0.01</w:t>
      </w:r>
    </w:p>
    <w:p>
      <w:pPr>
        <w:spacing w:after="0" w:line="8"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6"/>
          <w:szCs w:val="16"/>
          <w:color w:val="auto"/>
        </w:rPr>
        <w:t>(0.31)</w:t>
      </w:r>
      <w:r>
        <w:rPr>
          <w:sz w:val="20"/>
          <w:szCs w:val="20"/>
          <w:color w:val="auto"/>
        </w:rPr>
        <w:tab/>
      </w:r>
      <w:r>
        <w:rPr>
          <w:rFonts w:ascii="Arial" w:cs="Arial" w:eastAsia="Arial" w:hAnsi="Arial"/>
          <w:sz w:val="14"/>
          <w:szCs w:val="14"/>
          <w:color w:val="auto"/>
        </w:rPr>
        <w:t>(0.17)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28194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1940" cy="7620"/>
                    </a:xfrm>
                    <a:prstGeom prst="rect">
                      <a:avLst/>
                    </a:prstGeom>
                    <a:noFill/>
                  </pic:spPr>
                </pic:pic>
              </a:graphicData>
            </a:graphic>
          </wp:anchor>
        </w:drawing>
        <w:drawing>
          <wp:anchor simplePos="0" relativeHeight="251657728" behindDoc="1" locked="0" layoutInCell="0" allowOverlap="1">
            <wp:simplePos x="0" y="0"/>
            <wp:positionH relativeFrom="column">
              <wp:posOffset>514350</wp:posOffset>
            </wp:positionH>
            <wp:positionV relativeFrom="paragraph">
              <wp:posOffset>5080</wp:posOffset>
            </wp:positionV>
            <wp:extent cx="28194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1940" cy="7620"/>
                    </a:xfrm>
                    <a:prstGeom prst="rect">
                      <a:avLst/>
                    </a:prstGeom>
                    <a:noFill/>
                  </pic:spPr>
                </pic:pic>
              </a:graphicData>
            </a:graphic>
          </wp:anchor>
        </w:drawing>
      </w:r>
    </w:p>
    <w:p>
      <w:pPr>
        <w:spacing w:after="0"/>
        <w:tabs>
          <w:tab w:leader="none" w:pos="800" w:val="left"/>
        </w:tabs>
        <w:rPr>
          <w:sz w:val="20"/>
          <w:szCs w:val="20"/>
          <w:color w:val="auto"/>
        </w:rPr>
      </w:pPr>
      <w:r>
        <w:rPr>
          <w:rFonts w:ascii="Arial" w:cs="Arial" w:eastAsia="Arial" w:hAnsi="Arial"/>
          <w:sz w:val="16"/>
          <w:szCs w:val="16"/>
          <w:u w:val="single" w:color="auto"/>
          <w:color w:val="auto"/>
        </w:rPr>
        <w:t>$ 1.22</w:t>
      </w:r>
      <w:r>
        <w:rPr>
          <w:sz w:val="20"/>
          <w:szCs w:val="20"/>
          <w:color w:val="auto"/>
        </w:rPr>
        <w:tab/>
      </w:r>
      <w:r>
        <w:rPr>
          <w:rFonts w:ascii="Arial" w:cs="Arial" w:eastAsia="Arial" w:hAnsi="Arial"/>
          <w:sz w:val="15"/>
          <w:szCs w:val="15"/>
          <w:u w:val="single" w:color="auto"/>
          <w:color w:val="auto"/>
        </w:rPr>
        <w:t>$ 1.24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8194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1940" cy="7620"/>
                    </a:xfrm>
                    <a:prstGeom prst="rect">
                      <a:avLst/>
                    </a:prstGeom>
                    <a:noFill/>
                  </pic:spPr>
                </pic:pic>
              </a:graphicData>
            </a:graphic>
          </wp:anchor>
        </w:drawing>
        <w:drawing>
          <wp:anchor simplePos="0" relativeHeight="251657728" behindDoc="1" locked="0" layoutInCell="0" allowOverlap="1">
            <wp:simplePos x="0" y="0"/>
            <wp:positionH relativeFrom="column">
              <wp:posOffset>514350</wp:posOffset>
            </wp:positionH>
            <wp:positionV relativeFrom="paragraph">
              <wp:posOffset>28575</wp:posOffset>
            </wp:positionV>
            <wp:extent cx="28194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1940" cy="7620"/>
                    </a:xfrm>
                    <a:prstGeom prst="rect">
                      <a:avLst/>
                    </a:prstGeom>
                    <a:noFill/>
                  </pic:spPr>
                </pic:pic>
              </a:graphicData>
            </a:graphic>
          </wp:anchor>
        </w:drawing>
      </w:r>
    </w:p>
    <w:p>
      <w:pPr>
        <w:sectPr>
          <w:pgSz w:w="11900" w:h="16838" w:orient="portrait"/>
          <w:cols w:equalWidth="0" w:num="2">
            <w:col w:w="7640" w:space="720"/>
            <w:col w:w="1380"/>
          </w:cols>
          <w:pgMar w:left="1060" w:top="259" w:right="1099" w:bottom="1440" w:gutter="0" w:footer="0" w:header="0"/>
          <w:type w:val="continuous"/>
        </w:sectPr>
      </w:pPr>
    </w:p>
    <w:bookmarkStart w:id="13" w:name="page14"/>
    <w:bookmarkEnd w:id="13"/>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SYNAPTICS INCORPORATED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CONDENSED CONSOLIDATED CASH FlOWS</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(In millions)</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(Unaudited)</w:t>
      </w:r>
    </w:p>
    <w:p>
      <w:pPr>
        <w:spacing w:after="0" w:line="201" w:lineRule="exact"/>
        <w:rPr>
          <w:sz w:val="20"/>
          <w:szCs w:val="20"/>
          <w:color w:val="auto"/>
        </w:rPr>
      </w:pPr>
    </w:p>
    <w:p>
      <w:pPr>
        <w:jc w:val="center"/>
        <w:ind w:left="8480"/>
        <w:spacing w:after="0"/>
        <w:rPr>
          <w:sz w:val="20"/>
          <w:szCs w:val="20"/>
          <w:color w:val="auto"/>
        </w:rPr>
      </w:pPr>
      <w:r>
        <w:rPr>
          <w:rFonts w:ascii="Arial" w:cs="Arial" w:eastAsia="Arial" w:hAnsi="Arial"/>
          <w:sz w:val="13"/>
          <w:szCs w:val="13"/>
          <w:color w:val="auto"/>
        </w:rPr>
        <w:t>Three Months Ended</w:t>
      </w:r>
    </w:p>
    <w:p>
      <w:pPr>
        <w:jc w:val="center"/>
        <w:ind w:left="8480"/>
        <w:spacing w:after="0" w:line="221" w:lineRule="auto"/>
        <w:rPr>
          <w:sz w:val="20"/>
          <w:szCs w:val="20"/>
          <w:color w:val="auto"/>
        </w:rPr>
      </w:pPr>
      <w:r>
        <w:rPr>
          <w:rFonts w:ascii="Arial" w:cs="Arial" w:eastAsia="Arial" w:hAnsi="Arial"/>
          <w:sz w:val="13"/>
          <w:szCs w:val="13"/>
          <w:color w:val="auto"/>
        </w:rPr>
        <w:t>September 30,</w:t>
      </w:r>
    </w:p>
    <w:tbl>
      <w:tblPr>
        <w:tblLayout w:type="fixed"/>
        <w:tblInd w:w="0" w:type="dxa"/>
        <w:tblCellMar>
          <w:top w:w="0" w:type="dxa"/>
          <w:left w:w="0" w:type="dxa"/>
          <w:bottom w:w="0" w:type="dxa"/>
          <w:right w:w="0" w:type="dxa"/>
        </w:tblCellMar>
      </w:tblPr>
      <w:tr>
        <w:trPr>
          <w:trHeight w:val="124"/>
        </w:trPr>
        <w:tc>
          <w:tcPr>
            <w:tcW w:w="856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1"/>
              <w:spacing w:after="0" w:line="124" w:lineRule="exact"/>
              <w:rPr>
                <w:sz w:val="20"/>
                <w:szCs w:val="20"/>
                <w:color w:val="auto"/>
              </w:rPr>
            </w:pPr>
            <w:r>
              <w:rPr>
                <w:rFonts w:ascii="Arial" w:cs="Arial" w:eastAsia="Arial" w:hAnsi="Arial"/>
                <w:sz w:val="13"/>
                <w:szCs w:val="13"/>
                <w:color w:val="auto"/>
                <w:w w:val="82"/>
              </w:rPr>
              <w:t>2019</w:t>
            </w:r>
          </w:p>
        </w:tc>
        <w:tc>
          <w:tcPr>
            <w:tcW w:w="2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41"/>
              <w:spacing w:after="0" w:line="124" w:lineRule="exact"/>
              <w:rPr>
                <w:sz w:val="20"/>
                <w:szCs w:val="20"/>
                <w:color w:val="auto"/>
              </w:rPr>
            </w:pPr>
            <w:r>
              <w:rPr>
                <w:rFonts w:ascii="Arial" w:cs="Arial" w:eastAsia="Arial" w:hAnsi="Arial"/>
                <w:sz w:val="13"/>
                <w:szCs w:val="13"/>
                <w:color w:val="auto"/>
                <w:w w:val="82"/>
              </w:rPr>
              <w:t>2018</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560" w:type="dxa"/>
            <w:vAlign w:val="bottom"/>
          </w:tcPr>
          <w:p>
            <w:pPr>
              <w:ind w:left="320"/>
              <w:spacing w:after="0"/>
              <w:rPr>
                <w:sz w:val="20"/>
                <w:szCs w:val="20"/>
                <w:color w:val="auto"/>
              </w:rPr>
            </w:pPr>
            <w:r>
              <w:rPr>
                <w:rFonts w:ascii="Arial" w:cs="Arial" w:eastAsia="Arial" w:hAnsi="Arial"/>
                <w:sz w:val="16"/>
                <w:szCs w:val="16"/>
                <w:color w:val="auto"/>
              </w:rPr>
              <w:t>Non-cash operating items</w:t>
            </w:r>
          </w:p>
        </w:tc>
        <w:tc>
          <w:tcPr>
            <w:tcW w:w="10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192"/>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working capital</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0"/>
        </w:trPr>
        <w:tc>
          <w:tcPr>
            <w:tcW w:w="8560" w:type="dxa"/>
            <w:vAlign w:val="bottom"/>
          </w:tcPr>
          <w:p>
            <w:pPr>
              <w:spacing w:after="0"/>
              <w:rPr>
                <w:sz w:val="20"/>
                <w:szCs w:val="20"/>
                <w:color w:val="auto"/>
              </w:rPr>
            </w:pPr>
            <w:r>
              <w:rPr>
                <w:rFonts w:ascii="Arial" w:cs="Arial" w:eastAsia="Arial" w:hAnsi="Arial"/>
                <w:sz w:val="16"/>
                <w:szCs w:val="16"/>
                <w:color w:val="auto"/>
              </w:rPr>
              <w:t>Provided by operations</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Acquisitions</w:t>
            </w:r>
          </w:p>
        </w:tc>
        <w:tc>
          <w:tcPr>
            <w:tcW w:w="10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8560" w:type="dxa"/>
            <w:vAlign w:val="bottom"/>
          </w:tcPr>
          <w:p>
            <w:pPr>
              <w:ind w:left="320"/>
              <w:spacing w:after="0"/>
              <w:rPr>
                <w:sz w:val="20"/>
                <w:szCs w:val="20"/>
                <w:color w:val="auto"/>
              </w:rPr>
            </w:pPr>
            <w:r>
              <w:rPr>
                <w:rFonts w:ascii="Arial" w:cs="Arial" w:eastAsia="Arial" w:hAnsi="Arial"/>
                <w:sz w:val="16"/>
                <w:szCs w:val="16"/>
                <w:color w:val="auto"/>
              </w:rPr>
              <w:t>Fixed asset &amp; intangible asset purchases</w:t>
            </w:r>
          </w:p>
        </w:tc>
        <w:tc>
          <w:tcPr>
            <w:tcW w:w="100" w:type="dxa"/>
            <w:vAlign w:val="bottom"/>
          </w:tcPr>
          <w:p>
            <w:pPr>
              <w:spacing w:after="0"/>
              <w:rPr>
                <w:sz w:val="16"/>
                <w:szCs w:val="16"/>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2"/>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sales and maturities of investments</w:t>
            </w:r>
          </w:p>
        </w:tc>
        <w:tc>
          <w:tcPr>
            <w:tcW w:w="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560" w:type="dxa"/>
            <w:vAlign w:val="bottom"/>
          </w:tcPr>
          <w:p>
            <w:pPr>
              <w:spacing w:after="0"/>
              <w:rPr>
                <w:sz w:val="20"/>
                <w:szCs w:val="20"/>
                <w:color w:val="auto"/>
              </w:rPr>
            </w:pPr>
            <w:r>
              <w:rPr>
                <w:rFonts w:ascii="Arial" w:cs="Arial" w:eastAsia="Arial" w:hAnsi="Arial"/>
                <w:sz w:val="16"/>
                <w:szCs w:val="16"/>
                <w:color w:val="auto"/>
              </w:rPr>
              <w:t>Used in investing</w:t>
            </w:r>
          </w:p>
        </w:tc>
        <w:tc>
          <w:tcPr>
            <w:tcW w:w="100" w:type="dxa"/>
            <w:vAlign w:val="bottom"/>
          </w:tcPr>
          <w:p>
            <w:pPr>
              <w:spacing w:after="0"/>
              <w:rPr>
                <w:sz w:val="17"/>
                <w:szCs w:val="17"/>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Treasury shares purchased</w:t>
            </w:r>
          </w:p>
        </w:tc>
        <w:tc>
          <w:tcPr>
            <w:tcW w:w="10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95"/>
              </w:rPr>
              <w:t>(17.0)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196"/>
        </w:trPr>
        <w:tc>
          <w:tcPr>
            <w:tcW w:w="8560" w:type="dxa"/>
            <w:vAlign w:val="bottom"/>
          </w:tcPr>
          <w:p>
            <w:pPr>
              <w:ind w:left="320"/>
              <w:spacing w:after="0"/>
              <w:rPr>
                <w:sz w:val="20"/>
                <w:szCs w:val="20"/>
                <w:color w:val="auto"/>
              </w:rPr>
            </w:pPr>
            <w:r>
              <w:rPr>
                <w:rFonts w:ascii="Arial" w:cs="Arial" w:eastAsia="Arial" w:hAnsi="Arial"/>
                <w:sz w:val="16"/>
                <w:szCs w:val="16"/>
                <w:color w:val="auto"/>
              </w:rPr>
              <w:t>Equity compensation, net</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Used in financing</w:t>
            </w:r>
          </w:p>
        </w:tc>
        <w:tc>
          <w:tcPr>
            <w:tcW w:w="10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95"/>
              </w:rPr>
              <w:t>(16.8)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0"/>
        </w:trPr>
        <w:tc>
          <w:tcPr>
            <w:tcW w:w="856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00"/>
        </w:trPr>
        <w:tc>
          <w:tcPr>
            <w:tcW w:w="856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327.8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301.0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350.8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263.3</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6"/>
                <w:szCs w:val="16"/>
                <w:color w:val="auto"/>
              </w:rPr>
              <w:t>Cash paid for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56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7.1</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800"/>
          </w:cols>
          <w:pgMar w:left="1060" w:top="259" w:right="103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119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411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emdash "/>
      <w:numFmt w:val="bullet"/>
      <w:start w:val="1"/>
    </w:lvl>
  </w:abstractNum>
  <w:abstractNum w:abstractNumId="9">
    <w:nsid w:val="66EF438D"/>
    <w:multiLevelType w:val="hybridMultilevel"/>
    <w:lvl w:ilvl="0">
      <w:lvlJc w:val="left"/>
      <w:lvlText w:val="\emdash "/>
      <w:numFmt w:val="bullet"/>
      <w:start w:val="1"/>
    </w:lvl>
  </w:abstractNum>
  <w:abstractNum w:abstractNumId="10">
    <w:nsid w:val="140E0F76"/>
    <w:multiLevelType w:val="hybridMultilevel"/>
    <w:lvl w:ilvl="0">
      <w:lvlJc w:val="left"/>
      <w:lvlText w:val="\emdash "/>
      <w:numFmt w:val="bullet"/>
      <w:start w:val="1"/>
    </w:lvl>
  </w:abstractNum>
  <w:abstractNum w:abstractNumId="11">
    <w:nsid w:val="3352255A"/>
    <w:multiLevelType w:val="hybridMultilevel"/>
    <w:lvl w:ilvl="0">
      <w:lvlJc w:val="left"/>
      <w:lvlText w:val="\emdash "/>
      <w:numFmt w:val="bullet"/>
      <w:start w:val="1"/>
    </w:lvl>
  </w:abstractNum>
  <w:abstractNum w:abstractNumId="12">
    <w:nsid w:val="109CF92E"/>
    <w:multiLevelType w:val="hybridMultilevel"/>
    <w:lvl w:ilvl="0">
      <w:lvlJc w:val="left"/>
      <w:lvlText w:val="\emdash "/>
      <w:numFmt w:val="bullet"/>
      <w:start w:val="1"/>
    </w:lvl>
  </w:abstractNum>
  <w:abstractNum w:abstractNumId="13">
    <w:nsid w:val="DED7263"/>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2019-12-28T02:21:38Z</dcterms:created>
  <dcterms:modified xsi:type="dcterms:W3CDTF">2019-12-28T02:21:38Z</dcterms:modified>
</cp:coreProperties>
</file>