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June 28,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the transition period from </w:t>
      </w:r>
      <w:r>
        <w:rPr>
          <w:rFonts w:ascii="Times New Roman" w:cs="Times New Roman" w:eastAsia="Times New Roman" w:hAnsi="Times New Roman"/>
          <w:sz w:val="14"/>
          <w:szCs w:val="14"/>
          <w:b w:val="1"/>
          <w:bCs w:val="1"/>
          <w:u w:val="single" w:color="auto"/>
          <w:color w:val="auto"/>
        </w:rPr>
        <w:t>___</w:t>
      </w:r>
      <w:r>
        <w:rPr>
          <w:rFonts w:ascii="Times New Roman" w:cs="Times New Roman" w:eastAsia="Times New Roman" w:hAnsi="Times New Roman"/>
          <w:sz w:val="14"/>
          <w:szCs w:val="14"/>
          <w:b w:val="1"/>
          <w:bCs w:val="1"/>
          <w:color w:val="auto"/>
        </w:rPr>
        <w:t xml:space="preserve"> to </w:t>
      </w:r>
      <w:r>
        <w:rPr>
          <w:rFonts w:ascii="Times New Roman" w:cs="Times New Roman" w:eastAsia="Times New Roman" w:hAnsi="Times New Roman"/>
          <w:sz w:val="14"/>
          <w:szCs w:val="14"/>
          <w:b w:val="1"/>
          <w:bCs w:val="1"/>
          <w:u w:val="single" w:color="auto"/>
          <w:color w:val="auto"/>
        </w:rPr>
        <w:t>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000-49602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SYNAPTICS INCORPORATED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77-0118518</w:t>
            </w:r>
          </w:p>
        </w:tc>
      </w:tr>
      <w:tr>
        <w:trPr>
          <w:trHeight w:val="216"/>
        </w:trPr>
        <w:tc>
          <w:tcPr>
            <w:tcW w:w="7620" w:type="dxa"/>
            <w:vAlign w:val="bottom"/>
            <w:gridSpan w:val="5"/>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2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17"/>
        </w:trPr>
        <w:tc>
          <w:tcPr>
            <w:tcW w:w="380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1109 McKay Drive</w:t>
            </w: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90"/>
        </w:trPr>
        <w:tc>
          <w:tcPr>
            <w:tcW w:w="380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San Jose, California</w:t>
            </w:r>
          </w:p>
        </w:tc>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tcPr>
          <w:p>
            <w:pPr>
              <w:jc w:val="right"/>
              <w:ind w:right="2028"/>
              <w:spacing w:after="0"/>
              <w:rPr>
                <w:sz w:val="20"/>
                <w:szCs w:val="20"/>
                <w:color w:val="auto"/>
              </w:rPr>
            </w:pPr>
            <w:r>
              <w:rPr>
                <w:rFonts w:ascii="Times New Roman" w:cs="Times New Roman" w:eastAsia="Times New Roman" w:hAnsi="Times New Roman"/>
                <w:sz w:val="14"/>
                <w:szCs w:val="14"/>
                <w:b w:val="1"/>
                <w:bCs w:val="1"/>
                <w:color w:val="auto"/>
              </w:rPr>
              <w:t>95131</w:t>
            </w:r>
          </w:p>
        </w:tc>
      </w:tr>
      <w:tr>
        <w:trPr>
          <w:trHeight w:val="216"/>
        </w:trPr>
        <w:tc>
          <w:tcPr>
            <w:tcW w:w="7620" w:type="dxa"/>
            <w:vAlign w:val="bottom"/>
            <w:gridSpan w:val="5"/>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46"/>
        </w:trPr>
        <w:tc>
          <w:tcPr>
            <w:tcW w:w="3800" w:type="dxa"/>
            <w:vAlign w:val="bottom"/>
          </w:tcPr>
          <w:p>
            <w:pPr>
              <w:spacing w:after="0"/>
              <w:rPr>
                <w:sz w:val="24"/>
                <w:szCs w:val="24"/>
                <w:color w:val="auto"/>
              </w:rPr>
            </w:pPr>
          </w:p>
        </w:tc>
        <w:tc>
          <w:tcPr>
            <w:tcW w:w="314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(408) 904-1100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38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8"/>
                <w:szCs w:val="18"/>
                <w:color w:val="auto"/>
              </w:rPr>
            </w:pPr>
          </w:p>
        </w:tc>
      </w:tr>
      <w:tr>
        <w:trPr>
          <w:trHeight w:val="338"/>
        </w:trPr>
        <w:tc>
          <w:tcPr>
            <w:tcW w:w="3800" w:type="dxa"/>
            <w:vAlign w:val="bottom"/>
          </w:tcPr>
          <w:p>
            <w:pPr>
              <w:spacing w:after="0"/>
              <w:rPr>
                <w:sz w:val="24"/>
                <w:szCs w:val="24"/>
                <w:color w:val="auto"/>
              </w:rPr>
            </w:pPr>
          </w:p>
        </w:tc>
        <w:tc>
          <w:tcPr>
            <w:tcW w:w="3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324"/>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33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86"/>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440" w:type="dxa"/>
            <w:vAlign w:val="bottom"/>
          </w:tcPr>
          <w:p>
            <w:pPr>
              <w:spacing w:after="0"/>
              <w:rPr>
                <w:sz w:val="16"/>
                <w:szCs w:val="16"/>
                <w:color w:val="auto"/>
              </w:rPr>
            </w:pPr>
          </w:p>
        </w:tc>
        <w:tc>
          <w:tcPr>
            <w:tcW w:w="33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SYNA</w:t>
            </w:r>
          </w:p>
        </w:tc>
        <w:tc>
          <w:tcPr>
            <w:tcW w:w="36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20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3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3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09" w:lineRule="exact"/>
        <w:rPr>
          <w:sz w:val="24"/>
          <w:szCs w:val="24"/>
          <w:color w:val="auto"/>
        </w:rPr>
      </w:pPr>
    </w:p>
    <w:p>
      <w:pPr>
        <w:jc w:val="both"/>
        <w:ind w:firstLine="113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firstLine="113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1134"/>
        <w:spacing w:after="0" w:line="26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Accelerated filer</w:t>
            </w:r>
          </w:p>
        </w:tc>
        <w:tc>
          <w:tcPr>
            <w:tcW w:w="1560" w:type="dxa"/>
            <w:vAlign w:val="bottom"/>
          </w:tcPr>
          <w:p>
            <w:pPr>
              <w:ind w:left="1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560" w:type="dxa"/>
            <w:vAlign w:val="bottom"/>
          </w:tcPr>
          <w:p>
            <w:pPr>
              <w:ind w:left="1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4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42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560" w:type="dxa"/>
            <w:vAlign w:val="bottom"/>
          </w:tcPr>
          <w:p>
            <w:pPr>
              <w:ind w:left="1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1" w:lineRule="exact"/>
        <w:rPr>
          <w:sz w:val="24"/>
          <w:szCs w:val="24"/>
          <w:color w:val="auto"/>
        </w:rPr>
      </w:pPr>
    </w:p>
    <w:p>
      <w:pPr>
        <w:jc w:val="both"/>
        <w:ind w:firstLine="1134"/>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firstLine="113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41" w:lineRule="exact"/>
        <w:rPr>
          <w:sz w:val="24"/>
          <w:szCs w:val="24"/>
          <w:color w:val="auto"/>
        </w:rPr>
      </w:pPr>
    </w:p>
    <w:p>
      <w:pPr>
        <w:jc w:val="both"/>
        <w:ind w:firstLine="1134"/>
        <w:spacing w:after="0" w:line="32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firstLine="1134"/>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jc w:val="both"/>
        <w:ind w:firstLine="1134"/>
        <w:spacing w:after="0" w:line="28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(23,690,876 shares), based on the closing price of the registrant’s Common Stock as reported on the Nasdaq Global Select Market on December 28, 2024 of $77.23, was $1,829,646,353.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color w:val="auto"/>
        </w:rPr>
        <w:t>As of August 12, 2025, there were 38,656,442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0"/>
          <w:szCs w:val="20"/>
          <w:color w:val="auto"/>
        </w:rPr>
      </w:pPr>
    </w:p>
    <w:p>
      <w:pPr>
        <w:ind w:firstLine="1134"/>
        <w:spacing w:after="0" w:line="302" w:lineRule="auto"/>
        <w:rPr>
          <w:sz w:val="20"/>
          <w:szCs w:val="20"/>
          <w:color w:val="auto"/>
        </w:rPr>
      </w:pPr>
      <w:r>
        <w:rPr>
          <w:rFonts w:ascii="Times New Roman" w:cs="Times New Roman" w:eastAsia="Times New Roman" w:hAnsi="Times New Roman"/>
          <w:sz w:val="14"/>
          <w:szCs w:val="14"/>
          <w:color w:val="auto"/>
        </w:rPr>
        <w:t>Portions of Part III of this Form 10-K are incorporated by reference from the registrant’s definitive proxy statement for its 2025 annual meeting of stockholders, which will be filed with the Securities and Exchange Commission within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gridSpan w:val="20"/>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8"/>
              </w:rPr>
              <w:t>SYNAPTICS INCORPORATED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gridSpan w:val="20"/>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80" w:type="dxa"/>
            <w:vAlign w:val="bottom"/>
            <w:gridSpan w:val="2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 28, 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gridSpan w:val="20"/>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6"/>
          </w:tcPr>
          <w:p>
            <w:pPr>
              <w:jc w:val="center"/>
              <w:ind w:right="4900"/>
              <w:spacing w:after="0"/>
              <w:rPr>
                <w:sz w:val="20"/>
                <w:szCs w:val="20"/>
                <w:color w:val="auto"/>
              </w:rPr>
            </w:pPr>
            <w:r>
              <w:rPr>
                <w:rFonts w:ascii="Times New Roman" w:cs="Times New Roman" w:eastAsia="Times New Roman" w:hAnsi="Times New Roman"/>
                <w:sz w:val="18"/>
                <w:szCs w:val="18"/>
                <w:color w:val="0000FF"/>
                <w:w w:val="91"/>
              </w:rPr>
              <w:t>PART 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BUSINESS</w:t>
            </w:r>
          </w:p>
        </w:tc>
        <w:tc>
          <w:tcPr>
            <w:tcW w:w="520" w:type="dxa"/>
            <w:vAlign w:val="bottom"/>
            <w:tcBorders>
              <w:top w:val="single" w:sz="8" w:color="0000FF"/>
            </w:tcBorders>
            <w:gridSpan w:val="3"/>
          </w:tcPr>
          <w:p>
            <w:pPr>
              <w:spacing w:after="0"/>
              <w:rPr>
                <w:sz w:val="24"/>
                <w:szCs w:val="24"/>
                <w:color w:val="auto"/>
              </w:rPr>
            </w:pPr>
          </w:p>
        </w:tc>
        <w:tc>
          <w:tcPr>
            <w:tcW w:w="4940" w:type="dxa"/>
            <w:vAlign w:val="bottom"/>
            <w:gridSpan w:val="12"/>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480" w:type="dxa"/>
            <w:vAlign w:val="bottom"/>
            <w:gridSpan w:val="2"/>
          </w:tcPr>
          <w:p>
            <w:pPr>
              <w:spacing w:after="0"/>
              <w:rPr>
                <w:sz w:val="18"/>
                <w:szCs w:val="18"/>
                <w:color w:val="auto"/>
              </w:rPr>
            </w:pP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1B.</w:t>
            </w:r>
          </w:p>
        </w:tc>
        <w:tc>
          <w:tcPr>
            <w:tcW w:w="480" w:type="dxa"/>
            <w:vAlign w:val="bottom"/>
            <w:gridSpan w:val="2"/>
          </w:tcPr>
          <w:p>
            <w:pPr>
              <w:spacing w:after="0"/>
              <w:rPr>
                <w:sz w:val="18"/>
                <w:szCs w:val="18"/>
                <w:color w:val="auto"/>
              </w:rPr>
            </w:pPr>
          </w:p>
        </w:tc>
        <w:tc>
          <w:tcPr>
            <w:tcW w:w="2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6940" w:type="dxa"/>
            <w:vAlign w:val="bottom"/>
            <w:gridSpan w:val="21"/>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1C.</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520" w:type="dxa"/>
            <w:vAlign w:val="bottom"/>
            <w:gridSpan w:val="3"/>
          </w:tcPr>
          <w:p>
            <w:pPr>
              <w:spacing w:after="0"/>
              <w:rPr>
                <w:sz w:val="18"/>
                <w:szCs w:val="18"/>
                <w:color w:val="auto"/>
              </w:rPr>
            </w:pPr>
          </w:p>
        </w:tc>
        <w:tc>
          <w:tcPr>
            <w:tcW w:w="1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80" w:type="dxa"/>
            <w:vAlign w:val="bottom"/>
            <w:gridSpan w:val="26"/>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5"/>
              </w:rPr>
              <w:t>PART II</w:t>
            </w:r>
          </w:p>
        </w:tc>
        <w:tc>
          <w:tcPr>
            <w:tcW w:w="4900" w:type="dxa"/>
            <w:vAlign w:val="bottom"/>
            <w:gridSpan w:val="11"/>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ITEM 5.</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gridSpan w:val="7"/>
            <w:vMerge w:val="continue"/>
          </w:tcPr>
          <w:p>
            <w:pPr>
              <w:spacing w:after="0"/>
              <w:rPr>
                <w:sz w:val="14"/>
                <w:szCs w:val="14"/>
                <w:color w:val="auto"/>
              </w:rPr>
            </w:pPr>
          </w:p>
        </w:tc>
        <w:tc>
          <w:tcPr>
            <w:tcW w:w="824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7A.</w:t>
            </w:r>
          </w:p>
        </w:tc>
        <w:tc>
          <w:tcPr>
            <w:tcW w:w="480" w:type="dxa"/>
            <w:vAlign w:val="bottom"/>
            <w:gridSpan w:val="2"/>
          </w:tcPr>
          <w:p>
            <w:pPr>
              <w:spacing w:after="0"/>
              <w:rPr>
                <w:sz w:val="18"/>
                <w:szCs w:val="18"/>
                <w:color w:val="auto"/>
              </w:rPr>
            </w:pPr>
          </w:p>
        </w:tc>
        <w:tc>
          <w:tcPr>
            <w:tcW w:w="61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62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8.</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9A.</w:t>
            </w:r>
          </w:p>
        </w:tc>
        <w:tc>
          <w:tcPr>
            <w:tcW w:w="480" w:type="dxa"/>
            <w:vAlign w:val="bottom"/>
            <w:gridSpan w:val="2"/>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16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9B.</w:t>
            </w:r>
          </w:p>
        </w:tc>
        <w:tc>
          <w:tcPr>
            <w:tcW w:w="480" w:type="dxa"/>
            <w:vAlign w:val="bottom"/>
            <w:gridSpan w:val="2"/>
          </w:tcPr>
          <w:p>
            <w:pPr>
              <w:spacing w:after="0"/>
              <w:rPr>
                <w:sz w:val="18"/>
                <w:szCs w:val="18"/>
                <w:color w:val="auto"/>
              </w:rPr>
            </w:pPr>
          </w:p>
        </w:tc>
        <w:tc>
          <w:tcPr>
            <w:tcW w:w="1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OTHER INFORMATION</w:t>
            </w:r>
          </w:p>
        </w:tc>
        <w:tc>
          <w:tcPr>
            <w:tcW w:w="7900" w:type="dxa"/>
            <w:vAlign w:val="bottom"/>
            <w:gridSpan w:val="2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720" w:type="dxa"/>
            <w:vAlign w:val="bottom"/>
            <w:tcBorders>
              <w:top w:val="single" w:sz="8" w:color="0000FF"/>
            </w:tcBorders>
            <w:gridSpan w:val="11"/>
          </w:tcPr>
          <w:p>
            <w:pPr>
              <w:jc w:val="center"/>
              <w:ind w:right="2080"/>
              <w:spacing w:after="0"/>
              <w:rPr>
                <w:sz w:val="20"/>
                <w:szCs w:val="20"/>
                <w:color w:val="auto"/>
              </w:rPr>
            </w:pPr>
            <w:r>
              <w:rPr>
                <w:rFonts w:ascii="Times New Roman" w:cs="Times New Roman" w:eastAsia="Times New Roman" w:hAnsi="Times New Roman"/>
                <w:sz w:val="18"/>
                <w:szCs w:val="18"/>
                <w:color w:val="0000FF"/>
                <w:w w:val="93"/>
              </w:rPr>
              <w:t>PART III</w:t>
            </w:r>
          </w:p>
        </w:tc>
        <w:tc>
          <w:tcPr>
            <w:tcW w:w="280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10.</w:t>
            </w:r>
          </w:p>
        </w:tc>
        <w:tc>
          <w:tcPr>
            <w:tcW w:w="540" w:type="dxa"/>
            <w:vAlign w:val="bottom"/>
            <w:gridSpan w:val="4"/>
          </w:tcPr>
          <w:p>
            <w:pPr>
              <w:spacing w:after="0"/>
              <w:rPr>
                <w:sz w:val="24"/>
                <w:szCs w:val="24"/>
                <w:color w:val="auto"/>
              </w:rPr>
            </w:pP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11.</w:t>
            </w:r>
          </w:p>
        </w:tc>
        <w:tc>
          <w:tcPr>
            <w:tcW w:w="540" w:type="dxa"/>
            <w:vAlign w:val="bottom"/>
            <w:gridSpan w:val="4"/>
          </w:tcPr>
          <w:p>
            <w:pPr>
              <w:spacing w:after="0"/>
              <w:rPr>
                <w:sz w:val="18"/>
                <w:szCs w:val="18"/>
                <w:color w:val="auto"/>
              </w:rPr>
            </w:pPr>
          </w:p>
        </w:tc>
        <w:tc>
          <w:tcPr>
            <w:tcW w:w="57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8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ITEM 12.</w:t>
            </w:r>
          </w:p>
        </w:tc>
        <w:tc>
          <w:tcPr>
            <w:tcW w:w="540" w:type="dxa"/>
            <w:vAlign w:val="bottom"/>
            <w:gridSpan w:val="4"/>
            <w:vMerge w:val="restart"/>
          </w:tcPr>
          <w:p>
            <w:pPr>
              <w:spacing w:after="0"/>
              <w:rPr>
                <w:sz w:val="18"/>
                <w:szCs w:val="18"/>
                <w:color w:val="auto"/>
              </w:rPr>
            </w:pP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bottom w:val="single" w:sz="8" w:color="0000FF"/>
            </w:tcBorders>
            <w:gridSpan w:val="3"/>
            <w:vMerge w:val="continue"/>
          </w:tcPr>
          <w:p>
            <w:pPr>
              <w:spacing w:after="0"/>
              <w:rPr>
                <w:sz w:val="14"/>
                <w:szCs w:val="14"/>
                <w:color w:val="auto"/>
              </w:rPr>
            </w:pPr>
          </w:p>
        </w:tc>
        <w:tc>
          <w:tcPr>
            <w:tcW w:w="540" w:type="dxa"/>
            <w:vAlign w:val="bottom"/>
            <w:gridSpan w:val="4"/>
            <w:vMerge w:val="continue"/>
          </w:tcPr>
          <w:p>
            <w:pPr>
              <w:spacing w:after="0"/>
              <w:rPr>
                <w:sz w:val="14"/>
                <w:szCs w:val="14"/>
                <w:color w:val="auto"/>
              </w:rPr>
            </w:pPr>
          </w:p>
        </w:tc>
        <w:tc>
          <w:tcPr>
            <w:tcW w:w="21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7"/>
              </w:rPr>
              <w:t>STOCKHOLDER MATTERS</w:t>
            </w:r>
          </w:p>
        </w:tc>
        <w:tc>
          <w:tcPr>
            <w:tcW w:w="5820" w:type="dxa"/>
            <w:vAlign w:val="bottom"/>
            <w:tcBorders>
              <w:top w:val="single" w:sz="8" w:color="0000FF"/>
            </w:tcBorders>
            <w:gridSpan w:val="20"/>
          </w:tcPr>
          <w:p>
            <w:pPr>
              <w:spacing w:after="0"/>
              <w:rPr>
                <w:sz w:val="14"/>
                <w:szCs w:val="14"/>
                <w:color w:val="auto"/>
              </w:rPr>
            </w:pPr>
          </w:p>
        </w:tc>
        <w:tc>
          <w:tcPr>
            <w:tcW w:w="1760" w:type="dxa"/>
            <w:vAlign w:val="bottom"/>
            <w:gridSpan w:val="4"/>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540" w:type="dxa"/>
            <w:vAlign w:val="bottom"/>
            <w:gridSpan w:val="4"/>
          </w:tcPr>
          <w:p>
            <w:pPr>
              <w:spacing w:after="0"/>
              <w:rPr>
                <w:sz w:val="18"/>
                <w:szCs w:val="18"/>
                <w:color w:val="auto"/>
              </w:rPr>
            </w:pP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540" w:type="dxa"/>
            <w:vAlign w:val="bottom"/>
            <w:gridSpan w:val="4"/>
          </w:tcPr>
          <w:p>
            <w:pPr>
              <w:spacing w:after="0"/>
              <w:rPr>
                <w:sz w:val="18"/>
                <w:szCs w:val="18"/>
                <w:color w:val="auto"/>
              </w:rPr>
            </w:pPr>
          </w:p>
        </w:tc>
        <w:tc>
          <w:tcPr>
            <w:tcW w:w="762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120" w:type="dxa"/>
            <w:vAlign w:val="bottom"/>
            <w:gridSpan w:val="5"/>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color w:val="0000FF"/>
                <w:w w:val="97"/>
              </w:rPr>
              <w:t>PART IV</w:t>
            </w:r>
          </w:p>
        </w:tc>
        <w:tc>
          <w:tcPr>
            <w:tcW w:w="4860" w:type="dxa"/>
            <w:vAlign w:val="bottom"/>
            <w:gridSpan w:val="9"/>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540" w:type="dxa"/>
            <w:vAlign w:val="bottom"/>
            <w:gridSpan w:val="4"/>
          </w:tcPr>
          <w:p>
            <w:pPr>
              <w:spacing w:after="0"/>
              <w:rPr>
                <w:sz w:val="24"/>
                <w:szCs w:val="24"/>
                <w:color w:val="auto"/>
              </w:rPr>
            </w:pPr>
          </w:p>
        </w:tc>
        <w:tc>
          <w:tcPr>
            <w:tcW w:w="97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16.</w:t>
            </w:r>
          </w:p>
        </w:tc>
        <w:tc>
          <w:tcPr>
            <w:tcW w:w="540" w:type="dxa"/>
            <w:vAlign w:val="bottom"/>
            <w:gridSpan w:val="4"/>
          </w:tcPr>
          <w:p>
            <w:pPr>
              <w:spacing w:after="0"/>
              <w:rPr>
                <w:sz w:val="18"/>
                <w:szCs w:val="18"/>
                <w:color w:val="auto"/>
              </w:rPr>
            </w:pPr>
          </w:p>
        </w:tc>
        <w:tc>
          <w:tcPr>
            <w:tcW w:w="4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340" w:type="dxa"/>
            <w:vAlign w:val="bottom"/>
            <w:gridSpan w:val="1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for the year ended June 28, 2025 contains forward-looking statements within the meaning of Section 27A of the Securities Act of 1933, as amended (“Securities Act”) and Section 21E of the Securities Exchange Act of 1934, as amended (“Exchange Act”), which are subject to the “safe harbor” created by those sections.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summarized herein and identified in the “Risk Factors,” “Management’s Discussion and Analysis of Financial Condition and Results of Operations” and “Business” sections in this Annual Report on Form 10-K and other risks as identified from time-to-time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Synaptics designs and delivers AI-enabled edge solutions that bring AI closer to end users and transform how we engage with intelligent connected devices, whether at home, at work or on the move. We are a strategic partner for many global original equipment manufacturers, (“OEM”), offering custom silicon and software platforms for edge AI, wireless connectivity and human interface technologies. Our Synaptics Astra™ AI-native and Veros™ wireless solutions combine embedded compute, connectivity and multimodal sensing to support intuitive, secure and seamless digital experiences. From touch, display and biometrics to AI-enabled wireless connectivity, video, vision, audio, speech and security processing, our solutions support the next generation of intelligent devices that enhance how people live, work and interact with technology.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initially incorporated in California in 1986 and were re-incorporated in Delaware in 2002. Our fiscal year is the 52- or 53-week period ending on the last Saturday in June. The fiscal years presented in this report are the 52-week periods ended June 28, 2025 and June 24, 2023, and the 53-week period ended June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Markets and Products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leader in human interface technologies, enabling innovative and intuitive user experiences across a wide range of intelligent devices. Our portfolio includes touch, display, biometrics, voice, audio, processor, wireless and multimedia products built on rich research and development (“R&amp;D”), a broad intellectual property portfolio and established supply chain partnerships. Designed for mobile, personal computers (“PC”), smart home, industrial and automotive applications, our solutions combine ease of use, functionality, performance and aesthetics to help make digital lives more productive, secure and enjoyable.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on three primary markets. Our product offerings within those target markets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Core IoT Applications Markets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Veros™ family of wireless connectivity solutions include advanced Wi-Fi®, Bluetooth®, Bluetooth Low Energy (“BLE”), Zigbee, Thread, Matter, Global Positioning System (“GPS”), Global Navigation Satellite System (“GNSS”), Ultra-Wideband (“UWB”) and Ultra Low Energy (“ULE”) to address broad Internet of Things (“IoT”) applications. Our devices help users connect seamlessly to multiple devices, such as home automation, multimedia streamers, security sensors, surveillance cameras, wireless speakers, games, drones, printers, wearable and fitness devices, and numerous other applications requiring a wireless connection.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Processors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Synaptics Astra™ family of AI solutions include a scalable portfolio of intelligent edge processors designed to reduce latency, lower bandwidth usage and enhance security. Applications range from highly integrated microprocessor units (“MPU”) to high-performance microcontroller units (“MCU”) architected for AI-enabled IoT systems. We also provide a standards-based open software framework, rapid prototyping kits, full-featured artificial intelligence (“AI”)/machine learning (“ML”) toolkits and integration with Synaptics’ Wi-Fi® and Bluetooth® connectivity solutions. Our Astra™ Machina™ Foundation Series Modular development kits support the Synaptics SL-Series of high-performance embedded processors as well as the Synaptics Machina Micro development kit for the SR100 Series of MCUs.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solutions with Astra, Veros and Human Interface products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combining the AI processing power of the Astra™ family with the robust wireless capabilities of the Veros™ portfolio and our Human Interface products (primarily Touch), Synaptics delivers complete end-to-end solutions for intelligent, connected devices. This powerful integration enables OEMs to accelerate innovation across diverse IoT applications—such as smart home, industrial, consumer, and automotive—by leveraging low-latency AI processing at the edge alongside secure, seamless wireless connectivity. Whether deploying a voice-enabled smart assistant, a computer vision-enabled security device, or a multimodal sensor fusion system, developers can build faster using Synaptics’ comprehensive hardware-software platforms, including modular development kits, open software frameworks, and optimized AI/ML toolchains.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Enterprise and Automotive Applications Markets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 Touchpad / Biometric Fingerprint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Natural ID family of capacitive-based fingerprint identification products is designed to support security and user convenience across a wide range of devices, including notebook PCs, PC peripherals and automobiles. Natural ID is designed for seamless integration into end products and is available in multiple form factors, colors and materials. These options give manufacturers the flexibility to position sensors on the front, back or side of devices in ways that support security, usability, and alignment with their aesthetic and functional design goals.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Video Interface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video interface solutions—featuring DisplayLink and DisplayPort portfolio—are designed to simplify connectivity to external displays while maintaining broad compatibility and performance. Supporting the latest versions of major protocols, connectors and operating systems, our solutions help manufacturers with flexibility to enable seamless, high-quality video experiences across a wide range of devices.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innovative solutions, including integrated touch and display, local dimming and driver sensing technologies, are designed to help manufacturers create smarter, more intuitive user experiences. These technologies enable sleeker designs, enhanced visual performance and improved driver awareness and safety, helping manufacturers deliver feature-rich products that may offer a competitive advantage and improved user experiences.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Mobile Applications Markets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over 500 touch-related patents and full support for next-generation organic light emitting diode (“OLED”) technologies, Synaptics offers advanced touch solutions for mobile application markets. Our technology is designed to deliver responsive, high-performance touch experiences that enhance device usability, support cutting-edge displays and elevate the user experience across smartphones, tablets and more.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strategic opportunities regularly and, where appropriate, may acquire additional businesses, products or technologies that broaden the markets for our target markets and products. Over the past few years, we have completed a number of acquisitions that have enabled us to acquire technologies that have allowed us to expand upon our portfolio of products and enter various markets.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we acquired certain assets and obtained non-exclusive licenses relating to Broadcom Inc.’s (“Broadcom”) Wi-Fi technology. This transaction is intended to accelerate our Edge AI strategy and next-generation products and technology for the IoT markets. The acquired assets include non-exclusive licenses to three developed technology products and the right to obtain licenses for eight roadmap technology intangible assets expected to be delivered at various dates through September 2027. In connection with this transaction, we also acquired certain employees from Broadcom. The expected strategic benefits of this transaction are as follows:</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Accelerates Edge AI strategy</w:t>
      </w:r>
      <w:r>
        <w:rPr>
          <w:rFonts w:ascii="Times New Roman" w:cs="Times New Roman" w:eastAsia="Times New Roman" w:hAnsi="Times New Roman"/>
          <w:sz w:val="18"/>
          <w:szCs w:val="18"/>
          <w:color w:val="auto"/>
        </w:rPr>
        <w:t>: Enhances our ability to deliver end-to-end AI and IoT connectivity solutions for edge devices.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Expands Our Veros™ wireless product roadmap: </w:t>
      </w:r>
      <w:r>
        <w:rPr>
          <w:rFonts w:ascii="Times New Roman" w:cs="Times New Roman" w:eastAsia="Times New Roman" w:hAnsi="Times New Roman"/>
          <w:sz w:val="18"/>
          <w:szCs w:val="18"/>
          <w:color w:val="auto"/>
        </w:rPr>
        <w:t>Adds Wi-Fi 8 combo, UWB, GPS, GNSS, and Wi-Fi 7 combo products to strengthen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portfolio over the next five years.</w:t>
      </w:r>
    </w:p>
    <w:p>
      <w:pPr>
        <w:spacing w:after="0" w:line="50" w:lineRule="exact"/>
        <w:rPr>
          <w:rFonts w:ascii="Times New Roman" w:cs="Times New Roman" w:eastAsia="Times New Roman" w:hAnsi="Times New Roman"/>
          <w:sz w:val="18"/>
          <w:szCs w:val="18"/>
          <w:b w:val="1"/>
          <w:bCs w:val="1"/>
          <w:color w:val="auto"/>
        </w:rPr>
      </w:pPr>
    </w:p>
    <w:p>
      <w:pPr>
        <w:ind w:left="660" w:right="20" w:hanging="328"/>
        <w:spacing w:after="0" w:line="284"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Increases addressable market</w:t>
      </w:r>
      <w:r>
        <w:rPr>
          <w:rFonts w:ascii="Times New Roman" w:cs="Times New Roman" w:eastAsia="Times New Roman" w:hAnsi="Times New Roman"/>
          <w:sz w:val="18"/>
          <w:szCs w:val="18"/>
          <w:color w:val="auto"/>
        </w:rPr>
        <w:t>: Expands serviceable wireless market to include augmented and virtual reality (AR/VR) platforms, Android™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smartphones and consumer audio.</w:t>
      </w:r>
    </w:p>
    <w:p>
      <w:pPr>
        <w:spacing w:after="0" w:line="50" w:lineRule="exact"/>
        <w:rPr>
          <w:rFonts w:ascii="Times New Roman" w:cs="Times New Roman" w:eastAsia="Times New Roman" w:hAnsi="Times New Roman"/>
          <w:sz w:val="18"/>
          <w:szCs w:val="18"/>
          <w:b w:val="1"/>
          <w:bCs w:val="1"/>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Strengthens wireless engineering team</w:t>
      </w:r>
      <w:r>
        <w:rPr>
          <w:rFonts w:ascii="Times New Roman" w:cs="Times New Roman" w:eastAsia="Times New Roman" w:hAnsi="Times New Roman"/>
          <w:sz w:val="18"/>
          <w:szCs w:val="18"/>
          <w:color w:val="auto"/>
        </w:rPr>
        <w:t>: Adds experienced wireless engineering talent and technical capabilities to advance our wireless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“Part II – Item 8. Financial Statements and Supplementary Data – Notes to Consolidated Financial Statements – Note 4. Business Combinations and Asset Acquisitions” for additional information on our acquisitions.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investments in product technologies, we will continue to enhance our position as a leading supplier of premium semiconductor product solutions for each of the target markets in which we operate. Key aspects of our strategy to achieve this objective include those set forth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Extend Our Technological Leadership</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capitalize on our extensive intellectual property portfolio, engineering know-how and technological expertise to extend the functionality of our product solutions and offer new and differentiated product solutions to customers across multiple markets. We intend to continue utilizing our technological expertise to reduce the overall size, cost and power consumption of our product solutions while increasing their applications, capabilities and performance.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 in the IoT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capitalize on the growth of the IoT market, including connectivity and processor solutions, AI-native applications, extended reality and wearables. We will build upon our existing innovative, intuitive and intelligent semiconductor product solutions portfolio and continue to address the evolving portability, connectivity, security and functionality requirements of these new markets. We will offer our solutions to existing and potential customers to enable increased functionality, reduced size, lower cost, simplified security, enhanced industrial design features and to expand the user experience of our OEMs’ products. We plan to use our existing technologies, as well as proactively pursue new technologies as new markets evolve, demanding new solutions.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semiconductor industry is driving transformation across applications with the use of AI. Our solutions help customers to integrate AI into their Edge devices and applications. Since 2017, Synaptics has developed products with integrated neural processing engines to help customers in advancing their AI capabilities. We intend to capitalize on the Edge AI opportunities with our processor solutions.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Pursue Strategic Relationships and Acquisitions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develop and expand our strategic relationships to enhance our ability to offer value-added semiconductor product solutions to our customers, penetrate new markets and strengthen the technological leadership of our product solutions. We also intend to evaluate potential acquisitions of companies and assets to expand our technological expertise and to establish or strengthen our presence and product offerings in selected target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Fabless Semiconductor Manufacturing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Our fabless semiconductor manufacturing strategy allows us to maintain a variable cost model in which we do not incur most of our manufacturing costs until our product solutions have been shipped and invoiced to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ongoing R&amp;D programs that focus on advancing our existing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R&amp;D programs focus on the development of accurate, easy-to-use, reliable and intuitive human experiences for electronic devices. Our interface technologies are designed to enhance a diverse array of products, and we believe the interface is a key factor in the differentiation of many of our products. AI-at-the-edge is a focus area for us in enabling improved performance and enhanced user experience in many of these products. We believe our technologies enable us to provide customers with product solutions that offer advantages over alternative technologies in terms of functionality, size, power consumption, durability and reliability. We also intend to pursue strategic relationships and acquisitions to enhance our R&amp;D capabilities, leverage our technology and shorten our time to market with new technological applications.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design and engineering teams frequently work directly with our customers to design solutions for specific applications. We focus on enabling our customers to overcome technical barriers and improve the performance of their products. We believe our engineering know-how and electronic systems expertise provide meaningful benefits to our customers by enabling them to concentrate on their core competencies of production and marketing.</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R&amp;D activities in the United States with additional design and development teams located in various countries that perform specific activities under the direction of our U.S. headquarters.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cost-effectiveness and on-time deliveries has contributed to our position as a go-to supplier of human experience semiconductor product solutions. We believe our strong relationship with our OEM customers, many of which are also currently developing product solutions, aligned with our target markets, will continue to position us as a preferred partner.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supply our products to OEMs through their contract manufacturers, supply chain partners or distributors. 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semiconductor product solutions in their products. The contract manufacturers and distributors place product purchase orders with us, take title to the products upon delivery and pay us directly for those purchases. The majority of these customers do not have return rights except under applicable warranty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due to the highly technical nature of our product solutions. Sales frequently result from multi-level engagement that involve our senior management, design engineers and sales personnel interacting with our customers’ decision makers throughout the product development and order process.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“Part II – Item 8. Financial Statements and Supplementary Data – Notes to Consolidated Financial Statements – Note 18. Segment and Other Information” for additional information on revenue by geographic location and product category.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fabless semiconductor manufacturing platform through third-party relationships. We currently utilize third-party semiconductor wafer manufacturers to supply silicon wafers integrating our proprietary design specifications. The completed silicon wafers are forwarded to third-party package and test processors for further processing into die and packaged ASICs, as applicable, which are then used in our custom module products or processed as our ASIC-based solutions.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processing and testing, the die and ASICs are consigned to various contract manufacturers for assembly or shipped directly to our customers. During the assembly process, our die or ASIC is either combined with other components to complete the module for our custom product solutions or the ASIC is maintained as a standalone finished good. The finished assembled product is subsequently shipped directly to our customers or to our contract manufacturers for integration into their products.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third-party manufacturing strategy provides a scalable business model, enables us to concentrate on our core competencies of research and development, technological advances and product design and engineering and reduces our capital investment.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third-party contract manufacturers and semiconductor fabricators are predominately Asia-based organizations. We generally provide our contract manufacturers with six-month rolling forecasts of our production requirements. As a result of past supply constraints and capacity shortages affecting the global semiconductor industry, we entered into long-term capacity and pricing agreements with some suppliers. Our reliance on these parties exposes us to vulnerability owing to our dependence on a few sources of supply. In some cases, we have alternative sources of supply to mitigate supplier risk. We may establish relationships with other contract manufacturers in order to reduce our dependence on any single source of supply.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we purchase inventory from our contract manufacturers when a customer delays its delivery schedule or cancels its order. In such circumstances,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the estimated losses on inventory we are obligated to purchase from our contract manufacturers when such losses become probable from customer delays or order cancellations. In addition, the impact of entering into long-term capacity agreements could create significant inventory write-down if the end customer demand substantially declines.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compete against many global and local companies. To win, we focus on delivering exactly what our customers need: top-quality products, advanced technology, strong technical support, flexible global delivery, reliable supply and competitive pricing. Across our product end markets, our principal competitors include:</w:t>
      </w:r>
    </w:p>
    <w:p>
      <w:pPr>
        <w:spacing w:after="0" w:line="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Processor manufacturers – MPU and MCU makers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Wireless connectivity providers – Wi-Fi, Bluetooth, BLE, Zigbee, Thread, ULE, UWB</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Touch sensor and IC manufacturers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Providers of systems on modules and single board computers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Semiconductor and subsystem manufacturers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Embedded computing platforms and systems providers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compete successfully depends in part on our ability to maintain the proprietary aspects of our technologies and products. We pursue an active intellectual property strategy designed to support innovation, protect competitive advantage and enable strategic collaborations.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2025, we held 2,516 active patents and 566 pending patent applications worldwide that expire between 2025 and 2045. Collectively, these patents and patent applications cover various aspects of our key technologies, including those for touch sensing, voice processing, secure biometrics, display drivers, touch and display integration, docks and adapters, video interfaces, wired and wireless connectivity, audio processing, video processing, edge computing, open AI tools and computer vision. Our proprietary firmware and software, including source code, are protected by copyright laws and trade secret laws.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technology portfolio spans ICs, firmware, software and mechanical hardware. The combination of these technologies within our products, along with the complexity of customer-specific customizations and the length of design cycles, provides a further barrier to replication and unauthorized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rely on a combination of patents, trademarks, copyrights, trade secrets, confidentiality agreements and other legal and contractual protections, no single measure offers complete assurance and these measures may provide only limited protection. Accordingly, we continuously evaluate our IP protections and practices to safeguard our innovation assets in a dynamic global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Workforce Management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has been built on the collective contributions from people of many countries, religions and ethnic backgrounds. People are our most critical asset and are the core component behind our success. We want to attract, develop and retain the world’s best talent. As of June 2025, we employed approximately 1,700 employees. Our workforce is distributed globally across 15 countries with 21% of our employees located in North America, 69% located in Asia Pacific and 10% located in Europe and the Middle East. We believe our company attributes differentiate us in the market and have resulted in a lower voluntary attrition rate relative to benchmark data and a higher retention rate in fiscal 2025. Our employee average tenure globally is approximately eight years.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and its committees provide oversight on certain workforce management matters including, among other aspects, leadership development, management depth and strength assessment, people engagement and inclusion, and our employee experience survey results. The Audit Committee is responsible for monitoring our business risks and our company’s Code of Business Conduct and Ethics. The Nominations and Corporate Governance Committee oversees our Corporate, Governance and Sustainability (“CGS”) strategy, including talent attraction, retention and inclusion and belonging. The Compensation Committee provides oversight of our overall compensation philosophy, policies and programs and assesses whether our compensation establishes appropriate incentives for executive officers and other employees.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Compensation and Benefits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competitive benefits related to health, wellness, mental health and family resources designed to meet the needs of our diverse global workforce. We have a robust pay for performance philosophy and compensation framework to reward high performance. We align executive compensation with our corporate strategies, business objectives and the creation of long-term value for our stockholders without encouraging unnecessary or excessive risk-taking.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proactively caring for the well-being of our employees in an engaging and meaningful way. The majority of our workforce participated in health and wellness related events last year, such as global virtual runs and quarterly challenges, promoting healthy behavior while raising money for local charities. We also provided opportunities for employees to donate or volunteer their time through various philanthropic programs and events. Additionally, we provided a new platform to access resources and learning across physical, mental, nutritional, financial and social health topics. We continuously provide team building and well-being activities onsite in our global offices.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organizational health surveys designed to assess employee engagement, leadership, work environment and culture. We held an average response rate of 87% for fiscal 2025, which we view as indicative of a high-level of employee engagement.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our employees and their professional development by providing opportunities to learn though technical, compliance and other professional training, including through semi-annual development conversations between employees and managers to ensure employees have individualized career discussions that align both with organizational and professional development goals. We also make customized learning pathways available through a global platform where all employees can take courses to grow their skill sets. With an added focus on developing our leaders, our people managers received additional focused resources and training.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ensure we are building leadership strength and capabilities for the future, we have robust talent assessment discussions where high-performing and high potential employees are identified for future growth opportunities as well as succession planning for future critical leadership positions.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provide a rich and inclusive environment that values a wide array of skills, backgrounds and perspectives. Our goal is to cultivate an environment that allows for and encourages all employees to collaborate and participate equally to foster individual and company growth and innovation. As of June 2025, 19% of global employees, 20% senior executive leadership positions and 38% of our Board of Directors identified as female. We continue to invest in programs that foster a respectful, inclusive and collaborative work environment that reflect the diverse cultural backgrounds represented in our global offices.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being a responsible corporate citizen and to maintaining the highest ethical standards in our business practices. We believe that sustainable operations and consistent attention to CGS priorities support long-term stockholder value and reinforce the resiliency of our business. Our Board of Directors and management team integrate CGS considerations into strategy, financial planning and risk management to promote transparency, accountability and informed decision-making.</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our environmental efforts, we have implemented company-wide initiatives to reduce our natural resource consumption, minimize waste, promote reuse and recycling and dispose of end-of-life products in an environmentally safe manner.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our supply chain, we have adopted a supplier and vendor code of conduct and require our business partners to comply with and support the Responsible Business Alliance (RBA) Code of Conduct. Our vendors and suppliers are also required to obtain and maintain all required health and safety permits, provide reasonable working and living conditions and implement incident management systems and emergency preparedness protocols.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Oversight of CGS matters is embedded at the Board level. The Nominations and Corporate Governance Committee has oversight of CGS strategy and receives regular reports from management on progress and performance. The Audit Committee oversees our broader business risks and our company’s Code of Conduct. Our Board of Directors receives periodic updates from Nominations and Corporate Governance Committee and management on our CGS performance.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August 15,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60" w:type="dxa"/>
            <w:vAlign w:val="bottom"/>
            <w:tcBorders>
              <w:bottom w:val="single" w:sz="8" w:color="auto"/>
            </w:tcBorders>
          </w:tcPr>
          <w:p>
            <w:pPr>
              <w:spacing w:after="0"/>
              <w:rPr>
                <w:sz w:val="2"/>
                <w:szCs w:val="2"/>
                <w:color w:val="auto"/>
              </w:rPr>
            </w:pPr>
          </w:p>
        </w:tc>
      </w:tr>
      <w:tr>
        <w:trPr>
          <w:trHeight w:val="23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Rahul Patel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0"/>
                <w:szCs w:val="20"/>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Bodensteiner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2"/>
                <w:szCs w:val="22"/>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r>
        <w:trPr>
          <w:trHeight w:val="25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Satish Ganesan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2"/>
                <w:szCs w:val="22"/>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Manager of Intelligent Sensing Division and Chief Strategy Officer</w:t>
            </w:r>
          </w:p>
        </w:tc>
      </w:tr>
      <w:tr>
        <w:trPr>
          <w:trHeight w:val="25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Vikram Gupta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2"/>
                <w:szCs w:val="22"/>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Manager, IoT Processors and Chief Product Officer</w:t>
            </w:r>
          </w:p>
        </w:tc>
      </w:tr>
      <w:tr>
        <w:trPr>
          <w:trHeight w:val="25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 Rizvi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2"/>
                <w:szCs w:val="22"/>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Rahul Patel </w:t>
      </w:r>
      <w:r>
        <w:rPr>
          <w:rFonts w:ascii="Times New Roman" w:cs="Times New Roman" w:eastAsia="Times New Roman" w:hAnsi="Times New Roman"/>
          <w:sz w:val="18"/>
          <w:szCs w:val="18"/>
          <w:color w:val="auto"/>
        </w:rPr>
        <w:t>has been the President and Chief Executive Officer since June 2, 2025. Prior to joining our company, Mr. Patel held senior leadership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Qualcomm Technologies Inc., a subsidiary of Qualcomm Incorporated, since May of 2015. He most recently served as Group General Manager, Connectivity, Broadband &amp; Networking Group from December 2023 to May 2025 and previously as Senior Vice President and General Manager, Connectivity, Broadband &amp; Networking Group from May 2015 through December 2023. Prior to Qualcomm, Mr. Patel held various leadership positions at Broadcom Corporation Inc. from 2002 through May 2015, serving in his last role as Senior Vice President and General Manager, Wireless Connectivity Group. Prior to Broadcom, Mr. Patel served in various engineering and business leadership roles at HIFN, Inc., Samsung Semiconductor, Tritech Microelectronics and EPSON/S-MOS Systems. Additionally, since 2019, Mr. Patel has served as a member of the board of directors and as a member of the corporate governance and nominating committee, the audit committee and as chair of the compensation committee, of Energous Corporation, a developer of scalable, over-the-air wireless power networks. Mr. Patel holds an M.B.A. from Santa Clara University, an M.S. in Computer Science and Engineering from Arizona State University and a B. Tech in Electronics and Communications Engineering from National Institute of Technology in Warangal, India.</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Lisa Bodensteiner </w:t>
      </w:r>
      <w:r>
        <w:rPr>
          <w:rFonts w:ascii="Times New Roman" w:cs="Times New Roman" w:eastAsia="Times New Roman" w:hAnsi="Times New Roman"/>
          <w:sz w:val="18"/>
          <w:szCs w:val="18"/>
          <w:color w:val="auto"/>
        </w:rPr>
        <w:t>has been Senior Vice President, Chief Legal Officer and Secretary since November 2023. Prior to joining our company,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Bodensteiner was Executive Vice President, Chief Legal Officer, Compliance Officer and Corporate Secretary of Plantronics, Inc. (“Poly”) from October 2020 to October 2022. Ms. Bodensteiner served as a Principal of MDAC, LLC, a family-owned real estate company, from June 2016 to October 2020, and Executive Vice President, General Counsel and Chief Compliance Officer at SunPower Corporation, a global energy company and provider of solar power solutions, from June 2012 to May 2016. Before joining SunPower, Ms. Bodensteiner held key executive roles at First Solar, Inc. from April 2009 to June 2012 and OptiSolar Inc., where she was also on the leadership team, from October 2007 to April 2009. She also served as Executive Vice President, General Counsel, Secretary and Chief Compliance Officer at Calpine Corporation from February 1996 to April 2006. Ms. Bodensteiner holds a Juris Doctor degree from Santa Clara University School of Law and a Bachelor of Science in Business Administration in Accounting from the University of Nevada.</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Satish Ganesan </w:t>
      </w:r>
      <w:r>
        <w:rPr>
          <w:rFonts w:ascii="Times New Roman" w:cs="Times New Roman" w:eastAsia="Times New Roman" w:hAnsi="Times New Roman"/>
          <w:sz w:val="18"/>
          <w:szCs w:val="18"/>
          <w:color w:val="auto"/>
        </w:rPr>
        <w:t>has been the Senior Vice President and General Manager of Intelligent Sensing Division since February 2024. Mr. Ganesan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Synaptics in November 2019 as our Chief Strategy Officer. Prior to joining our Company, Mr. Ganesan served as Chief Product Officer of Keyssa Inc., a wireless startup focused on short range connectivity, from May 2017 to October 2018. Before that, he held several executive positions focused on IoT and mobile strategy and product marketing at Broadcom Limited from August 2007 to November 2010 and January 2014 to February 2016. He also served as Director, Product Management &amp; Product Marketing at Tilera Corporation from December 2011 to December 2013. He spent his early career in various engineering roles at Xilinx and holds more than 10 US patents. Mr. Ganesan received his Bachelor of Science in Electrical and Electronics Engineering from BITS, India and his Master of Science in Computer Engineering from the University of Cincinnati.</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Vikram Gupta </w:t>
      </w:r>
      <w:r>
        <w:rPr>
          <w:rFonts w:ascii="Times New Roman" w:cs="Times New Roman" w:eastAsia="Times New Roman" w:hAnsi="Times New Roman"/>
          <w:sz w:val="18"/>
          <w:szCs w:val="18"/>
          <w:color w:val="auto"/>
        </w:rPr>
        <w:t>has been the Senior Vice President and General Manager of IoT Processors and Chief Product Officer since January 2023.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Synaptics, Mr. Gupta was the SVP and GM of IoT Compute and Wireless Business Lines for Infineon Technologies, a manufacturer of semiconductor solutions, from April 2020 to November 2022, where he led the integration and transformation efforts for the over $1.0 billion multi-site business with three product lines following Infineon’s acquisition of Cypress Semiconductor, where he served as VP of Engineering of the IoT Business Unit from 2016 to 2019 and SVP and GM of the IoT Business Unit from 2019 to 2020. Prior to Cypress Semiconductor, Mr. Gupta navigated a progressive tenure with Broadcom, advancing in leadership and responsibility across both engineering and business. Earlier in his career he was a co-founder of Zeevo, a developer of SOC solutions for Bluetooth and other wireless communications applications, which was ultimately purchased by Broadcom. He holds a Bachelor’s degree in Electrical and Electronics Engineering from Birla Institute of Technology &amp; Science in India and a Master’s Degree in Electrical Engineering from the University of Hawaii at Manoa.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Ken Rizvi </w:t>
      </w:r>
      <w:r>
        <w:rPr>
          <w:rFonts w:ascii="Times New Roman" w:cs="Times New Roman" w:eastAsia="Times New Roman" w:hAnsi="Times New Roman"/>
          <w:sz w:val="18"/>
          <w:szCs w:val="18"/>
          <w:color w:val="auto"/>
        </w:rPr>
        <w:t>has been the Chief Financial Officer of our company since July 15, 2024. Prior to joining our company, Mr. Rizvi served as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Financial Officer of Penguin Solutions, Inc. (previously named SMART Global Holdings), a company that designs, builds, deploys and manages high-performance, high-availability enterprise solutions for its customers, from February 2021 to June 2024. Prior to joining Penguin Solutions, Mr. Rizvi served as Senior Vice President and Chief Financial Officer of UTAC Holdings Ltd., a global semiconductor assembly and test services provider, from June 2018 until February 2021. He served as Senior Vice President and Chief Financial Officer at Isola Group, a global materials sciences company, from August 2016 to June 2018. Prior to Isola, Mr. Rizvi held senior leadership roles at Micron Technology, Inc. and ON Semiconductor. He has also served as an associate with Technology Crossover Ventures and as an investment banker at Morgan Stanley. Mr. Rizvi holds an Executive Master of Business Administration from the W.P. Carey School of Business at Arizona State University and a Bachelor of Arts in Economics from Yale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the Investor Relations pages of our website, </w:t>
      </w:r>
      <w:r>
        <w:rPr>
          <w:rFonts w:ascii="Times New Roman" w:cs="Times New Roman" w:eastAsia="Times New Roman" w:hAnsi="Times New Roman"/>
          <w:sz w:val="18"/>
          <w:szCs w:val="18"/>
          <w:u w:val="single" w:color="auto"/>
          <w:color w:val="auto"/>
        </w:rPr>
        <w:t>www.synaptics.com,</w:t>
      </w:r>
      <w:r>
        <w:rPr>
          <w:rFonts w:ascii="Times New Roman" w:cs="Times New Roman" w:eastAsia="Times New Roman" w:hAnsi="Times New Roman"/>
          <w:sz w:val="18"/>
          <w:szCs w:val="18"/>
          <w:color w:val="auto"/>
        </w:rPr>
        <w:t xml:space="preserve"> we make available, free of charge, all our Securities and Exchange Commission (“SEC”) filings, corporate governance information, including our Code of Conduct, our Code of Ethics for our Chief Executive Officer and Senior Financial Officers and our Board Committee Charters.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filings with the SEC are available on our website promptly after their electronic filing with the SEC. You can also read these SEC filings and reports over the Internet at the SEC’s website at www.sec.gov.</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contents of our website, including the content contained in any website addresses or links included elsewhere in this report, are not incorporated into or deemed to be a part of this report.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below, together with all of the other information in this report, including under the headings “Management’s Discussion and Analysis of Financial Condition and Results of Operations” and “Business” and the consolidated financial statements and the related notes included elsewhere in this report, before making an investment decision. The risks and uncertainties described below are not the only ones we face. Additional risks and uncertainties that we are unaware of, or that we currently believe are not material, may also become important factors that materially and adversely affect our business. If any of the following risks actually occurs, our business operations, financial condition, operating results and prospects could be materially and adversely affected. The market price of our securities could decline due to the materialization of these or any other risks, and you could lose part or all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the IoT, Enterprise and Automotive and Mobile product applications markets for a substantial portion of our revenue. These are cyclical, competitive and evolving markets that are subject to volatility, economic risk and uncertain growth, which may materially affect our business, revenue, operating results and financial condition.</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derive a substantial portion of our revenue from our solutions for the Core IoT, Enterprise and Automotive and Mobile markets. These markets are highly competitive and subject to significant volatility, driven by macroeconomic conditions, evolving technical standards, shifting customer preferences, and rapid technological changes. For example, our products are embedded in discretionary consumer and industrial devices such as smartphones, tablets, notebooks, virtual reality systems, and automobiles. As a result, demand in these markets can fluctuate sharply based on factors such as inflation, interest rates, trade restrictions, or recessionary conditions. During periods of slowing growth or heightened uncertainty, customers may cancel, reduce or defer orders, reduce inventory levels, or adjust production forecasts. In addition, these economic conditions could result in higher inventory levels and the possibility of resulting excess capacity charges from our manufacturing partners if we need to slow production to reduce inventory levels. Macroeconomic conditions can also disrupt our supply chain and increase operational costs. If our manufacturing partners, suppliers, distributors and other third-party partners experience financial challenges, they may demand pricing accommodations, delay payment or become insolvent, which could harm our ability to meet our customer demands or collect revenue. Cyclical patterns in our end markets, particularly consumer electronics and automotive, have historically resulted in reduced demand, price erosion, overcapacity and increased inventory. These cycles are difficult to predict and may result in substantial fluctuations in our operating results. Moreover, each market presents unique risks. For example, the automotive industry is especially sensitive to inflation, interest rates and tariffs, all of which may raise vehicle production costs and depress consumer demand. Existing, new or retaliatory tariffs on automobiles and automobile components imported into the United States could disrupt the automotive supply chain and, in turn, adversely affect our growth rate in that industry.</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results are also subject to pricing pressure, changes in product mix, and limited ability to control input costs. Average selling prices of our products have historically declined, and we expect this trend to continue. To win business or retain key customers, we may offer price concessions that reduce gross margins. Our more recently introduced products often carry higher development and production costs, and increased sales of lower-margin products in emerging markets may dilute overall profitability. Because we do not operate our own manufacturing, assembly, testing or packaging facilities, we may lack flexibility to scale or reduce costs quickly in response to changing demand. Our reliance on third-party partners also makes us more vulnerable to inflationary input costs, capacity constraints and supply chain disruptions. In addition, deterioration in the financial condition of our contract manufacturers or suppliers could limit our ability to secure components or achieve cost efficiencies.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revenue growth also depends, in part, on our ability to maintain and expand our position in these key markets while responding to customer product transitions, emerging competitive solutions, and ongoing technology shifts. If these markets experience slower than expected growth or if demand for our solutions weakens, our revenue and profitability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international trade policies, export controls, and foreign operations expose us to legal, regulatory, and operational risks.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global company headquartered in the U.S., we are subject to U.S. and foreign laws and regulations governing import, export, and economic sanctions. These restrictions may prohibit sales to certain countries, entities, or individuals, or require export licenses for certain technologies. Many of our customers, suppliers and contract manufacturers are foreign companies or have significant foreign operations, and many of the components used in our products are sourced from Asia.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Tariffs on imported components, especially from Asia, could increase our production costs, disrupt supply chains, or make our products and our customers’ end products less competitive in global markets. For example, in the first quarter of calendar 2025, the U.S. government announced new tariffs on imports from several countries, prompting reciprocal tariffs. Tariffs on our customers’ products may reduce their global competitiveness, particularly in China. Some OEMs in our industry have responded with short-term price adjustments and shifted production and sourcing outside of China. Additionally, on August 6, 2025, the U.S. government proposed a 100% tariff on imported semiconductors and chips, with possible exemptions for companies that invest in U.S. manufacturing. While still in the proposal phase, this policy could materially impact our sourcing strategy and component costs, depending on scope and implementation. We rely on global foundry partners, many based in Asia, for a significant portion of our silicon. If adopted, these tariffs could increase our manufacturing costs or require changes to our supply chain operations. We are actively evaluating strategies to mitigate such risks, including potential sourcing diversification or partnerships with U.S.-based manufacturers.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Geopolitical instability, including in the Middle East, Taiwan, or U.S.-China relations, could disrupt access to critical markets or destabilize key supply chain and logistics corridors. On June 13, 2025, Israel launched a strike on Iranian military and nuclear sites, followed by Iranian retaliation. On June 21, 2025, the U.S. conducted targeted air strikes, which Iran answered with attacks on U.S. interests. Although a ceasefire has been reached, there is no assurance that hostilities will not escalate or recur. This military escalation between Israel and Iran has increased geopolitical tensions and uncertainty across the broader region. Escalations of hostilities could also trigger new or expanded U.S. sanctions or export controls affecting parties or regions with which we do business. The developments could lead to delayed shipments, increased costs, or reduced revenue in impacted markets.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escalation in global or U.S.–China trade tensions could weaken China’s economy and reduce demand from customers located in China or selling into that market, which may affect our revenue and operations. Although we have not yet seen widespread tariff-related price increases passed through to us, our customers may respond by requesting pricing accommodations or shifting demand to alternative suppliers. Changes in trade policies or future tariffs could lead to further volatility in customer demand and order behavior. We may also experience fluctuations in order timing as customers adjust their purchases in response to tariffs or logistics concerns, including pulling forward orders into earlier quarters. These shifts may not reflect actual demand and could reduce volumes in future periods.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our international operations, including in Taiwan, China, South Korea, Hong Kong, and throughout Europe and Asia, expose us to risks such as unexpected regulatory changes, labor law shifts, currency fluctuations, public health emergencies, and environmental compliance burdens.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Export control regulations are also evolving. New or expanded restrictions or sanctions—such as those recently imposed by the U.S. on China and Russia —may limit our ability to sell to or source from affected parties. These controls may cover foreign-produced items, advanced technologies, or entities on the U.S. Entity List. If we are unable to serve these customers, they may turn to domestic solutions or competitors not subject to similar restrictions. Such developments may materially impact our revenue and future business opportunities in these regions. Maintaining compliance with global trade and export regulations is increasingly complex, time-consuming, and resource-intensive. Failure to comply could result in fines, reputational harm, or limitations on our ability to operate in key international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and our success depends on our ability to deliver innovative, high-performance solutions.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intensely competitive markets characterized by price erosion, rapid technological change, and competition from major domestic and international companies. Some of our current and potential competitors may offer bundled solutions; introduce new products with disruptive technologies and AI-enhanced features; or benefit from greater brand recognition, longer operating histories, larger customer bases and more extensive resources in sales, R&amp;D, and manufacturing. As a result, they may be able to devote greater resources to promotion, negotiate lower prices for raw materials and components, deliver products at lower prices, or respond more quickly to customer requirements.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compete effectively, we must win design opportunities with OEM customers, meet their development timelines, and align our solutions with their technical and commercial objectives. One of our core business strategies is to win competitive bid selection processes with OEM customers to design our products into their platforms. These selection processes are often lengthy and require significant design and development investment, with no assurance of winning a contract or generating revenue. Delays in our design cycle, failure to anticipate market needs, or inability to align our products with customer roadmaps may result in missed opportunities. If a customer designs another supplier’s product into one of its product platforms, it is more difficult for us to achieve future design wins with that platform because changing suppliers involves significant cost, time, effort and risk on the part of that customer. This risk is particularly pronounced in markets such as Automotive, where long design cycles, combined with failure to win a design-in, could lock us out of a customer for several years. If we fail to win key design opportunities, or if we are not perceived as a technology or industry leader,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harmed. Also, a design win does not guarantee revenue. Customers may reduce or cease purchases at any time—for example, if their products are not commercially successful. If we fail to convert design wins into sales, our operating results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secure a design win, our revenue depends on the commercial success of the customer’s product. If that product is delayed, fails to meet expectations, or is discontinued, our sales may not materialize. Additionally, if our interfaces fail to meet customer performance, cost, or integration requirements during development, projects may be canceled altogether. The timing and cost of our development efforts may exceed expectations, especially as we invest significant engineering, testing, and support resources long before volume production begins. We may not recover these costs if the product does not launch or is replaced by an alternative solution.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we do not keep pace with rapid technological innovation—such as in AI, ML, edge computing and connectivity—our solutions may become less competitive or obsolete. We must invest substantial resources to enhance and develop new technologies, including hiring and retaining skilled engineers, adopting advanced tools and scaling R&amp;D. Even with investment, our technologies may fail to transition from development to cost-effective production or customers may choose competitors’ solutions due to price, performance or strategic alignment. We are also integrating AI and ML technologies into our products, services and internal processes, including in edge computing, voice and vision interfaces and wireless connectivity. The rapid pace of AI and ML innovations may challenge our ability to remain competitive if we fail to keep pace with technological developments or if our competitors more effectively deploy these technologies. While AI and ML offer opportunities to enhance the functionality and efficiency of our product offerings, they also introduce operational, compliance and reputational risks. These include unintended consequences, such as inaccurate or biased outputs, potential misuse by personnel, vulnerabilities in third-party AI tools and heightened scrutiny under evolving laws and regulations governing data privacy, algorithmic transparency and ethical AI use. The use of AI also may expose us to increased intellectual property risks, including claims of infringement, misappropriation or loss of proprietary information.</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innovate, keep pace with customer expectations and win key design opportunities, convert such opportunities into sales, offer compelling features at competitive prices, could materially harm our market position and financial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growth depends on the successful development of emerging markets, including Core IoT, which may be slower, more competitive, or more regulated, which could result in our losing or failing to gain market share and suffering reduced revenue.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uncertainty in the development and growth of new and emerging markets, such as Core IoT. These markets may develop slower than anticipated or rely on competing technologies that do not include our product solutions. The success of our solutions in these markets depends on several factors, including: the pace of adoption of wireless and other enabling technologies; the emergence and standardization of protocols for device interoperability; the performance, size, power consumption, and cost-effectiveness of our solutions relative to alternatives; and OEM and end-user preferences. Many of these products are still emerging, and demand for them may vary significantly from one period to another. We may face well-established competitors with strong customer relationships, brand recognition, and more extensive resources. If these markets fail to develop as expected, or if our technologies are not widely adopted, our ability to grow revenue, maintain profitability, and increase market share could be significantly impaired. A sustained failure to gain traction in these markets may also require us to restructure certain product or market investments.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unfavorable developments with respect to global laws and regulations—including those affecting artificial intelligence and data governance— could slow or limit adoption of products in these markets, impede our strategic plans, or require changes to our offerings.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Competition could decrease our prices, reduce our sales, adversely affect our gross margins and/or decrease our market share.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a concentrated base of OEMs and ODM customers, and the loss of a major customer, or such customer’s failure to renew an existing project or contract, or any changes in their purchasing behavior, or the failure of their products to achieve commercial success, could materially harm our business, financial condition and operating results.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are not sold directly to end users. Instead, our solutions are integrated into systems sold by OEMs and original design manufacturers (“ODM”), often through contract manufacturers that serve them. A significant portion of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generated from a limited number of large customers. This concentration makes us highly dependent on the purchasing behavior of a few OEMs and ODMs and increases our exposure to revenue volatility. If any of these key customers reduce, cancel or stop placing orders, fail to renew an existing project or contract, or shift to a competing supplier for our high-volume products, our financial results could be adversely affected. The risk is heightened if customers are impacted by operational disruptions or trade restrictions, particularly in jurisdictions such as China. Because contract manufacturers often serve the same OEM, a reduction in demand from that OEM could significantly impact our revenue across multiple customer accounts. The adverse effect could be more substantial if we are unable to offset the loss by generating increased orders from other existing customers or by securing new design wins. Significant reductions in sales to our largest customers, the loss of other major customers, a general decrease in demand, or our failure to expand our customer base, particularly in key markets, would materially impact our future operating results.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when we meet our customers’ technical and pricing requirements, our success ultimately depends on the commercial success of their products that incorporate our solutions. If those products fail to gain market acceptance or are discontinued, or if customers decide not to continue with follow-on projects, our revenue may decline.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customers generally do not enter into long-term volume purchase commitments. As a result, even longstanding relationships do not guarantee future revenue. Shifts in customer strategies, product transitions, or macroeconomic factors could lead to reduced demand for our products. We may also incur significant R&amp;D and sales-related expenses in support of these customers, without assurance of recovering those investments.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 parties for manufacturing and supply, and face risks from inventory imbalances, demand uncertainty, and component shortages that may disrupt our operations and reduce margins.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contract manufacturers and semiconductor fabricators, primarily located in Asia, to produce and assemble our products. These third parties are responsible for maintaining satisfactory manufacturing yields and delivery schedules. We provide our contract manufacturers with six-month rolling forecasts of our production requirements, but generally do not have long-term agreements that guarantee production capacity, pricing, or lead times. If end customer demand fluctuates unexpectedly, either rising sharply or declining, our ability to respond is constrained by limited capacity control and long lead time. Our manufacturers also serve other customers, some of whom may have greater volume commitments or purchasing leverage, which could lead to a re-prioritization of production at our expense. Qualifying new contract manufacturers,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In addition, a foundry or supplier may become unavailable to us as a result of economic or political instability.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face significant risk from forecasting errors, inventory imbalances, and order variability. We typically sell pursuant to customer purchase orders rather than long-term purchase commitments, and customers may delay, cancel, or fail to honor their orders. If we overestimate demand, we may hold excess or obsolete inventory; if we underestimate, we may lack sufficient inventory or manufacturing capacity to meet demand. Many of our customers have shifted to just-in-time inventory strategies, increasing our exposure to short-notice adjustments. Because our forecasts are based on assumptions about customer behavior, market conditions, and development timelines, any of which may prove inaccurate, our inventory and revenue may vary significantly from expectations.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Supply chain disruptions can also impact upstream demand for our solutions. Our products are used in complex devices and systems that depend on numerous components. Delays in one part of the chain can lead to a broader reduction in product builds that include our technologies. In addition, we face ongoing risks from component and material shortages. Key inputs, including silicon wafers, substrates, and packaging materials, are sourced from a limited number of foreign suppliers. If these suppliers face capacity constraints, pricing shifts, or economic disruptions, we may be unable to obtain sufficient quantities or meet production timelines.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long-term supply contracts, we are exposed to price increases and allocation risk. If larger or better-financed supply chain customers secure preferential access to limited supplies, our production and costs could be adversely affected. Future shortages or procurement delays may cause missed shipments, customer dissatisfaction, and lost revenue opportunities.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Altogether, uncertainty in demand forecasting, reliance on outsourced manufacturing, and limited sourcing alternatives may materially impact our operating results, margins, and ability to fulfill customer expectations.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Defects, security vulnerabilities, or performance failures in our products could result in liability, reputational harm, and lost revenue opportunities.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develop complex solutions that are integrated into customer devices across the IoT, Enterprise, Automotive, and Mobile markets. These products must meet high standards for performance, security, and reliability. Despite rigorous testing, our solutions may contain defects, errors, or vulnerabilities that result from issues in design, materials, manufacturing, packaging, or software integration. Development in new technology domains, including use of smaller geometry nodes and advanced AI features, increases the risk of product failure or low yield. Vulnerabilities can also be introduced via third-party or open source software, or through malicious actions by external actors. Such defects, errors or security vulnerabilities could give rise to significant costs (including costs related to developing solutions, recalling products, repairing or replacing defective products, writing down defective inventory or indemnification obligations under our agreements), could result in the loss of sales and divert the attention of our personnel from our product development efforts. In addition, defects, errors or security vulnerabilities in our products could result in failure to achieve market acceptance, a loss of design wins, a shifting of business to our competitors, product liability claims and litigation or regulatory action against us, and could harm our reputation, our relationships with customers and our ability to attract new customers, as well as the perceptions of our brand. Further, our business liability insurance may be inadequate, may not cover the claims, and future coverage may be unavailable on acceptable terms, which could adversely impact our financial results.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often integrate our solutions into devices that interact with untrusted systems or process large volumes of data. If our solutions fail, or introduce security risks to the customer’s end product, it may result in operational disruption, loss or theft of sensitive data, regulatory exposure, or product recalls. Mitigation tools, such as firmware patches or configuration updates, may not always be timely or fully effective. Any such failures could harm our reputation, delay or reduce revenue, lead to loss of design wins, shift business to competitors, or result in legal claims or indemnity obligations. While we maintain product liability insurance, coverage may be limited or unavailable in future periods.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generally warrant our products for 12 months from the date of delivery. Although we have not experienced widespread recalls, manufacturing defects or quality issues could result in revenue deferrals, warranty costs, or strained customer relationships. Addressing such issues can divert engineering resources from strategic initiatives and negatively affect profitability.</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manage our growth and scale our operations effectively, our infrastructure and resources could be strained, our ability to effectively manage our business could be diminished and our operating results could suffer.</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expand our product portfolio and customer base, we must scale our global organization efficiently to meet increasing demand. This includes the ability to: hire, train and retain talent globally; plan, expand, or optimize facilities; enhance operational and management systems; and scale development and production capacity. We also may incur significant expenses in anticipation of future orders that do not materialize, particularly in Core IoT, Enterprise, Automotive, and Mobile markets. These upfront investments—whether in personnel, infrastructure, or supply—could negatively impact profitability if not matched by revenue growth.</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customers may require rapid increases in design or production support, placing short-term strain on our internal teams and contract manufacturers. If we or our partners cannot expand quickly enough, we may lose revenue opportunities or damage customer relationships. Failure to manage growth and align resources with demand could materially impact our business, operational efficiency, and financial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protect our intellectual property, avoid infringement of third-party rights, and manage licensing compliance, including with open source software, is critical to our competitiveness and subject to legal risk.</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patents, trade secrets, trademarks, copyrights, and confidentiality agreements to protect our proprietary technologies. However, we cannot be certain that our technologies and products do not and will not infringe issued patents or other third-party proprietary rights. Patents may be challenged, invalidated, or circumvented. Trade secrets may be compromised if confidentiality measures fail or are not consistently applied, and trademark rights may be challenged or unenforceable in certain jurisdictions. Our protection efforts face limitations, particularly in foreign markets such as China, where IP enforcement is less predictable. In the past, we have not always required all employees, consultants, suppliers, or partners to enter into formal written agreement for the protection of our technology including confidentiality or invention assignment agreements, and some may seek to assert rights in our technologies or use them without authorization. The risk of inadvertent disclosure is further heightened by employee use of generative or third-party AI tools. Any claims, with or without merit, could result in significant litigation costs and diversion of resources, including the attention of management, and could require us to enter into royalty or licensing agreements, which may include terms that may not be commercially reasonable, which could have a material adverse effect on our business.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license certain technology used in and for our products from third parties, including open source components. Open source software is generally made available “as is” and may impose obligations that require us to disclose our own source code or make our products freely available. Although we monitor our use of such software, inadvertent noncompliance could expose us to claims, require product modifications, or restrict product distribution. Also, there can be no assurances that such third-party technology will remain available to us on commercially acceptable terms.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our products do not infringe third-party intellectual property rights. If third parties assert claims of infringement, we could be subject to significant litigation expenses, damage awards, or injunctions. We may be forced to obtain licenses on unfavorable terms, redesign products, or cease selling certain offerings. In some cases, licenses may not be available at all.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have to pay substantial damages to third parties or indemnify customers or licensees for damages they suffer if the products they purchase from us or the technology they license from us violates any third-party intellectual property rights. Any adverse outcome in a licensing dispute or infringement action could materially impact our ability to manufacture, market, or support our products. Additionally, defending or enforcing our rights, whether successful or not, can result in substantial legal expenses, operational disruption, and diversion of management attention, which would have an adverse effect on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volatility could adversely affect our margins, pricing and competitiveness.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substantial portion of our revenue is generated from customers located outside the United States, while a significant portion of our operating expenses, including R&amp;D, supply chain and employee compensation, are denominated in foreign currencies such as the New Taiwan dollar, Japanese yen, Chinese yuan and Israeli shekel. Although we transact business predominantly in U.S. dollars and we invoice and collect our sales in U.S. dollars, fluctuations in exchange rates can materially impact our results of operations and financial position. A strengthening U.S. dollar could reduce the local currency revenue of our international customers, potentially weakening demand or triggering pricing pressure. Conversely, a weakening of the U.S. dollar could increase our cost of goods sold and operating expenses and cause our overseas vendors to require renegotiation of either the prices or currency we pay for their goods and services. In the future, customers may negotiate pricing and make payments in non-U.S. currencies. If our overseas vendors or customers require us to transact business in non-U.S. currencies, fluctuations in foreign currency exchange rates could affect our cost of goods, operating expenses and operating margins and could result in exchange losses. Moreover, our reliance on contract manufacturers and suppliers based in Asia subjects us to risks if their local currencies appreciate significantly. Exchange rate movements may also lead to gains or losses on intercompany balances, supplier payments or cash held in foreign subsidiaries. Hedging foreign currencies can be difficult, especially if the currency is not freely traded. We cannot predict the impact of future exchange rate fluctuations on our operating results. Prolonged shifts in currency rates may make our products more expensive to produce or less competitive in certain markets. Accordingly, foreign currency fluctuations have and could continue to negatively affect our revenue, gross margins and operating income.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security breaches or cyberattacks.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increased cyber liability and data breach insurance premiums; and expenses to rectify the consequences of the security breach or cyberattack. Third parties with which we conduct business, such as foundries, assembly and test contractors and distributors, have access to certain portions of our sensitive data, and we rely on third parties to store and otherwise process data for us. We are dependent on the information security systems of these third parties and they face substantial security risks similar to those outlined above. Any security breaches or incidents or other unauthorized access by third parties to the systems of our suppliers, service providers or other third parties with access to our sensitive data, or the existence of computer viruses, ransomware or other malicious code in their data, software or hardware, could result in disruptions or failures of systems used in our business. Any of the foregoing, or the perception any of them has occurred, could have a material adverse impact on our business, operations and financial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Acquisitions and Strategic Alliances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acquisitions or strategic alliances that we undertake could be difficult to execute or integrate, may not achieve expected results, and could disrupt our business or dilute stockholder value.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pursue opportunities to acquire other businesses or technologies, or to engage in strategic alliances, related to other businesses and technologies to complement our current solutions, expand into existing or new markets, enhance our technical capabilities or otherwise accelerate growth. However, we may be unable to identify suitable targets or partners, or complete transactions on acceptable terms. Rising valuations, regulatory scrutiny, or competitive interest may limit our ability to secure attractive opportunities.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completed, any such acquisitions and alliances carry significant risks. We may be unable to integrate acquired businesses effectively, align operations, or achieve expected synergies. Integration may be complicated by differences in systems, culture, or geography—particularly in international transactions. Acquisitions or alliances may disrupt our operations, divert management’s attention, or result in unanticipated liabilities, restructuring costs, or impairment charges.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issue stock, incur debt, or assume contingent liabilities in connection with acquisitions, which could dilute stockholder value or increase our financial risk. If acquired businesses or investments underperform, we may not realize the intended strategic or financial benefits. For example, in fiscal 2025, we recorded a $13.8 million impairment charge related to technology acquired in fiscal 2024, reflecting changes in customer demand and product development priorities. Additional impairments may arise if other acquisitions or strategic partnerships do not meet our financial expectations.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strategic alliances may involve joint development, product integration, supply or distribution arrangements, or investment. However, alliances may fail to meet their objectives or be terminated prematurely. If our partners fail to perform, or if anticipated synergies do not materialize, our ability to deliver new products or enter target markets may be impaired. The failure of any acquisition or alliance to achieve its intended benefits could adversely affect our growth, competitiveness, or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Employees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key personnel who would be difficult to replace and our business will likely be harmed if we lose their services, cannot hire additional qualified personnel or do not manage transitions effectively.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in a highly technical industry that requires a workforce with deep domain expertise in areas such as edge AI, wireless IP, System on a Chip architecture, video processing and embedded firmware. Our future success depends on our ability to recruit, retain and develop highly skilled engineers, program managers and leadership across our global R&amp;D centers, including in the United States, Taiwan, South Korea, Israel and India. The market for semiconductor engineering talent is highly competitive and employee attrition or difficulty hiring in key geographies could delay product development, reduce innovation or harm customer delivery schedules. In addition, restrictive immigration policies, labor market saturation or compensation pressures could affect our access to technical talent. Our compensation programs, which include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We may also be impacted if a competitor recruits key employees, or we experience attrition in our senior leadership without adequate succession planning. In addition, in May 2025, we announced the appointment of a new Chief Executive Officer. Transitions in executive leadership may result in strategic business and operational changes, shifts in personnel priorities and/or uncertainty among employees, customers and investors. Any failure to effectively manage this transition, or to retain senior leaders in critical roles across the organization, could impact continuity, delay initiatives or reduce morale. Such turnover can also disrupt long-term customer relationships, strategic execution or internal governance.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Competition for qualified personnel in our industry is extremely intense, particularly for engineering and other technical personnel. This challenge is amplified by our significant presence in Silicon Valley, where competition for talent is particularly fierce. Our compensation program, which includes cash and share-based compensation award components, has been instrumental in attracting, hiring, motivating, and retaining qualified personnel. In particular, we use broad-based equity awards to foster an ownership mindset and align employee incentives with long-term stockholder value. Our success depends on our continued ability to use our share-based compensation programs to effectively compete for engineering and other technical personnel and professional talent without significantly increasing cash compensation costs.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prior years, proxy advisory firms have recommended that stockholders vote against our equity incentive plan, primarily citing a burn rate that exceeded such firms’ caps or industry norms, and a lower shareholder value transfer (SVT) relative to peers. While we believe these concerns do not adequately reflect our philosophy of broad-based equity participation and its importance to attracting and retaining our talent, such recommendations may influence stockholder voting outcomes.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Factors Related to Our Future Growth, Capital Requirements and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to raise additional capital to support our growth, and failure to do so on acceptable terms could limit our ability to compete.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remain competitive and support our strategic initiatives, we must continue investing in research and development, product innovation, marketing, and business development. These efforts may require additional capital beyond our current cash flows. If we are unable to raise funds through equity or debt financing on favorable terms, our ability to expand our business, execute on our roadmap, or pursue strategic acquisitions could be constrained.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Raising capital may also involve risks. Equity financing could dilute existing stockholders and negatively affect our stock price, while debt financing could increase interest expense and impose restrictive covenants. The timing and amount of any needed capital is uncertain and will depend on a variety of factors, including our operating performance, market conditions, and investment opportunities.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outstanding debt, credit covenants, and convertible note obligations may limit our financial flexibility, expose us to liquidity risk, and result in stockholder dilution or adverse market impacts.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significant outstanding indebtedness, including our 4.000% Senior Notes due 2029 and our 0.75% Convertible Senior Notes due 2031 (“2031 Notes”). We may incur additional debt under our credit agreement or the indentures, which could amplify the risks described below.</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debt could make it more difficult to meet our obligations, increase our sensitivity to interest rate changes, reduce funds available for operations or investments, and limit our ability to respond to changes in our business or the broader economy. Additionally, the covenants in our credit agreement impose restrictions on our ability to incur or guarantee additional indebtedness, create liens, make certain investments, merge or transfer assets, pay dividends or repurchase capital stock, enter into transactions with affiliates, amend subordinated debt, or enter into new lines of business. The credit agreement also contains financial covenants which limit the consolidated total net leverage ratio and the consolidated net interest coverage ratio. If we fail to comply with these covenants and are unable to obtain waivers, we may be in default, which could result in acceleration of our obligations and potential foreclosure on secured assets. Even if we can obtain alternative financing, it may not be on favorable terms.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2031 Notes require us to make cash payments upon conversion or a fundamental change, and we may not have sufficient liquidity to do so. Our ability to make scheduled payments of interest under our 2031 Notes, or to refinance such indebtedness, depends on our future performance, including sufficient cash flow from operations for debt service, which is subject to economic, financial, competitive and other factors beyond our control, including those described in this report. If our operating cash flow is insufficient, we may need to raise additional capital, sell assets, or restructure debt, which will depend on conditions in the capital markets and our financial condition at such time, among other factors, which could result in a default on our debt obligations or other material adverse effects on our business and financial condition. Subject to certain conditions, holders of the 2031 Notes can require us to repurchase their notes. Upon conversion of the 2031 Notes in accordance with their terms, unless we elect to solely deliver shares of our common stock to settle such conversion (other than paying cash in lieu of delivering any fractional shares), we will be required, under the default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settlement method, to settle the principal amount of the 2031 Notes in cash, and any conversion involving cash settlement could significantly affect our liquidity.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would dilute the ownership interests of our existing stockholders to the extent we satisfy our conversion obligation by delivering shares of our common stock. Historically, we have elected to satisfy our convertible senior note conversion obligations through the payment of cash in certain circumstances, the issuance of shares of common stock in other circumstances or a combination thereof, to such convertible senior note holders.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issuance of each series of the convertible senior notes, we entered into capped call transactions with certain financial institutions to reduce the potential dilution to holders of our common stock upon any conversion or settlement of the convertible notes and/or offset any cash payments we are required to make above the principal amount of such convertible senior notes. These counterparties or their respective affiliates may engage in hedging activities, such as buying or selling our common stock or related derivatives, which could negatively affect the market price of our common stock.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the 2031 Notes may also be volatile due to fluctuations in our common stock price, and there is currently no active trading market for the 2031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material environmental liabilities as a result of prior operations at an acquired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in July 2017 of Conexant Systems, we agreed to assume certain environmental liabilities, including remediation of environmental impacts at a property formerly owned and operated by Conexant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and foreign tax laws, implementation of Pillar Two and OBBBA, or adverse audit outcomes could materially affect our effective tax rate, financial position, and cash flows.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in the various jurisdictions in which we do business, including U.S. taxes on certain foreign subsidiary earnings. Changes in tax laws or regulations, domestically or internationally, could adversely affect our effective tax rate, deferred tax assets, or overall financial condition. In particular, the Organization for Economic Co-operation and Development’s (“OECD”) Pillar Two framework introduces a 15% global minimum tax that jurisdictions such as the United Kingdom, Hong Kong, Switzerland, and Japan have begun implementing. We currently do not anticipate a material impact to our fiscal 2026 tax rate or cash flows, but we will continue to monitor legislative developments and recognize any Pillar Two-related amounts as period costs.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effective July 4, 2025, the enactment date for U.S. GAAP purposes, the One Big Beautiful Bill Act (“OBBBA”) introduced sweeping tax changes, including permanent extensions of certain provisions originally enacted under the Tax Cuts and Jobs Act of 2017. A previously proposed retaliatory tax on foreign companies (Section 899) was removed following a G7 agreement. We continue to assess the accounting and operational impacts of OBBBA, particularly under ASC 740, and its implications for our future financial reporting and tax planning.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periodic examinations by tax authorities, and the calculation of our tax liabilities requires significant judgment. Adjustments may arise from audit resolutions, amended filings, changes in tax interpretations, or expiration of statutes of limitation. Outcomes inconsistent with our expectations could materially impact our consolidated financial position, results of operations, or cash flows.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may vary significantly from period to period due to factors such as: shifts in the mix and geographic location of earnings and assets; changes in entity structure or business operations; audit outcomes and related interest or penalties; revaluations of deferred tax assets or changes in tax credit availability; new tax laws or accounting standards, including implementation of BEPS 2.0 or OBBBA; and our decision to repatriate foreign earnings subject to additional taxes.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governmental laws, regulations and other legal obligations related to privacy and data protection.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use and store personally identifiable information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matters may adversely affect our relationships with customers and investors.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an increasing focus from lawmakers, regulators, investors, customers, employees and other stakeholders concerning ESG matters, including environment, climate, diversity and inclusion, human rights and governance transparency. A number of our customers have adopted, or may adopt, procurement policies that include ESG provisions or requirements that their suppliers should comply with or they may seek to include such provisions or requirements in their procurement terms and conditions. An increasing number of investors are also requiring companies to disclose ESG-related policies, practices and metrics. In addition, various jurisdictions are developing climate-related laws or regulations that could cause us to incur additional direct costs for compliance, as well as indirect costs resulting from our customers, suppliers or additional compliance costs that are passed on to us. These legal and regulatory requirements, as well as investor expectations on ESG practices and disclosures, are subject to change, can be unpredictable and may be difficult and expensive for us to comply with, given the complexity of our supply chain and our outsourced manufacturing. Further, there is an increasing number of anti-ESG initiatives in areas of the United States and elsewhere that may conflict with other regulatory requirements or our various stakeholders’ expectations. If we fail to comply with or meet the evolving legal and regulatory requirements or expectations of our various stakeholders, we may be subject to enforcement actions, required to pay fines, customers may stop purchasing products from us or investors may sell their shares, which could harm our reputation, revenue and results of operations. Additionally, we may be subject to litigation and claims by third parties or regulatory bodies that our stated CGS initiatives and objectives have not been achieved or implemented appropriately. Our actual or perceived failure to achieve our CGS-related initiatives could negatively impact our reputation or harm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in response to various factors, including the following: quarterly financial results, changes in guidance, or perceived success in customer design wins—particularly in our key markets of consumer, automotive, IoT, and mobile applications. As a fabless semiconductor company, we are also exposed to industry cycles characterized by shifts in demand, inventory corrections, overcapacity, and pricing volatility. Additionally, trade restrictions, export controls, and geopolitical tensions—especially involving China, a major region for our supply chain and customers—can significantly impact investor sentiment and contribute to share price volatility. Perceptions of our competitive position in areas such as artificial intelligence, edge computing, and wireless connectivity may also drive valuation changes unrelated to actual performance.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trading price may also be affected by broader market factors or rumors involving us, our customers, suppliers, competitors, or potential strategic transactions. Announcements of new technologies, product releases, patent disputes, regulatory developments, executive transitions, or significant customer orders may lead to disproportionate movements in our stock price. In addition, stocks of technology and semiconductor companies have historically experienced significant price and volume fluctuations unrelated to underlying business performance. As a result, public announcements concerning our operations—or even general developments within the semiconductor sector—could cause the market price of our common stock to decline, regardless of our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program is part of our overall approach to enterprise risk management. Our cybersecurity risk management program seeks to protect our information systems by managing and reducing material risks from cybersecurity threats and by responding to and mitigating cybersecurity incidents. We have designed our cybersecurity risk management program using certain industry practices and frameworks as a guide, including those established by the International Organization for Standardization and the National Institute of Standards and Technology, although we may not meet all technical standards, specifications or requirements. We employ a cross-functional approach to preserving the confidentiality, security and availability of the employee, customer, supplier and partner information that we collect and store.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implemented cybersecurity processes, measures and controls to assist management in our assessment, identification and management of risks from cybersecurity threats. Our Information Security team monitors events, analyzes threats and coordinates our incident response pursuant to our incident response plan, which includes the process to be followed for reporting of incidents. Our cybersecurity risk management involves identifying information assets, assessing and prioritizing risks and employing various tools and techniques to identify and remediate threats. We also leverage third party service providers to test and validate our existing processes and procedures. We conduct annual and ongoing security awareness and behavioral change training for employees to educate them on cybersecurity best practices and train them to recognize phishing attempts. We also assess and manage cybersecurity risks associated with third-party service providers, including those in our supply chain or vendors who have access to our data or systems. Our cybersecurity process is iterative, with regular reviews and updates to help improve and respond to a dynamic and continuously evolving threat landscape.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describe whether and how risks from cybersecurity threats have materially affected or are reasonably likely to materially affect us, our business strategy, our results of operations or our financial condition under the heading “We face risks associated with security breaches or cyberattacks” included as part of our risk factors disclosures in “Item 1A. Risk Factors” of this Annual Report on Form 10-K.</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experienced a cybersecurity incident which has been determined to be material and the expenses we have incurred from cybersecurity incidents and threats were immaterial, including penalties and settlements, of which there were 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risk management oversight and has delegated to our Audit Committee oversight responsibility for reviewing the effectiveness of our governance and management of cybersecurity risks. The Audit Committee biannually reviews our policies and practices with respect to risk management, including cybersecurity risks, and reports its findings to the full Board of Directors. The Audit Committee also receives a report containing information security risk posture details, remediation plan execution progress and pertinent threat intelligence updates from the heads of the IT Security and Internal Audit departments on a regular basis, typically biannually. At least annually, but more frequently as necessary, threats from cybersecurity risks and our action plans relating to those risks, also are considered by the full Board during meeting discussions of enterprise risks. Members of management, including the Chief Executive Officer, Chief Financial Officer, Chief Information Officer and Chief Legal Officer, may also report directly to the Board of Directors on significant risk management issues, including cybersecurity threats and incidents.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Information Security Management Steering Committee (“ISMS Committee”), comprised of our Chief Information Security Officer (“CISO”), as well as members of our executive team, including our Chief Information Office and Chief Legal Officer. Our Chief Information Officer and CISO, in coordination with the ISMS Committee, work collaboratively to implement our enterprise-wide cybersecurity strategy, policy, standards, architecture and processes. Our InfoSec team communicates with and reports to the CISO, enabling the CISO, Cyber Incident Response Team and ISMS Committee to monitor the prevention, detection, mitigation and remediation of cybersecurity incidents. Our CISO has significant experience managing global IT operations, including strategy, applications, infrastructure, information security, support and execution.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as well as our principal research and development, sales, marketing and administrative functions, are located in San Jose, California, where we lease office space of approximately 111,000 square feet.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other U.S.-based research and development functions in leased offices in other leased facilities in California and Georgia.</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facilities outside of the United States include leased facilities for research and development in India, Israel, Japan and Taiwan. The facilities in Japan and Taiwan also accommodate sales and administrative functions. We have a leased facility in Taiwan and Hong Kong for logistics operations. Other leased facilities are located in China, Korea, and Switzerland for sales and support and France, Germany, Poland and the U.K for research and development.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current legal proceedings, see “Part II – Item 8. Financial Statements and Supplementary Data – Notes to Consolidated Financial Statements – Note 12. Commitments and Contingencies.”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on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12, 2025, there were approximately 110 holders of record of our common stock. The closing price of our common stock as quoted on the Nasdaq Global Select Market as of August 12, 2025, was $67.49.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plan to retain all earnings to finance the growth of our business, make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Credit Agreement and the indenture governing our Senior Notes also place restrictions on the payment of any dividends. For a further description of the terms of the Credit Agreement and our Senior Notes indenture, see “Item 8. Financial Statements and Supplementary Data – Notes to Consolidated Financial Statements – Note 8. Debt and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During fiscal year 2025, we conducted repurchases under our previously authorized stock repurchase programs. The most recent of these programs expired in July 2025. As a result, on August 5, 2025, our Board of Directors authorized a new stock repurchase program to repurchase up to $150 million of our common stock. This program does not have an expiration date; however, the Board will periodically review the authorization to assess its continued appropriateness in light of the Company’s capital allocation priorities and market conditions. Repurchases may be made in the open market or through privately negotiated transactions and are intended to comply with Rule 10b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under the Exchange Act.</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repurchased and the timing of repurchases depend on the level of our cash balances, general business and market conditions and other factors, including alternative investment opportunities.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three-month period ended June 28, 2025, repurchases under the previously authorized stock repurchase programs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20" w:type="dxa"/>
            <w:vAlign w:val="bottom"/>
          </w:tcPr>
          <w:p>
            <w:pPr>
              <w:spacing w:after="0"/>
              <w:rPr>
                <w:sz w:val="16"/>
                <w:szCs w:val="16"/>
                <w:color w:val="auto"/>
              </w:rPr>
            </w:pPr>
          </w:p>
        </w:tc>
        <w:tc>
          <w:tcPr>
            <w:tcW w:w="15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5"/>
                <w:szCs w:val="15"/>
                <w:color w:val="auto"/>
              </w:rPr>
            </w:pP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1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May Yet Be Purchased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5"/>
                <w:szCs w:val="15"/>
                <w:color w:val="auto"/>
              </w:rPr>
            </w:pPr>
          </w:p>
        </w:tc>
        <w:tc>
          <w:tcPr>
            <w:tcW w:w="15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43"/>
        </w:trPr>
        <w:tc>
          <w:tcPr>
            <w:tcW w:w="4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Period</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Shares Purchased</w:t>
            </w:r>
          </w:p>
        </w:tc>
        <w:tc>
          <w:tcPr>
            <w:tcW w:w="100" w:type="dxa"/>
            <w:vAlign w:val="bottom"/>
          </w:tcPr>
          <w:p>
            <w:pPr>
              <w:spacing w:after="0"/>
              <w:rPr>
                <w:sz w:val="21"/>
                <w:szCs w:val="21"/>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Programs</w:t>
            </w:r>
          </w:p>
        </w:tc>
        <w:tc>
          <w:tcPr>
            <w:tcW w:w="120" w:type="dxa"/>
            <w:vAlign w:val="bottom"/>
          </w:tcPr>
          <w:p>
            <w:pPr>
              <w:spacing w:after="0"/>
              <w:rPr>
                <w:sz w:val="21"/>
                <w:szCs w:val="21"/>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Programs (1)</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2025 - April 26,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765,642,720</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27, 2025 - May 24,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765,642,720</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2025 - June 28,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765,642,720</w:t>
            </w: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8"/>
        <w:spacing w:after="0" w:line="28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of the stock repurchase program expired in July 2025. On August 5, 2025, the Board of Directors authorized a new stock repurchase program to repurchase up to $150.0 million of our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13. Stockholders’ Equity.”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Exchange Act or otherwise subject to the liability of that section. The performance graph will not be deemed incorporated by reference into any filing of our company under the Exchange Act or the Securities Act.</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the Philadelphia Semiconductor Sector Index (“PHLX”) was selected as the most appropriate comparator index for the Company based on the characteristics of its constituents. This will be the last year that we present the Nasdaq Composite Index in the performance graph.</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on a 52 or 53-week fiscal year which ends on the last Saturday in June. Accordingly, the last day of our fiscal year varies. For consistent presentation and comparison to the industry indices shown herein, we have calculated our stock performance graph assuming a June 30 year end. The following graph shows a five-year comparison of cumulative total return on our common stock, the Philadelphia Semiconductor Sector Index, Nasdaq Composite Index and the Russell 2000 Index from June 30, 2020 through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57150</wp:posOffset>
            </wp:positionV>
            <wp:extent cx="5657850" cy="3437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assumes an investment of $100 on June 30, 2020. The calculations of cumulative stockholder return on the Nasdaq Composite Index, the Russell 2000 Index and the PHLX Semiconductor Sector Index include the assumed reinvestment of any dividends. The calculation of cumulative stockholder return on our common stock does not include the assumed reinvestment of dividends because we did not pay any dividends during the measurement period. The historical performance shown is not necessarily indicative of future performance. The performance was plotted using the following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Fiscal Years Ended</w:t>
            </w:r>
          </w:p>
        </w:tc>
        <w:tc>
          <w:tcPr>
            <w:tcW w:w="1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Company/Index</w:t>
            </w: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Synaptics Incorporated</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$259</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$196</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PHLX Semiconductor</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$184</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Factors That May Affect Results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this section, we will discuss the results of our operations and changes in financial condition for fiscal 2025 compared to fiscal 2024. Discussions of our fiscal 2023 items and year-to-year comparisons between our fiscal 2024 and 2023 that are not included in this Form 10-K can be found in “Part II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Item 7. Management’s Discussion and Analysis of Financial Conditions and Results of Operations” in our fiscal 2024 Annual Report on Form 10-K for the fiscal year ended June 29,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We develop solutions that integrate the audio, touch and vision interfaces with embedded processing capabilities that are paired with wireless connectivity. We believe our results to date reflect the combination of our customer focus and the strength of our intellectual property and our engineering know-how, which allow us to develop or engineer products and solutions that meet the demanding design specifications of our OEMs.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fiscal 2025, we achieved revenue growth with net revenue increasing 12% to $1,074.3 million compared to $959.4 million in fiscal 2024. The growth was primarily driven by strong execution in our Core IoT product category. Net revenue from Core IoT of $272.4 million increased by 53% compared to $177.6 million a year ago. This growth was fueled primarily by strong demand for our wireless connectivity products and the inclusion of sales from our Broadcom transaction. Enterprise and Automotive net revenue of $610.1 million increased by 7% compared to $570.0 million a year ago. The net increase was primarily driven by growth across our enterprise product portfolio, partially offset by a decrease in automotive revenue due to softness in the automotive sector. Mobile net revenue of $191.8 million decreased by 9% compared to $211.8 million a year ago, primarily as a result of the end-of-life shipments to a large U.S. mobile customer.</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we launched multiple products expanding our product portfolios and accelerated our position in Edge AI and wireless connectivity through partnerships and licensing transactions. We are collaborating with Google’s research team to build the next-generation platform for Edge AI devices. We executed an agreement with Broadcom in the third quarter of fiscal 2025 to acquire certain assets and obtain non-exclusive licenses relating to Broadcom’s Wi-Fi technology. We acquired these set of assets in order to solidify our leadership position for end-to-end AI IoT connectivity. Acquiring these assets allows us to expand our portfolio of Wi-Fi 8 combination devices that include advanced Bluetooth features, additional Wi-Fi 7 combination devices, ultrawide band intellectual property (which we can integrate into future IoT devices) and combination front-end modules. This transaction expands our field of use, allowing all our Wi-Fi products to compete in AR/VR, Android smartphones and consumer audio markets and secures our wireless roadmap for the next five years. We introduced the S3930 touch controller, featuring multi-frequency-region parallel sensing and the industry’s smallest high-performance footprint. This innovation enables consistent, low-latency touch performance in ultra-thin, bendable devices. The new solution is more cost-effective for applications such as foldable phones and large screens.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short-term investments at the end of fiscal 2025 and fiscal 2024 totaled $391.5 million and $876.9 million, respectively. Our net total debt outstanding at the end of fiscal 2025 was $834.8 million compared to $972.9 million at the end of fiscal 2024. We repaid our $582.0 million Term Loan Facility through a combination of a $450.0 million convertible senior note offering and balance sheet cash. We executed a capped call transaction to mitigate dilution up to a stock price of $150.48.</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we returned $128.3 million to shareholders through repurchase of approximately 1.8 million shares. Our share repurchase program expired in July 2025 and a new repurchase program of $150.0 million was authorized thereafter, with no expiration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majority of our sales and manufacturing occurs outside of the U.S., we are exposed to and impacted by global macroeconomic factors, U.S. and foreign government policies and foreign exchange fluctuations. In particular, a substantial portion of our revenue is derived from customers located in international markets, especially in the Asia-Pacific region, including China, Japan, South Korea and Taiwan, where many of our OEM customers and contract manufacturers are based. As a result, fluctuations in foreign exchange rates, especially relative to the U.S. dollar, can materially impact our reported revenue and profitability. We continue to monitor changes in international trade policies, particularly increased tariffs and other barriers or restrictions between the United States and other countries, including China. Our current operations suggest limited tariff exposure given our current import and export practices. However, some of our customers and suppliers may be impacted by evolving tariff regimes depending on their own supply chain strategies and sourcing locations. We continue to monitor for any potential customer and supplier impacts, ranging from supply chain realignments to changes in end demand. While the broader implications of these activities remain uncertain, based on our current lead times and order activity, we are not seeing unusual activity that would suggest any acceleration or delays in orders due to tariffs that would be likely to impact our near-term financial performance. We will continue to assess the short-term and long-term effects of these international trade policies and restrictions on our financial and operational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of our consolidated statements of operations data for fiscal 2025 and 2024 along with comparative information regarding the absolute and percentage changes in these amounts (in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62865</wp:posOffset>
            </wp:positionV>
            <wp:extent cx="41059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net sales</w:t>
            </w:r>
          </w:p>
        </w:tc>
      </w:tr>
      <w:tr>
        <w:trPr>
          <w:trHeight w:val="25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5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63"/>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5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63"/>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57"/>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(loss)/income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82"/>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Compared with Fiscal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was $1,074.3 million for fiscal 2025 compared with $959.4 million for fiscal 2024, an increase of $114.9 million, or 12.0%. Of this net revenue, $610.1 million, or 56.8%, was from Enterprise and Automotive product applications, $272.4 million, or 25.4%, was from the Core IoT product applications market and $191.8 million, or 17.8%, was from the Mobile product applications market. Revenue increased in most of our product applications in fiscal 2025. Net revenue from Enterprise and Automotive product applications increased as a result of an increase in units sold (which increased 10.4%) and an increase in average selling prices (which increased 2.4%) due to our product sales mix compared</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same period a year ago. The increase in revenue from Enterprise and Automotive product applications was partially offset by a decrease of $30.0 million in revenue from the licensing of certain of our IP. The increase in net revenue from Core IoT product applications was driven by an increase in units sold (which increased 40.8%) and an increase in average selling prices (which increased 8.9%) due to our product sales mix compared to the same period a year ago, inclusive of the contribution from the Broadcom transaction. Net revenue from Mobile product applications decreased due to a decrease in units sold (which decreased 1.8%) and a decrease in average selling prices (which decreased 10.3%) as overall demand decreased for our products in the mobile market compared to the same period a year ago. The decrease in revenue from Mobile product applications was partially offset by an increase of $4.5 million in revenue from the licensing of certain of our IP.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as a percentage of net revenue was 44.7% in fiscal 2025 compared with 45.8% in fiscal 2024. The decrease in gross margin was driven by an increase in amortization expense primarily related to the intangible assets we acquired from Broadcom and a decrease in revenue from the licensing of certain of our IP. For additional information, see “Item 8. Financial Statements and Supplementary Data – Notes to Consolidated Financial Statements – Note 7. Goodwill and Acquired Intangible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is fully accretive to our gross margin.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$10.5 million, to $346.8 million, for fiscal 2025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$336.3 million in fiscal 2024. The increase in research and development expenses primarily reflected a $19.8 million increase in variable compensation related to bonus accruals and a $7.9 million increase in stock-based compensation charges primarily driven by the charges related to the awards granted to the Broadcom employees we onboarded during the third quarter of fiscal 2025. These increases were partially offset by a $16.3 million decrease in payroll related costs primarily driven by the restructuring action we initiated in the first quarter of fiscal 2025.</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$19.0 million, to $180.3 million, for fiscal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$161.3 million in fiscal 2024. The increase in selling, general and administrative expenses primarily reflected a $11.6 million increase in variable compensation related to bonus accruals, a $8.3 million increase in professional service fees primarily related to the Broadcom transaction we executed in the third quarter of fiscal 2025 and the refinancing of our Term Loan Facility in the second quarter of fiscal 2025 and a $4.5 million unfavorable impact from exchange rates on foreign currencies, partially offset by a $8.1 million decrease in stock-based compensation charges primarily related to an increase in net forfeitures from the departure of certain executive officers from the Company compared to fiscal 2024.</w:t>
      </w:r>
    </w:p>
    <w:p>
      <w:pPr>
        <w:spacing w:after="0" w:line="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Acquired Intangibles Amortization. </w:t>
      </w:r>
      <w:r>
        <w:rPr>
          <w:rFonts w:ascii="Times New Roman" w:cs="Times New Roman" w:eastAsia="Times New Roman" w:hAnsi="Times New Roman"/>
          <w:sz w:val="18"/>
          <w:szCs w:val="18"/>
          <w:color w:val="auto"/>
        </w:rPr>
        <w:t>Acquired intangibles amortization reflects the amortization of intangibles acquired through recent acquisitions.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Financial Statements and Supplementary Data – Notes to Consolidated Financial Statements – Note 7. Goodwill and Acquired Intangible Assets.”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Intangible asset impairment charge. </w:t>
      </w:r>
      <w:r>
        <w:rPr>
          <w:rFonts w:ascii="Times New Roman" w:cs="Times New Roman" w:eastAsia="Times New Roman" w:hAnsi="Times New Roman"/>
          <w:sz w:val="18"/>
          <w:szCs w:val="18"/>
          <w:color w:val="auto"/>
        </w:rPr>
        <w:t>Intangible asset impairment reflects the impairment of certain indefinite-lived intangible assets. See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 – Notes to Consolidated Financial Statements – Note 7. Goodwill and Acquired Intangible Assets.”</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primarily reflect employee severance costs and facilities consolidation costs related to the restructuring action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initiated in the first quarter of fiscal 2025. These headcount-related costs included personnel in operations, research and development and selling, general and administrative functions. Restructuring costs incurred in fiscal 2025 and fiscal 2024 were $16.9 million and $10.5 million, respectively. See “Item 8. Financial Statements and Supplementary Data – Notes to Consolidated Financial Statements – Note 19. Restructuring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Interest and other income decreased $15.4 million, to $26.9 million in fiscal 2025 compared with $42.3 million in fiscal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an overall decrease in our invested cash and cash equivalents of approximately $400.0 million.</w:t>
      </w:r>
    </w:p>
    <w:p>
      <w:pPr>
        <w:spacing w:after="0" w:line="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primarily includes interest on our debt and amortization of debt discount and issuance costs. Interest expense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$25.5 million to $39.8 million during fiscal 2025 as compared to $65.3 million during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fiscal 2024. The decrease was primarily driven by the early repayment of the Term Loan Facility in November 2024. During fiscal 2025 and 2024, the interest expense on the Term Loan Facility was $18.7 million and $46.1 million, respectively. The Term Loan Facility was repaid with the net proceeds received from the issuance of the 2031 Notes, which bears a significantly lower interest rate of 0.75%. See “Item 8. Financial Statements and Supplementary Data – Notes to Consolidated Financial Statements – Note 8. Debt and Revolving Credit Facility.”</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(Benefit)/Provision for Income Taxes. </w:t>
      </w:r>
      <w:r>
        <w:rPr>
          <w:rFonts w:ascii="Times New Roman" w:cs="Times New Roman" w:eastAsia="Times New Roman" w:hAnsi="Times New Roman"/>
          <w:sz w:val="18"/>
          <w:szCs w:val="18"/>
          <w:color w:val="auto"/>
        </w:rPr>
        <w:t>The (benefit)/provision for income taxes of $(65.7) million and $(250.2) million in fiscal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represented estimated federal, foreign and state income taxes. The effective tax rate for fiscal 2025 diverged from the combined U.S. federal and state statutory tax rate primarily due to a one-time tax benefit related to a U.S. “check-the-box” election made for our Israel subsidiary, favorable tax effects from the U.S. inclusion of foreign income, foreign earnings taxed at lower rates and a tax benefit associated with the fiscal 2018 U.S. transition tax under the Tax Cuts and Jobs Act (“TCJA”) resulting from a recent U.S. Tax Court decision in </w:t>
      </w:r>
      <w:r>
        <w:rPr>
          <w:rFonts w:ascii="Times New Roman" w:cs="Times New Roman" w:eastAsia="Times New Roman" w:hAnsi="Times New Roman"/>
          <w:sz w:val="18"/>
          <w:szCs w:val="18"/>
          <w:i w:val="1"/>
          <w:iCs w:val="1"/>
          <w:color w:val="auto"/>
        </w:rPr>
        <w:t>Varian Medical Systems, Inc. v. Commissioner</w:t>
      </w:r>
      <w:r>
        <w:rPr>
          <w:rFonts w:ascii="Times New Roman" w:cs="Times New Roman" w:eastAsia="Times New Roman" w:hAnsi="Times New Roman"/>
          <w:sz w:val="18"/>
          <w:szCs w:val="18"/>
          <w:color w:val="auto"/>
        </w:rPr>
        <w:t>. These benefits were partially offset by non-deductible share-based compensation and limitation on the deductibility of a certain officer’s compensation. See “Item 8. Financial Statements and Supplementary Data – Notes to Consolidated Financial Statements – Note 16. Income Taxes.”</w:t>
      </w:r>
    </w:p>
    <w:p>
      <w:pPr>
        <w:spacing w:after="0" w:line="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4, 2025, subsequent to the end of our fiscal 2025, the One Big Beautiful Bill Act (“OBBBA”) was signed into law. This legislation includes a permanent extension and modification of certain provisions under the TCJA. We are in the process of evaluating the potential impact of the OBBBA on our financial statements for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$391.5 million as of the end of fiscal 2025 compared with $876.9 million as of the end of fiscal 2024, a decrease of $485.4 million. The decrease in cash and cash equivalents was driven by cash used in financing activities of $331.4 million related to full repayment of our Term Loan Facility and repurchases of our common stock, partially offset by net proceeds from the issuance of the 2031 Notes (as defined below) and cash used in investing activities of $297.9 million primarily related to our asset purchase agreement with Broadcom.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almost all earnings of our foreign subsidiaries as not indefinitely reinvested overseas and have made appropriate provisions for income or withholding taxes that may result from a future repatriation of those earnings. As of the end of fiscal 2025, $341.3 million of cash and cash equivalents was held by our foreign subsidiaries. If these funds are needed for our operations in the United States, we will be able to repatriate these funds without a material impact on our provision for income taxes.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Operating activities during fiscal 2025 generated $142.0 million compared with $135.9 million net cash generated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In fiscal 2025, net cash provided by operating activities was the primarily driven by our results of operations, adjusted for non-cash charges of $219.0 million, and net cash outflows of $29.2 million from changes in our operating assets and liabilities. The primary drivers of the change in operating assets and liabilities relate to a decrease in income taxes payable primarily related to net tax payments of approximately $43.3 million made to various tax jurisdictions and an increase in net inventory of $25.1 million, related to the availability of supply and the impact of variations between forecasted and actual demand, offset by a decrease in accounts receivable of $12.3 million, primarily related to the timing of collections and billings, and an increase of $31.5 million in accrued compensation primarily related to the accrual of our annual bonus.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Net cash used in investing activities for fiscal 2025 was $297.9 million compared with cash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$157.7 million during fiscal 2024. Net cash used in investing activities for fiscal 2025 primarily consisted of $200.3 million we paid to acquire certain assets and obtain non-exclusive licenses relating to Broadcom’s Wi-Fi technology and the purchase of $61.0 million in short-term investments.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Net cash used in financing activities for fiscal 2025 was $331.4 million compared with $25.1 million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for fiscal 2024. Net cash used by financing activities for fiscal 2025 consisted of $583.5 million used to repay the remaining outstanding balance of our Term Loan Facility, $128.3 million used to repurchase our common stock, exclusive of excise taxes, and $49.9 million used for the payment of capped call transactions associated with our 2031 Notes, partially offset by $439.5 million in net proceeds from issuance of our 2031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$350.0 million available under our revolving credit facility with a maturity date to be the earlier of November 2029 or three months prior to any maturity of our Senior Notes. No funds were drawn from this credit facility during fiscal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aggregate principal debt obligations were $850.0 million as of June 2025 and mature at various dates through December 2031. In connection with our issuance of the 2031 Notes, we used a portion of the net proceeds from the 2031 Notes, along with our cash on hand, to repay the outstanding balance of our Term Loan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8. Debt and Revolving Credit Facility.”</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and Commercial Commitments. </w:t>
      </w:r>
      <w:r>
        <w:rPr>
          <w:rFonts w:ascii="Times New Roman" w:cs="Times New Roman" w:eastAsia="Times New Roman" w:hAnsi="Times New Roman"/>
          <w:sz w:val="18"/>
          <w:szCs w:val="18"/>
          <w:color w:val="auto"/>
        </w:rPr>
        <w:t>For our operating lease obligations, see “Item 8. Financial Statements and Supplementary Data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Consolidated Financial Statements – Note 9. Leases.” For our purchase obligations, see “Item 8. Financial Statements and Supplementary Data – Notes to Consolidated Financial Statements – Note 12. Commitments and Contingencies.”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Working Capital Needs. </w:t>
      </w:r>
      <w:r>
        <w:rPr>
          <w:rFonts w:ascii="Times New Roman" w:cs="Times New Roman" w:eastAsia="Times New Roman" w:hAnsi="Times New Roman"/>
          <w:sz w:val="18"/>
          <w:szCs w:val="18"/>
          <w:color w:val="auto"/>
        </w:rPr>
        <w:t>We believe our existing cash and cash equivalents, anticipated cash flows from operating activities and available credit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the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not currently required to meet our U.S. working capital and other cash requirements, but should we repatriate a portion of these earnings, we may be required to pay certain previously accrued state and foreign taxes, which would impact our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generally accepted accounting principles (“U.S. GAAP”). The preparation of our consolidated financial statements requires us to make estimates and judgments in applying our most critical accounting policies that can have a significant impact on the results we report in our consolidated financial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has defined critical accounting estimates as those that are both most important to the portrayal of our financial condition and results and which require our most difficult, complex or subjective judgments or estimates. We evaluate our estimates on an on-going basis, including those related to our revenue, inventory valuation, business combinations, goodwill and income taxes. We base our estimates on historical experience and on various other assumptions that we believe to be reasonable under the circumstances, the results of which form the bases for making judgments about the carrying values of assets and liabilities. Although actual results have historically been reasonably consistent with our expectations, the actual results may differ from these estimates or our estimates may be affected by different assumptions or conditions.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estimates are the most significant to the presentation of our financial statements and require the most difficult, subjective and complex judgments.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upon the transfer of control of goods to our customers in an amount that reflects the consideration we expect to receive. Our pricing terms are negotiated independently with each customer on a stand-alone basis. In evaluating the transaction price, we assess whether it is subject to adjustment or refund, such as stock rotation rights, price protection or volume-based incentives, and we estimate the resulting variable consideration accordingly. Although such arrangements occur in limited circumstances, they require judgment to determine the net consideration to which we expect to be entitled. We estimate variable consideration based on the historical data and experience with returns, rebates and credits. We believe these amounts to be immaterial to total revenue and do not anticipate significant changes to our estimates. This estimate qualifies as a critical accounting estimate due to the subjective judgments required to assess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375" w:lineRule="auto"/>
        <w:rPr>
          <w:sz w:val="20"/>
          <w:szCs w:val="20"/>
          <w:color w:val="auto"/>
        </w:rPr>
      </w:pPr>
      <w:r>
        <w:rPr>
          <w:rFonts w:ascii="Times New Roman" w:cs="Times New Roman" w:eastAsia="Times New Roman" w:hAnsi="Times New Roman"/>
          <w:sz w:val="18"/>
          <w:szCs w:val="18"/>
          <w:color w:val="auto"/>
        </w:rPr>
        <w:t xml:space="preserve">variable consideration and the potential impact on revenue recognition timing and amount, even if the current magnitude of such estimates is limited. </w:t>
      </w:r>
      <w:r>
        <w:rPr>
          <w:rFonts w:ascii="Times New Roman" w:cs="Times New Roman" w:eastAsia="Times New Roman" w:hAnsi="Times New Roman"/>
          <w:sz w:val="18"/>
          <w:szCs w:val="18"/>
          <w:i w:val="1"/>
          <w:iCs w:val="1"/>
          <w:color w:val="auto"/>
        </w:rPr>
        <w:t>Inventory Valuation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value inventory at standard cost, adjusted to approximate the lower of actual cost and estimated net realizable value using assumptions about future demand and market conditions. In determining excess or obsolescence reserves for our products, we consider assumptions such as changes in business and economic conditions, other-than-temporary decreases in demand for our products and changes in customer requirements. In determining the lower of cost and net realizable value of our inventories, we consider assumptions such as recent historical sales activity and selling prices, as well as estimates of future selling prices.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We also record a charge to cost of revenue for estimated losses for inventory we are obligated to purchase from our contract manufacturers when such losses become probable from customer delays, order cancellations or other factors.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 Our reserves contain uncertainties because the calculation requires us to make assumptions and to apply judgment regarding historical experience, market conditions and technological obsolescence. Overall, our estimates of inventory carrying value adjustments have been materially consistent with actual results. Due to the subjective inputs and forward-looking assumptions, this estimate qualifies as a critical accounting estimate with potential impact on gross margin and inventory-related balances.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for a business combination requires us to estimate the fair value of consideration paid and the individual assets acquired and liabilities assumed, which involves a number of judgments, assumptions and estimates that could materially affect the amount and timing of costs recognized in subsequent periods. We typically obtain independent third-party valuation studies to assist us in determining fair values, including assistance in estimating future cash flows, discount rates and comparable market values. Items involving significant assumptions, estimates and judgments include the following:</w:t>
      </w:r>
    </w:p>
    <w:p>
      <w:pPr>
        <w:spacing w:after="0" w:line="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consideration paid or transferred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valuation methodology such as the income approach that includes the use of a discounted cash flow model, estimates of future revenues and costs, discount and royalty rates.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fair value of assets acquired and liabilities assumed based upon assumptions we believe to be reasonable, but which are inherently uncertain and unpredictable and, as a result, actual results may differ from estimates. Estimates associated with the accounting for acquisitions may change as additional information becomes available regarding the assets acquired and liabilities assumed. Due to the subjectivity and reliance on forward-looking inputs, these acquisition-related estimates qualify as critical accounting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our income taxes in each of the jurisdictions in which we operate. This process involves estimating our actual tax exposure together with assessing temporary differences resulting from the differing treatment of certain items for tax return and financial statement purposes. We recognize income taxes using an asset and liability approach. This approach requires the recognition of taxes payable or refundable for the current year and deferred tax liabilities and assets for the future tax consequences of events that have been recognized in our consolidated financial statements or tax returns. The measurement of current and deferred taxes is based on the provisions of enacted tax law and the effects of future changes in tax laws or rates are not anticipated.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Evaluating the need for a valuation allowance for deferred tax assets requires judgment and analysis of all positive and negative evidence available, including recent earnings history and taxable income in recent years, reversals of deferred tax liabilities, projected future taxable income and tax planning strategies to determine whether all or some portion of the deferred tax assets will not be realized. Using available evidence and judgment, we establish a valuation allowance for deferred tax assets when it is determined that it is more likely than not that they will not be realized. Valuation allowances have been provided primarily against state research and development credits and certain capital losses of foreign subsidiaries. A change in the assessment of the realizability of deferred tax assets may materially impact our tax provision in the period in which a change of assessment occurs.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various and sometimes conflicting tax laws and regulations as well as multinational tax conventions. Our effective tax rate is highly dependent upon the geographic distribution of our worldwide earnings or losses, tax laws and regulations in various jurisdictions, tax incentives, the availability of tax credits and loss carryforwards and the effectiveness of our tax planning strategies, which includes our estimates of the fair value of our intellectual property. The application of tax laws and regulations is subject to legal and factual interpretation, judgment and uncertainty. Tax laws themselves are subject to change as a result of changes in fiscal policy, changes in legislation and the evolution of regulations, court rulings and tax audits. The material jurisdictions in which we are subject to potential examination by tax authorities throughout the world include Japan, Hong Kong, United Kingdom, Israel and the United States.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complexity of international tax laws, reliance on future projections and the significant level of judgment involved, income tax-related estimates qualify as critical accounting estimates and may impact our results of operations and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2. Basis of Presentation and Significant Accounting Policies – Accounting Pronouncements Adopted.” and “Item 8. Financial Statements and Supplementary Data – Notes to Consolidated Financial Statements – Note 2. Basis of Presentation and Significant Accounting Policies – Accounting Pronouncements Issued But Not Yet Adopted.”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include: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net revenue for fiscal 2025 and 2024 was denominated in U.S. dollars. Costs denominated in foreign currencies were approximately 17% of our total costs in fiscal 2025 and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the risk that our accounts payable and monetary liabilities denominated in foreign currencies will increase if such foreign currencies strengthen quickly and significantly against the U.S. dollar. Approximately 3% and 5% of our accounts payable were denominated in foreign currencies as of June 2025 and June 2024, respectively.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and our net income by approximately $20.0 million for fiscal 2025,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Cash and Cash Equivalents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 portfolio. Our investment portfolio consists of cash and cash equivalents (money market funds and short-term investments). Our primary aim with our investment portfolio is to invest available cash while preserving principal and meeting liquidity needs. Our cash equivalent investments have short-term maturity periods that mitigate the impact of market or interest rate risk.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results of operations for fiscal 2025, a hypothetical reduction in the interest rates on our cash, cash equivalents and short-term investments of a hypothetical increase or decrease of 50 basis points in rates compared to rates at the end of fiscal 2025 would result in a corresponding increase or decrease in interest income of approximately $2.0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2025, all of our outstanding long-term debt had fixed interest rates. Consequently, our exposure to market risk for changes in interest rates on reported interest expense and corresponding cash flows is minimal.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54"/>
        </w:trPr>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60" w:type="dxa"/>
            <w:vAlign w:val="bottom"/>
            <w:gridSpan w:val="2"/>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40" w:type="dxa"/>
            <w:vAlign w:val="bottom"/>
            <w:gridSpan w:val="4"/>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SYNAPTICS INCORPORATED AND SUBSIDIARIES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9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Santa Clara, California, PCAOB Audit Firm ID: 185)</w:t>
            </w:r>
          </w:p>
        </w:tc>
        <w:tc>
          <w:tcPr>
            <w:tcW w:w="18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2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890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180" w:type="dxa"/>
            <w:vAlign w:val="bottom"/>
            <w:gridSpan w:val="6"/>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11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3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0" w:type="dxa"/>
            <w:vAlign w:val="bottom"/>
            <w:tcBorders>
              <w:top w:val="single" w:sz="8" w:color="0000FF"/>
            </w:tcBorders>
          </w:tcPr>
          <w:p>
            <w:pPr>
              <w:spacing w:after="0"/>
              <w:rPr>
                <w:sz w:val="24"/>
                <w:szCs w:val="24"/>
                <w:color w:val="auto"/>
              </w:rPr>
            </w:pPr>
          </w:p>
        </w:tc>
        <w:tc>
          <w:tcPr>
            <w:tcW w:w="726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120" w:type="dxa"/>
            <w:vAlign w:val="bottom"/>
            <w:gridSpan w:val="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84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24"/>
                <w:szCs w:val="24"/>
                <w:color w:val="auto"/>
              </w:rPr>
            </w:pPr>
          </w:p>
        </w:tc>
      </w:tr>
      <w:tr>
        <w:trPr>
          <w:trHeight w:val="939"/>
        </w:trPr>
        <w:tc>
          <w:tcPr>
            <w:tcW w:w="9180" w:type="dxa"/>
            <w:vAlign w:val="bottom"/>
            <w:gridSpan w:val="9"/>
          </w:tcPr>
          <w:p>
            <w:pPr>
              <w:jc w:val="center"/>
              <w:ind w:left="1990"/>
              <w:spacing w:after="0"/>
              <w:rPr>
                <w:sz w:val="20"/>
                <w:szCs w:val="20"/>
                <w:color w:val="auto"/>
              </w:rPr>
            </w:pPr>
            <w:r>
              <w:rPr>
                <w:rFonts w:ascii="Times New Roman" w:cs="Times New Roman" w:eastAsia="Times New Roman" w:hAnsi="Times New Roman"/>
                <w:sz w:val="18"/>
                <w:szCs w:val="18"/>
                <w:color w:val="auto"/>
                <w:w w:val="99"/>
              </w:rPr>
              <w:t>31</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Synaptics Incorporated and subsidiaries (the Company) as of June 28, 2025 and June 29, 2024, the related consolidated statements of operations, comprehensive income, stockholders’ equity, and cash flows for each of the years in the three fiscal year period ended June 28, 2025, and the related notes (collectively, the consolidated financial statements). We also have audited the Company’s internal control over financial reporting as of June 28,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June 28, 2025 and June 29, 2024, and the results of its operations and its cash flows for each of the years in the three fiscal year period ended June 28, 2025, in conformity with U.S. generally accepted accounting principles. Also in our opinion, the Company maintained, in all material respects, effective internal control over financial reporting as of June 28,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discussed in Note 2 and 3 to the consolidated financial statements, the Company held $139.5 million of inventories as of June 28, 2025 which are stated at the lower of cost and net realizable value. The Company records a write-down for excess, obsolete or unmarketable inventories based on forecasts of future demand and market conditions.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valuation of inventories associated with excess, obsolete or unmarketable inventories as a critical audit matter. A higher degree of auditor judgment was required to evaluate the Company’s estimate of net realizable value for these inventories. Specifically, there is a high degree of subjectivity in evaluating the effect of any unexpected or sudden declines in market demand which may result from changes to or cancellations of customer orders, rapid product improvements or technological advances, due to the nature of the evidence available related to these factors.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develop the estimated net realizable value of inventory. For a selection of inventory items, we assessed the Company’s assumptions by comparing them to historical activity and demand forecasts. As part of the procedure, we considered customer communications, as well as end user and third-party publications. For a sample of inventory items, we recalculated the required write-downs and compared this to the recorded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fair value of certain assets acquired in a business combination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 consummated a business combination for total consideration of $247.9 million during the year ended June 28, 2025. In connection with this business combination, the Company allocated the total estimated purchase consideration to the tangible and identifiable intangible assets acquired and liabilities assumed based on their fair values. The Company recorded various assets, which included developed technologies, roadmap technologies, and customer contract and related relationships with acquisition-date fair values of $24.5 million, $96.8 million and $27.9 million, respectively.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the evaluation of the fair values allocated to developed technologies, roadmap technologies, and customer contract and related relationships as a critical audit matter. As a risk assessment procedure to determine the key assumptions used to determine the fair value of these acquired assets, we performed sensitivity analyses over certain assumptions, individually and in the aggregate, which required a high degree of auditor judgment. Due to the measurement uncertainty associated with certain key assumptions, specialized skills and knowledge were required in the evaluation of the forecasted revenue and royalty rate assumptions for the developed technologies and roadmap technologies assets and the forecasted revenue assumption for the customer contract and related relationship asset.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acquisition-date valuation processes, including controls related to the development of the key assumptions. We evaluated the reasonableness of the Company’s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forecasted revenue assumptions by comparing to historical actual results of the acquired assets and certain peer and market participant data. We involved valuation professionals with specialized skills and knowledge, who assisted in:</w:t>
      </w:r>
    </w:p>
    <w:p>
      <w:pPr>
        <w:spacing w:after="0" w:line="54"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certain peer group and market participant data used in the assessment of forecasted revenue by assessing the appropriateness of the guideline comparable companies and market participant data obtained by management.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royalty rate by comparing to observable market royalty rates and evaluating the nature of the technologies acquired.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KPMG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2025</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w:t>
            </w:r>
          </w:p>
        </w:tc>
        <w:tc>
          <w:tcPr>
            <w:tcW w:w="340" w:type="dxa"/>
            <w:vAlign w:val="bottom"/>
          </w:tcPr>
          <w:p>
            <w:pPr>
              <w:spacing w:after="0"/>
              <w:rPr>
                <w:sz w:val="17"/>
                <w:szCs w:val="17"/>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w:t>
            </w:r>
          </w:p>
        </w:tc>
      </w:tr>
      <w:tr>
        <w:trPr>
          <w:trHeight w:val="238"/>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5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5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57"/>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r>
      <w:tr>
        <w:trPr>
          <w:trHeight w:val="2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other assets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5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5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57"/>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57"/>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3"/>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10,000,000 shares authorized; no shares issued and outstanding</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11"/>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120,000,000 shares authorized, 70,611,845 and 69,683,991 shares issued, 38,642,761 and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5"/>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39,567,552 shares outstanding, at June 2025 and June 2024, respectively</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3"/>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r>
      <w:tr>
        <w:trPr>
          <w:trHeight w:val="250"/>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31,969,084 and 30,116,439 common shares at June 2025 and June 2024, respectively, at cost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r>
      <w:tr>
        <w:trPr>
          <w:trHeight w:val="257"/>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w:t>
            </w:r>
          </w:p>
        </w:tc>
      </w:tr>
      <w:tr>
        <w:trPr>
          <w:trHeight w:val="28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50"/>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 on available-for-sale-securities</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Reclassification adjustments for (gains)/losses included in net income/(loss)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(loss)/income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234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94"/>
        </w:trPr>
        <w:tc>
          <w:tcPr>
            <w:tcW w:w="27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2"/>
        </w:trPr>
        <w:tc>
          <w:tcPr>
            <w:tcW w:w="2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3"/>
        </w:trPr>
        <w:tc>
          <w:tcPr>
            <w:tcW w:w="2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7"/>
                <w:szCs w:val="17"/>
                <w:color w:val="auto"/>
              </w:rPr>
            </w:pPr>
          </w:p>
        </w:tc>
        <w:tc>
          <w:tcPr>
            <w:tcW w:w="9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320" w:type="dxa"/>
            <w:vAlign w:val="bottom"/>
            <w:gridSpan w:val="3"/>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7"/>
                <w:szCs w:val="17"/>
                <w:color w:val="auto"/>
              </w:rPr>
            </w:pPr>
          </w:p>
        </w:tc>
        <w:tc>
          <w:tcPr>
            <w:tcW w:w="118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9"/>
        </w:trPr>
        <w:tc>
          <w:tcPr>
            <w:tcW w:w="270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2"/>
                <w:szCs w:val="22"/>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2"/>
                <w:szCs w:val="2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2"/>
                <w:szCs w:val="22"/>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7"/>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67,745,800</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r>
      <w:tr>
        <w:trPr>
          <w:trHeight w:val="250"/>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63"/>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27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share-based award compensation</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5"/>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50"/>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57"/>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5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68,687,511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w:t>
            </w:r>
          </w:p>
        </w:tc>
      </w:tr>
      <w:tr>
        <w:trPr>
          <w:trHeight w:val="263"/>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1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27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share-based award compensation</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5"/>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996,480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50"/>
        </w:trPr>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5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69,683,991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r>
      <w:tr>
        <w:trPr>
          <w:trHeight w:val="250"/>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3"/>
        </w:trPr>
        <w:tc>
          <w:tcPr>
            <w:tcW w:w="270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share-based award compensation</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61"/>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927,854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capped calls related to</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2031 convertible senior notes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50"/>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1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attributable to acquisition</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50"/>
        </w:trPr>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7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70,611,845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-33655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-33655</wp:posOffset>
            </wp:positionV>
            <wp:extent cx="59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-33655</wp:posOffset>
            </wp:positionV>
            <wp:extent cx="59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-205105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-205105</wp:posOffset>
            </wp:positionV>
            <wp:extent cx="59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-205105</wp:posOffset>
            </wp:positionV>
            <wp:extent cx="59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-2167890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-2167890</wp:posOffset>
            </wp:positionV>
            <wp:extent cx="59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-2167890</wp:posOffset>
            </wp:positionV>
            <wp:extent cx="59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-4928235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-4928235</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-4928235</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1"/>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(loss)/income</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(loss)/income to net cash provided by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0"/>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Acquired intangible assets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0"/>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 impairment charge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0"/>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192"/>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 of business, net of cash and cash equivalents acquired</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Advance payment on intangible assets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2"/>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debt issuance costs on convertible senior notes and revolving credit facility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Payments for capped call transactions related to convertible senior notes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shares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Payroll taxes related to net share settlement of share-based awards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Repurchases of common stock, exclusive of excise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 of debt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0"/>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0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(decrease)/increase in 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8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Supplemental disclosures of non-cash transactions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payment of purchase consideration</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current liabilities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Receipt of intangible assets from advance payments</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200"/>
          </w:cols>
          <w:pgMar w:left="320" w:top="445" w:right="37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77"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tabular amounts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that enable people to engage with connected devices and data, creating exceptional experiences throughout the home, at work, in the car and on the go. We provide our customers with sensing, processing and connecting solutions, which represent the three foundational elements of the Internet of Things (“IoT”). We supply connectivity, sensors and AI-enhanced processor solutions to original equipment manufacturers (“OEMs”) that design IoT products and devices for automobiles, enterprise workspace devices, virtual reality, smartphones, tablets and notebook computers.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The fiscal years presented in this report are the 52-week periods ended June 28, 2025 and June 24, 2023 and the 53-week period ended June 29, 2024. For simplicity, the accompanying consolidated financial statements have been shown as ending on calendar quarter end dates as of and for all periods presented, unless otherwise indicated.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presented in accordance with U.S. generally accepted accounting principles (“U.S. GAAP”) and include Synaptics Incorporated and its consolidated subsidiaries. Intercompany balances and transactions have been eliminated in consolidation. Certain reclassifications have been made to prior period amounts to conform to current period presentation.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us to make estimates and judgments that affect the reported amounts of assets, liabilities, revenue, expenses and disclosures. On an ongoing basis, we evaluate our estimates, including those related to revenue, allowance for credit losses, cost of revenue, inventories, loss on purchase commitments, product warranty, accrued liabilities, share-based compensation costs, provision for income taxes, deferred income tax assets,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bases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at the time of purchase.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with an original maturity of three months or less at the date of purchase are considered cash equivalents, while all other investments are classified as short-term based on management’s intent and ability to use the funds in current operations. Unrealized gains and losses are reported as a component of other comprehensive income (loss). Realized gains and losses are determined based on the specific identification method and are reflected as interest and other income in the accompany consolidated statements of operations.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 portfolio to identify and evaluate investments that have indicators of possible impairment. Some of the factors we consider include, but are not limited to, the following: the length of time and extent to which a security’s fair value has been below its cost, the financial condition and near-term prospects of the investee, the credit quality of the security’s issuer, the likelihood of recovery and our intent and ability to hold the security for a period of time sufficient to allow for any anticipated recovery in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fair value accounting for all financial assets and liabilities that are required to be recognized or disclosed at fair value in the consolidated financial statements. Fair value is defined as the price that would be received from selling an asset or paid to transfer a liability in an orderly transaction between market participants at the measurement date. When determining the fair value measurements for assets and liabilities, we consider the principal or most advantageous market in which we would transact and the market-based risk measurements or assumptions that market participants would use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pricing the asset or liability, such as inherent risk, transfer restrictions and credit risk. The carrying amounts reported in the accompanying consolidated financial statements approximate the fair value for cash, accounts receivable, accounts payable and accrued liabilities due to their short-term nature.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property and equipment and goodwill are measured at fair value on a non-recurring basis if impairment is indicated. The interest rate on our term loan is variable, which is subject to change from time-to-time to reflect a market interest rate. See “Note 6. Fair Value Measurements.”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Substantially all of our revenue is generated from product sales. Generally, our revenue is recognized at a point in time, either upon shipment or delivery of the product, in accordance with customer terms and conditions. We account for shipping and handling costs as fulfillment costs before the customer obtains control of the goods and classify shipping and handling costs as a cost of revenue. We account for the collection of transaction taxes on a net basis.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payments from our customers are generally due within our standard contractual terms, which do not include a significant financing component.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transfer control and recognize revenue at a point in time when products are shipped to our customers, including OEMs and distributors, in accordance with the shipping terms of the sale. We recognize revenue in an amount that reflects the consideration we expect to receive in exchange for those goods or services, net of accruals for estimated sales returns and rebates. Certain OEMs and distributors may be entitled to rights of return and rebates under OEM and distributor agreements. We estimate the amount of variable consideration under these arrangements based on the expected value to be provided to customers. When incentives, stock rotation rights, price protection, volume discounts or other price allowances are applicable, they are estimated and recorded in the period the related revenue is recognized. Our accrual for estimated returns is based on historical return rates and recorded as a reduction to revenue with a corresponding reduction to cost of goods sold for the estimated cost of inventory expected to be returned.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licensing arrangements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Rights to our intellectual property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latter of the period the sale or usage occurs or the satisfaction of performance obligations, if any, to which some or all of the sales-based or usage-based royalties have been allocated.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2025, we did not have any remaining unsatisfied performance obligations with an original duration greater than one year. Accordingly, under the optional exception provided by the applicable accounting standard, we have not disclosed revenues allocated to future performance obligations of partially completed contracts.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when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allowances for expected credit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estimated credit loss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credit loss allowances may be required. At both June 2025 and June 2024, the allowance for credit losses on our trade receivables was $4.2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includes the cost of products shipped to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personnel and related costs, including share-based compensation for quality assurance and manufacturing support personnel; logistics costs; depreciation of equipment supporting manufacturing; amortization of acquired intangibles; fair value adjustments of inventory associated with acquired businesses; write-downs of inventory and losses on purchase obligations; and warranty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(first-in, first-out method) and net realizable value. The carrying value of our inventories is reduced for any difference between costs and estimated net realizable value of total inventory that is determined to be excess, obsolete or unsellable inventory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amortization. We compute depreciation using the straight-line method over the estimated useful lives of the assets. We amortize leasehold improvements over the shorter of the lease term or the estimated useful lives of the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is our functional and reporting currency. We remeasure our monetary assets and liabilities not denominated in our functional currency into U.S. dollar equivalents at the rate of exchange in effect on the balance sheet date. We measure and record non-monetary balance sheet accounts at the historical rate in effect at the date of transaction. The effects of foreign currency remeasurement are reported in reported in current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identifiable assets acquired and liabilities assumed. We test goodwill for impairment on an annual basis in the fourth quarter and at any other time when events occur or circumstances indicate that the carrying amount of goodwill may not be recoverable. We have the option to first assess qualitative factors to determine whether it is necessary to perform the quantitative goodwill impairment test. The qualitative factors we assess include long-term prospects of our performance, share price trends and market capitalization and other Company-specific events. Unanticipated events and circumstances may occur that affect the accuracy of our assumptions, estimates and judgments.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determine that, as a result of the qualitative assessment, it is more likely than not (i.e., greater than 50% likelihood) that the fair value of a reporting unit is less than its carrying amount, the quantitative test is required. Otherwise, no further testing is required. The quantitative goodwill impairment test requires us to estimate the fair value of our reporting units. If the carrying value of a reporting unit exceeds its fair value, the goodwill of that reporting unit is potentially impaired and we record an impairment loss equal to the excess of the carrying value of the goodwill over its fair value, not to exceed the carrying amount of goodwill. The fair value of each of our goodwill reporting units is generally estimated using discounted cash flow methodologies.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the qualitative goodwill impairment test in fiscal 2025, 2024 and 2023. Based on the impairment analysis performed in the fourth quarter of each year presented, no goodwill impairment was recognized.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intangible assets purchased through acquisitions. Finite-lived intangible assets are amortized for financial reporting purposes using the straight-line method over the estimated useful lives of the assets ranging from 1 to 8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long-lived assets, such as property and equipment and intangible assets subject to amortization, for impairment whenever events or changes in circumstances indicate that the carrying value of an asset may not be recoverable. In such cases, we measure recoverability of assets to be held and used by a comparison of the carrying amount of an asset to the estimated undiscounted future cash flows expected to be generated by the use and eventual disposition of the asset.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the carrying value of indefinite-lived intangible assets for impairment at least annually during the fourth quarter of our fiscal year or more frequently if indicators of impairment exist. If the carrying amount of the asset exceeds its estimated undiscounted future cash flows, we recognize an impairment charge in an amount by which the carrying amount of the asset exceeds the fair value of the intangible asset.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 right-of-use (“ROU”) assets and liabilities are recognized at the commencement date based on the present value of minimum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our leases do not provide an implicit rate, we use our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for all classes of underlying assets, not to recognize ROU assets and lease liabilities for leases with a term of twelve months or less. Lease costs for short-term leases are recognized on a straight-line basis over the lease 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compensation expense for all of our share-based payment awards made to employees and directors based on estimated fair values. The determination of fair value of restricted and certain performance stock awards is based on the fair value of our stock on the grant date with performance awards adjusted for the actual outcome of the underlying performance condition. For awards with market-based performance conditions, we employ a Monte Carlo simulation valuation method to calculate the fair value of the awards based on the most likely outcome. We estimate the grant-date fair value of stock to be issued under our Employee Stock Purchase plan (“ESPP”) using the Black-Scholes model. Compensation expense is recognized over the vesting period of the applicable award using the straight-line method, except for awards with market conditions, which are recognized ratably for each vesting tranche from the service inception date to the end of the requisite service period. Compensation cost for performance-based awards is recognized when it becomes probable that the performance conditions will be met. Forfeitures are recorded when they occur and previously recognized compensation expense is reversed for the portion of awards forfeited prior to the vesting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and liabilities for the future tax consequences attributable to differences between the financial statement carrying amounts of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on deferred tax assets and liabilities in the period that includes the enactment date. We establish valuation allowances when necessary to reduce deferred tax assets to the amounts that are more likely than not to be realized.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 two-step approach to recognizing and measuring uncertain tax positions. The first step is to determine whether it is more likely than 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provide warranties to cover defects in workmanship, materials and manufacturing for a period of twelve months to meet the stated functionality as agreed in each sales arrangement. Products are tested against specified functionality requirements prior to delivery, but we nevertheless from time to time experience claims under our warranty guarantees. These standard warranties are assurance type warranties and do not offer any services in addition to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assurance that the product will continue working as specified. Therefore, warranties are not considered separate performance obligations in the arrangement. We accrue for estimated warranty costs based upon historical experience, and for specific items, at the time their existence is known and the amounts are determinable.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business combinations by applying the acquisition method. If the assets acquired are not a business, we account for the transaction or other event as an asset acquisition. Under both methods, we recognize identifiable assets acquired, liabilities assumed and any noncontrolling interest in the acquired entity. We capitalize acquisition-related costs and fees associated with asset acquisitions and immediately expense acquisition-related costs and fees associated with business combinations.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assets acquired and liabilities assumed based on their estimated fair values. The excess of the fair value of purchase consideration over the fair values of these identifiable assets and liabilities is recorded as goodwill. When determining the fair values of assets acquired and liabilities assumed, we make significant estimates and assumptions, especially with respect to intangible assets. Critical estimates in valuing certain intangible assets include, but are not limited to, future expected cash flows from customer relationships and acquired developed technology and discount rates. Our estimates of fair value are based upon assumptions believed to be reasonable, but which are inherently uncertain and unpredictable and, as a result, actual results may differ materially from estimates. Other estimates associated with the accounting for acquisitions may change as additional information becomes available regarding the assets acquired and liabilities assumed. Any adjustments from change in facts and circumstances that existed as of the acquisition date and that impact our preliminary estimates are recorded to goodwill if identified within the measurement period. Any adjustments subsequent to the measurement period or our final determination of fair value of assets and liabilities are reported in current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Improvements to Reportable Segment Disclosures.” We adopted this standard in the fourth quarter of fiscal 2025. See “Note 18. Segment and Other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But Not Yet Adopted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requires consistent categories and greater disaggregation of information in the rate reconciliation and disclosures of income taxes paid by jurisdiction. This ASU is effective for our fiscal year 2026. We are currently assessing the impact of this guidance on our disclosures.</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Reporting Comprehensive Income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Expense Disaggregation Disclosures (Subtopic 220-40).” This ASU requires companies to disclose additional information about specific expense categories in the notes to financial statements. This ASU is effective for annual periods beginning after December 15, 2026 and interim periods beginning after December 15, 2027, with early adoption permitted. We are currently assessing the impact of this guidance on our disclosures.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Supplemental Financial Statement Information</w:t>
            </w:r>
          </w:p>
        </w:tc>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8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42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3"/>
                <w:szCs w:val="23"/>
                <w:color w:val="auto"/>
              </w:rPr>
            </w:pPr>
          </w:p>
        </w:tc>
        <w:tc>
          <w:tcPr>
            <w:tcW w:w="42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8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6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1 - 5 years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leasehold improvements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3 - 12 years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3 - 7 years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Up to 5 years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Non-current other assets</w:t>
            </w: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of intangible assets</w:t>
            </w:r>
          </w:p>
        </w:tc>
        <w:tc>
          <w:tcPr>
            <w:tcW w:w="14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1"/>
                <w:szCs w:val="21"/>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6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Customer-related liabilities (1)</w:t>
            </w:r>
          </w:p>
        </w:tc>
        <w:tc>
          <w:tcPr>
            <w:tcW w:w="14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-4019550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-2073910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Primarily relates to customer rebates, but also includes deferred revenue, price discounts and stock rotation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Business Combinations and Asset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2025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Broadcom Wi-Fi technology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2025, we entered into definitive asset purchase agreements with Broadcom to acquire certain assets, and obtain non-exclusive licenses relating to, Broadcom’s Wi-Fi Business in the IoT market for an aggregate consideration of $200.3 million in cash, which closed on January 30, 2025 (“Closing Date”). These assets include non-exclusive licenses to three developed technology products, property and equipment and right to obtain license of eight roadmap technology intangible assets expected to be delivered at various dates through September 2027. We also entered into transition agreements with Broadcom, under which both parties will provide one another with certain transition services (including one year inventory supply agreement in which Broadcom will facilitate Synaptics to place purchase orders with respective suppliers) following the Closing Date. We acquired these set of assets from Broadcom in order to solidify our leadership position for end-to-end AI IoT connectivity.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has been accounted for using the purchase method of accounting in accordance with the business acquisition guidance. Under the purchase accounting method, the total estimated purchase consideration of the acquisition was allocated to the identifiable intangible assets acquired, property and equipment and long-term assets for roadmap IP based on their estimated fair values. The excess of the purchase consideration over the identifiable intangible assets acquired and long-term assets was recorded as goodwill.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Measurement period adjustments recognized in the three months ended June 2025 related primarily to updated estimated fair values for property and equipment acquired and corresponding consideration.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preliminary total consideration as of March 2025 and total consideration as of June 2025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Purchase Price</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Previously reported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Allocation</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9"/>
              </w:rPr>
              <w:t>Measurement</w:t>
            </w:r>
          </w:p>
        </w:tc>
        <w:tc>
          <w:tcPr>
            <w:tcW w:w="200" w:type="dxa"/>
            <w:vAlign w:val="bottom"/>
          </w:tcPr>
          <w:p>
            <w:pPr>
              <w:spacing w:after="0"/>
              <w:rPr>
                <w:sz w:val="15"/>
                <w:szCs w:val="15"/>
                <w:color w:val="auto"/>
              </w:rPr>
            </w:pP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As Adjusted</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2025</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Period Adjustment</w:t>
            </w: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consideration transferred</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82"/>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-539115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-539115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asset purchase agreement, we provided replacement equity compensation awards to the transferred employees. We determined $47.6 million of value related to these arrangements should be included as consideration transferred.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recorded for the estimated fair values of the assets acquired and liabilities assumed as of the Closing Date before and after the measurement period adjustment: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Purchase Price</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Previously reported</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Allocation</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Measurement</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as of March 2025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Period Adjustment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 Adjusted</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 for product roadmap intellectual properties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-1028065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-1028065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estimated the fair value of the identified intangible assets and long-term assets for roadmap IPs using a discounted cash flow model, estimates of future revenues and costs, discount and royalty rates for each of the underlying identified assets, except for in process research and development (“IPR&amp;D”), which was estimated using replacement cost method. These fair value measurements were based on significant inputs not observable in the market and thus represented a Level 3 measurement. Key assumptions included the level and timing of expected future cash flows, conditions and demands specific to each asset over its remaining useful life and discount rates we believe to be consistent with the inherent risks associated with each type of asset, which ranges from 5.8% - 10.5%. The fair value of these assets is primarily affected by the projected revenue, gross margins, operating expenses, the expected technological obsolescence, probability of securing future customer contracts for next generation devices and the anticipated timing of the projected income associated with each asset coupled with the discount rates used to derive their estimated present values. We believe the level and timing of expected future cash flows appropriately reflects market participant assumptions.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Long-term assets for roadmap IPs represent a prepayment for eight technology products to be received in the future. This prepayment is classified under non-current other assets in the accompanying consolidated balance sheets. Upon obtaining control of the developed technologies, the amounts recorded will be reclassified as intangible assets based on their respective fair values determined as of the Closing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 of the intangible assets as of the Closing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Estimated Weighted</w:t>
            </w:r>
          </w:p>
        </w:tc>
        <w:tc>
          <w:tcPr>
            <w:tcW w:w="160" w:type="dxa"/>
            <w:vAlign w:val="bottom"/>
          </w:tcPr>
          <w:p>
            <w:pPr>
              <w:spacing w:after="0"/>
              <w:rPr>
                <w:sz w:val="17"/>
                <w:szCs w:val="17"/>
                <w:color w:val="auto"/>
              </w:rPr>
            </w:pP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158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8"/>
              </w:rPr>
              <w:t>Average Useful</w:t>
            </w: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Lives in Years</w:t>
            </w:r>
          </w:p>
        </w:tc>
        <w:tc>
          <w:tcPr>
            <w:tcW w:w="160" w:type="dxa"/>
            <w:vAlign w:val="bottom"/>
          </w:tcPr>
          <w:p>
            <w:pPr>
              <w:spacing w:after="0"/>
              <w:rPr>
                <w:sz w:val="21"/>
                <w:szCs w:val="21"/>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5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 and related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component of supply contract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7"/>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Estimated fair value of acquired intangibles</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-1028065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goodwill of $52.3 million reflects the anticipated synergies of the expected benefits from future generations of acquired IP and workforce of the transferred assets as of the Closing Date. As of June 2025, approximately $16.0 million of the goodwill is expected to be deductible for income tax purposes.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approximately $47.7 million of revenue from the Closing Date through June 2025. It is impracticable to determine the effect on net income attributable to the acquisition as we had integrated a substantial portion of the acquisition into our ongoing operations at the close.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it is impractical to include pro forma information given the difficulty in obtaining the historical financial information for the acquisition as the business was part of Broadcom and did not have discrete financial information prior to the acquisition. Inclusion of such information would require us to make estimates and assumptions regarding the acquired business historical financial results that we believe may ultimately prove inaccurate.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2024 Asset Acquisition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2024, we entered into an amendment to our wireless license agreement with Broadcom to license four developed technology products and to extend the exclusivity period of certain developed technologies that were previously licensed from Broadcom in July 2020 for an aggregate consideration of $130.0 million. As of June 2025, we have obtained control of three of the four technology products and the three-year extension period to exclusively license previously acquired developed technology intangible assets. Accordingly, the relative fair value of $87.5 million for those technology products is presented as acquired intangible assets in the accompanying consolidated balance sheets. The fair value of the remaining technology product of $42.5 million, for which we have not yet obtained control, is an advance payment on intangible assets and is presented within other long-term assets in the accompanying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Short-Term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Cash, cash equivalents and short-term investments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gain/(loss)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gain/(loss)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50"/>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-393700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-565150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-565150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-565150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-565150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-1224915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-1224915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-1224915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-1224915</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 xml:space="preserve">As of June 2025, all of our short-term investments </w:t>
      </w:r>
      <w:r>
        <w:rPr>
          <w:rFonts w:ascii="Times New Roman" w:cs="Times New Roman" w:eastAsia="Times New Roman" w:hAnsi="Times New Roman"/>
          <w:sz w:val="18"/>
          <w:szCs w:val="18"/>
          <w:color w:val="000000"/>
        </w:rPr>
        <w:t>mature within one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52525"/>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Fair value assumes that a transaction to sell an asset or transfer a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r>
        <w:rPr>
          <w:rFonts w:ascii="Times New Roman" w:cs="Times New Roman" w:eastAsia="Times New Roman" w:hAnsi="Times New Roman"/>
          <w:sz w:val="18"/>
          <w:szCs w:val="18"/>
          <w:color w:val="000000"/>
        </w:rPr>
        <w:t>:</w:t>
      </w:r>
    </w:p>
    <w:p>
      <w:pPr>
        <w:spacing w:after="0" w:line="8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unadjusted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1 financial instruments are traded in active markets and the fair value is based on quoted market prices for identical instruments. The fair value of our Level 2 fixed-income securities is obtained from an independent pricing service, which may use quoted market prices for identical or comparable instruments or model-driven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Financial assets measured at fair value on a recurring basis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50"/>
        </w:trPr>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5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6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-33655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-33655</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-33655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-33655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-33655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-1182370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-1182370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-1182370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-1182370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-1353820</wp:posOffset>
            </wp:positionV>
            <wp:extent cx="6032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 xml:space="preserve">The above table excludes $360.7 million and $238.4 million of cash held in bank accounts at the end of </w:t>
      </w:r>
      <w:r>
        <w:rPr>
          <w:rFonts w:ascii="Times New Roman" w:cs="Times New Roman" w:eastAsia="Times New Roman" w:hAnsi="Times New Roman"/>
          <w:sz w:val="18"/>
          <w:szCs w:val="18"/>
          <w:color w:val="000000"/>
        </w:rPr>
        <w:t>June 2025</w:t>
      </w:r>
      <w:r>
        <w:rPr>
          <w:rFonts w:ascii="Times New Roman" w:cs="Times New Roman" w:eastAsia="Times New Roman" w:hAnsi="Times New Roman"/>
          <w:sz w:val="18"/>
          <w:szCs w:val="18"/>
          <w:color w:val="252525"/>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52525"/>
        </w:rPr>
        <w:t xml:space="preserve">, respectively. We did not have any financial instruments measured at fair value on a recurring basis within Level 3 fair value during fiscal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52525"/>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52525"/>
        </w:rPr>
        <w:t xml:space="preserve"> and there were no transfers in or out of our Level 1 or 2 assets during the same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Recorded at Fair Value on a Recurring Basis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 xml:space="preserve">We report our financial instruments at fair value with the exception of the Senior Notes and Term Loan. </w:t>
      </w:r>
      <w:r>
        <w:rPr>
          <w:rFonts w:ascii="Times New Roman" w:cs="Times New Roman" w:eastAsia="Times New Roman" w:hAnsi="Times New Roman"/>
          <w:sz w:val="18"/>
          <w:szCs w:val="18"/>
          <w:color w:val="000000"/>
        </w:rPr>
        <w:t>See “Note 8. Debt and Revolving Credit Facility.”</w:t>
      </w:r>
      <w:r>
        <w:rPr>
          <w:rFonts w:ascii="Times New Roman" w:cs="Times New Roman" w:eastAsia="Times New Roman" w:hAnsi="Times New Roman"/>
          <w:sz w:val="18"/>
          <w:szCs w:val="18"/>
          <w:color w:val="252525"/>
        </w:rPr>
        <w:t xml:space="preserve"> The estimated fair value of the Senior Notes was determined based on the trading price of the notes as of the last day of trading for the period. We consider the fair value of these notes to be a Level 2 measurement as they are not traded in active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The carrying amounts and estimated fair values of the Senior Notes and Term Debt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Estimated Fair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1"/>
        </w:trPr>
        <w:tc>
          <w:tcPr>
            <w:tcW w:w="21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Carrying Amount</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ind w:right="396"/>
              <w:spacing w:after="0"/>
              <w:rPr>
                <w:sz w:val="20"/>
                <w:szCs w:val="20"/>
                <w:color w:val="auto"/>
              </w:rPr>
            </w:pPr>
            <w:r>
              <w:rPr>
                <w:rFonts w:ascii="Times New Roman" w:cs="Times New Roman" w:eastAsia="Times New Roman" w:hAnsi="Times New Roman"/>
                <w:sz w:val="18"/>
                <w:szCs w:val="18"/>
                <w:color w:val="auto"/>
                <w:w w:val="92"/>
              </w:rPr>
              <w:t>Value</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Carrying Amount</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5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50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Term Loan Facility due 2028</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2031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5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Goodwill and Acquired Intangible Assets</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66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252525"/>
              </w:rPr>
              <w:t>Goodwill was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0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activity</w:t>
            </w: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0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16"/>
            <w:vMerge w:val="restart"/>
          </w:tcPr>
          <w:p>
            <w:pPr>
              <w:spacing w:after="0"/>
              <w:rPr>
                <w:sz w:val="20"/>
                <w:szCs w:val="20"/>
                <w:color w:val="auto"/>
              </w:rPr>
            </w:pPr>
            <w:r>
              <w:rPr>
                <w:rFonts w:ascii="Times New Roman" w:cs="Times New Roman" w:eastAsia="Times New Roman" w:hAnsi="Times New Roman"/>
                <w:sz w:val="18"/>
                <w:szCs w:val="18"/>
                <w:color w:val="auto"/>
              </w:rPr>
              <w:t>The gross carrying value and related accumulated amortization of acquired intangible assets were as follows:</w:t>
            </w: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20" w:type="dxa"/>
            <w:vAlign w:val="bottom"/>
            <w:gridSpan w:val="16"/>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140" w:type="dxa"/>
            <w:vAlign w:val="bottom"/>
          </w:tcPr>
          <w:p>
            <w:pPr>
              <w:spacing w:after="0"/>
              <w:rPr>
                <w:sz w:val="24"/>
                <w:szCs w:val="24"/>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6"/>
              </w:rPr>
              <w:t>Weighted</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Average</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Carrying</w:t>
            </w:r>
          </w:p>
        </w:tc>
        <w:tc>
          <w:tcPr>
            <w:tcW w:w="16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color w:val="auto"/>
              </w:rPr>
              <w:t>Net Carrying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Accumulated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213"/>
        </w:trPr>
        <w:tc>
          <w:tcPr>
            <w:tcW w:w="2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Life in Years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color w:val="auto"/>
              </w:rPr>
              <w:t>Value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6"/>
                <w:szCs w:val="16"/>
                <w:color w:val="auto"/>
              </w:rPr>
              <w:t>Value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Amortization</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color w:val="auto"/>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Audio and video technology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80" w:type="dxa"/>
            <w:vAlign w:val="bottom"/>
            <w:gridSpan w:val="3"/>
            <w:shd w:val="clear" w:color="auto" w:fill="CCEEFF"/>
          </w:tcPr>
          <w:p>
            <w:pPr>
              <w:jc w:val="center"/>
              <w:ind w:right="3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Wireless connectivity</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00" w:type="dxa"/>
            <w:vAlign w:val="bottom"/>
            <w:gridSpan w:val="4"/>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5"/>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interface technology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12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Not applicable</w:t>
            </w: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80" w:type="dxa"/>
            <w:vAlign w:val="bottom"/>
            <w:gridSpan w:val="3"/>
            <w:shd w:val="clear" w:color="auto" w:fill="CCEEFF"/>
          </w:tcPr>
          <w:p>
            <w:pPr>
              <w:jc w:val="center"/>
              <w:ind w:right="3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-4234180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-4234180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-4234180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-2236470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-2407920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-2742565</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-33655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-33655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-33655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-205105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-205105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-205105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-1319530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-1319530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-1319530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-1319530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is calculated using the straight-line method over the estimated useful lives of the acquired intangibles. IPR&amp;D will be accounted for as an indefinite-lived intangible asset and will not be amortized until the underlying project reaches technological feasibility and commercial production, at which point the IPR&amp;D will be amortized over the estimated useful life. Useful lives for these IPR&amp;D projects are expected to range between 3 to 10 years. In the event the IPR&amp;D is abandoned, the related assets will be written off. The total amortization expense for acquired intangible assets was $114.2 million in fiscal 2025, $81.6 million in fiscal 2024 and $130.4 million in fiscal 2023. This amortization expense was included in the accompanying consolidated statements of operations as acquired intangibles amortization and cost of revenue.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2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972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958"/>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annual aggregate amortization expense in future fiscal years are as follows: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5"/>
        </w:trPr>
        <w:tc>
          <w:tcPr>
            <w:tcW w:w="974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9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50"/>
        </w:trPr>
        <w:tc>
          <w:tcPr>
            <w:tcW w:w="9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63"/>
        </w:trPr>
        <w:tc>
          <w:tcPr>
            <w:tcW w:w="20" w:type="dxa"/>
            <w:vAlign w:val="bottom"/>
          </w:tcPr>
          <w:p>
            <w:pPr>
              <w:spacing w:after="0"/>
              <w:rPr>
                <w:sz w:val="22"/>
                <w:szCs w:val="22"/>
                <w:color w:val="auto"/>
              </w:rPr>
            </w:pPr>
          </w:p>
        </w:tc>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0"/>
        </w:trPr>
        <w:tc>
          <w:tcPr>
            <w:tcW w:w="9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63"/>
        </w:trPr>
        <w:tc>
          <w:tcPr>
            <w:tcW w:w="20" w:type="dxa"/>
            <w:vAlign w:val="bottom"/>
          </w:tcPr>
          <w:p>
            <w:pPr>
              <w:spacing w:after="0"/>
              <w:rPr>
                <w:sz w:val="22"/>
                <w:szCs w:val="22"/>
                <w:color w:val="auto"/>
              </w:rPr>
            </w:pPr>
          </w:p>
        </w:tc>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20" w:type="dxa"/>
            <w:vAlign w:val="bottom"/>
          </w:tcPr>
          <w:p>
            <w:pPr>
              <w:spacing w:after="0"/>
              <w:rPr>
                <w:sz w:val="21"/>
                <w:szCs w:val="21"/>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7"/>
        </w:trPr>
        <w:tc>
          <w:tcPr>
            <w:tcW w:w="20" w:type="dxa"/>
            <w:vAlign w:val="bottom"/>
          </w:tcPr>
          <w:p>
            <w:pPr>
              <w:spacing w:after="0"/>
              <w:rPr>
                <w:sz w:val="22"/>
                <w:szCs w:val="22"/>
                <w:color w:val="auto"/>
              </w:rPr>
            </w:pPr>
          </w:p>
        </w:tc>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be determined</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6"/>
        </w:trPr>
        <w:tc>
          <w:tcPr>
            <w:tcW w:w="20" w:type="dxa"/>
            <w:vAlign w:val="bottom"/>
          </w:tcPr>
          <w:p>
            <w:pPr>
              <w:spacing w:after="0"/>
              <w:rPr>
                <w:sz w:val="22"/>
                <w:szCs w:val="22"/>
                <w:color w:val="auto"/>
              </w:rPr>
            </w:pPr>
          </w:p>
        </w:tc>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 amortization</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1"/>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indefinite-lived 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we recorded an intangible asset impairment charge of $13.8 million related to a license of certain technology we acquired in fiscal 2024. We recorded the impairment charge due to a lack of potential customers, no alternative uses for the acquired technology and no further development or investment planned for this project. The impairment charge was presented as an operating expense in our consolidated statement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we recorded an indefinite-lived intangible asset impairment charge of $16.0 million of IPR&amp;D from our December 2021 acquisition of DSP Group, Inc. (“DSPG”). We recorded the impairment charge as a result of a lack of commitment from certain key customers, no anticipated customer migration to the IPR&amp;D technologies acquired from DSPG and no further development or investment planned for this project. The impairment charge was presented as an operating expense in our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and Revolving Credit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debt outstanding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30"/>
        </w:trPr>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Net Carrying Amount</w:t>
            </w:r>
          </w:p>
        </w:tc>
        <w:tc>
          <w:tcPr>
            <w:tcW w:w="700" w:type="dxa"/>
            <w:vAlign w:val="bottom"/>
            <w:tcBorders>
              <w:bottom w:val="single" w:sz="8" w:color="auto"/>
            </w:tcBorders>
          </w:tcPr>
          <w:p>
            <w:pPr>
              <w:spacing w:after="0"/>
              <w:rPr>
                <w:sz w:val="19"/>
                <w:szCs w:val="19"/>
                <w:color w:val="auto"/>
              </w:rPr>
            </w:pPr>
          </w:p>
        </w:tc>
      </w:tr>
      <w:tr>
        <w:trPr>
          <w:trHeight w:val="191"/>
        </w:trPr>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Effective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8"/>
        </w:trPr>
        <w:tc>
          <w:tcPr>
            <w:tcW w:w="19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Stated Rate</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Long-term</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5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8"/>
        </w:trPr>
        <w:tc>
          <w:tcPr>
            <w:tcW w:w="19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6.99%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7.83%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1"/>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r>
      <w:tr>
        <w:trPr>
          <w:trHeight w:val="21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w:t>
            </w: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1"/>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10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7"/>
        </w:trPr>
        <w:tc>
          <w:tcPr>
            <w:tcW w:w="1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r>
      <w:tr>
        <w:trPr>
          <w:trHeight w:val="20"/>
        </w:trPr>
        <w:tc>
          <w:tcPr>
            <w:tcW w:w="1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-1293495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2031 Convertible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2024 and November 26, 2024, we issued and sold $400.0 million and $50.0 million, respectively, in aggregate principal amount of 0.75% Convertible Senior Notes due 2031 (“2031 Notes”) in a private placement. The 2031 Notes were issued pursuant to an indenture (“2031 Indenture”), dated November 19, 2024. The 2031 Notes are unsecured, bear interest at a fixed rate of 0.75% per year, payable semi-annually in arrears on June 1 and December 1 of each year, beginning on June 1, 2025, and mature on December 1, 2031, unless earlier converted, redeemed or repurchased by us.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2031 Notes are our senior, unsecured obligations and are (i) equal in right of payment with our existing and future senior unsecured indebtedness; (ii) senior in right of payment to our existing and future indebtedness that is expressly subordinated to the 2031 Notes; (iii) effectively subordinated to our existing and future secured indebtedness, to the extent of the value of the collateral securing that indebtedness; and (iv) structurally subordinated to all existing and future indebtedness and other liabilities.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conversion rate of the 2031 Notes is 10.0308 shares of our common stock per $1,000 principal amount of 2031 Notes (which is equivalent to an initial conversion price of approximately 99.69 per share). The conversion rate is subject to adjustment upon the occurrence of certain events specified in the 2031 Indenture. In addition, upon the occurrence of a Make-Whole Fundamental Change or if we deliver a Redemption Notice, both as defined in the 2031 Indenture, we will, in certain circumstances, increase the conversion rate by a number of additional shares of common stock as described in the 2031 Indenture for a holder who elects to convert its 2031 Notes in connection with such Make-Whole Fundamental Change or to convert its 2031 Notes called (or deemed called as provided in the 2031 Indenture) for redemption in connection with such Redemption Notice, as the case may be.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any time from, and including, September 2, 2031, the 2031 Notes are convertible at the option of the holders thereof only under the following circumstances: (1) during any calendar quarter commencing after the first calendar quarter ending on March 31, 2025, if the last reported sale price per share of our common stock exceeds 130% of the conversion price for at least 20 trading days (whether or not consecutive) during the 30 consecutive trading days ending on, and including, the last trading day of the immediately preceding calendar quarter; (2) during the five consecutive business days after any ten consecutive trading day period (such ten consecutive trading day period, the “measurement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(3) if we call such 2031 Notes for redemption; or (4) upon the occurrence of specified corporate events or distributions on our common stock, (as defined in the 2031 Indenture). As of June 2025, none of the conditions allowing holders of the 2031 Notes to convert had been met. On or after September 2, 2031 until the close of business on the second scheduled trading day immediately preceding the maturity date of the 2031 Notes, holders of the 2031 Notes may convert all or a portion of their 2031 Notes, regardless of the foregoing conditions. Upon conversion, the 2031 Notes will be settled in cash, shares of our common stock based on the conversion rate (as defined in the 2031 Indenture) or any combination thereof, at our election.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2031 Notes are redeemable, at our option at any time, and from time to time, on or after December 6, 2028. We may redeem for cash all or any portion of the 2031 Notes (subject to the limitation described below), at our option, on or after December 6, 2028 and on or before the 40th scheduled trading day immediately before December 1, 2031 at a cash redemption price equal to the principal amount of the 2031 Notes to be redeemed, plus accrued and unpaid interest, if any, to, but excluding, the redemption date, but only if (i) the notes are Freely Tradable (as defined in 2031 Indenture) as of the date we send the related redemption notice and all accrued and unpaid additional interest, if any, has been paid in full as of the most recent interest payment date occurring on or before the date we send such notice; and (ii) the last reported sale price per share of our common stock exceeds 130% of the conversion price on (1) each of at least 20 trading days, whether or not consecutive, during the 30 consecutive trading days ending on, and including, the trading day immediately before the date we send such redemption notice; and (2) the trading day immediately before the date we send such notice. However, we may not redeem less than all of the outstanding notes unless at least $100.0 million aggregate principal amount of notes are outstanding and not called for redemption as of the time we send, and after giving effect to,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No sinking fund is provided for the 2031 Notes.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(as defined in the 2031 Indenture) prior to the maturity date of the 2031 Notes, holders of the 2031 Notes may require us to repurchase their notes for a cash repurchase price equal to the principal amount of the 2031 Notes to be repurchased, plus any accrued and unpaid interest, if any, to, but excluding, the Fundamental Change Repurchase Date (as defined in the 2031 Indenture).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2031 Capped Calls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2031 Notes, we entered into privately negotiated capped call transactions (each, a “2031 Capped Call” and collectively, the “2031 Capped Calls”) with certain financial institutions. The 2031 Capped Calls have an initial strike price of $99.69, subject to certain adjustments, which corresponds to the initial conversion price of the 2031 convertible senior notes. The 2031 Capped Calls have an initial cap price of $150.48 per share, subject to certain adjustments. The 2031 Capped Calls are expected to partially offset the potential dilution to the Company’s common stock upon any conversion of the 2031 convertible senior notes, with such offset subject to a cap based on the cap price. The 2031 Capped Calls cover, subject to anti-dilution adjustments, approximately 4.5 million shares of the Company’s common stock. The 2031 Capped Calls are subject to adjustment upon the occurrence of specified extraordinary events affecting the Company, including merger events, tender offers and announcement events. For accounting purposes, each 2031 Capped Call is treated as a separate transaction from, and not part of, the terms of the 2031 convertible senior notes. As these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meet certain accounting criteria, the 2031 Capped Calls are recorded in stockholders’ equity and are not accounted for as derivatives. The 2031 Capped Calls will not be remeasured as long as they continue to meet the conditions for equity classification.</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Contractual interest expense and amortization of debt issuance costs on the 2031 Notes was $2.1 million and $1.1 million, respectively, in 2025. </w:t>
      </w:r>
      <w:r>
        <w:rPr>
          <w:rFonts w:ascii="Times New Roman" w:cs="Times New Roman" w:eastAsia="Times New Roman" w:hAnsi="Times New Roman"/>
          <w:sz w:val="18"/>
          <w:szCs w:val="18"/>
          <w:b w:val="1"/>
          <w:bCs w:val="1"/>
          <w:color w:val="auto"/>
        </w:rPr>
        <w:t>Senior Notes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we issued $400.0 million aggregate principal amount of senior notes due June 15, 2029 (“Senior Notes”), which bear interest at a rate of 4.0% payable semi-annually on December 15 and June 15 of each year. The Senior Notes are fully and unconditionally guaranteed, jointly and severally, on a senior unsecured basis by each of our current and future domestic restricted subsidiaries that guarantee our obligations under our senior secured credit facilities.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to the Senior Notes contains covenants that,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events of default. An event of default under the indenture will allow either the trustee or the holders of at least 25% in aggregate principal amount of the then outstanding Senior Notes to accelerate, or in certain cases automatically cause the acceleration of, the maturity of the principal and accrued interest on all outstanding Senior Notes.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Senior Notes at a price of 101% of the principal amount in 2025 and at 100% of the principal amount in 2026 and thereafter.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interest expense and amortization of debt issuance costs on the Senior Notes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2024, we used a portion of the net proceeds from the 2031 Notes to repay the outstanding balance and accrued interest of our Term Loan Facility, which was accounted for as a debt extinguishment. The consideration used to extinguish the Term Loan Facility, including unamortized debt issuance costs, resulted in a loss on early extinguishment of debt of $6.5 million and is included in loss on early extinguishment of debt in the accompanying consolidated statements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interest expense and amortization of debt issuance costs for our Term Loan Facility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$350.0 million available under a revolving credit agreement, as amended (“Revolving Credit Facility”), with a maturity date to be the earlier of (i) November 21, 2029 and (ii) ninety-one (91) days prior to any maturity of the Senior Notes. Additionally, the Revolving Credit Facility provides a $25.0 million sublimit for letters of credit and a $25.0 million sublimit for swingline loans. As of June 2025 and June 2024, there was no balance outstanding under the Revolving Credit Facility.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Facility bears interest, at our election, at a Base Rate plus an Applicable Margin or Adjusted Term SOFR, as defined in the Revolving Credit Facility agreement. We are required to pay a commitment fee on any unused commitments which is determined on a leverage-based sliding scale ranging from 0.175% to 0.25% per annum. The unused commitment fees on the Revolving Credit Facility were $0.4 million in 2025 and $0.6 million in 2024 and 2023,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contains various restrictive covenants, including two financial covenants which limit the consolidated total net leverage ratio and the consolidated net interest coverage ratio. As of June 2025, we remain in compliance with the restrictive covenants.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fiscal 2025, principal maturities of our Senior Notes and 2031 Notes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2031 Notes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2026 - 2028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50"/>
        </w:trPr>
        <w:tc>
          <w:tcPr>
            <w:tcW w:w="66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operating leases for our headquarters office and research and development facilities. Certain of these leases have renewal options that are under our discretion. The leases expire at various dates through fiscal 2034, some of which include options to extend the lease for up to seven years. During fiscal 2025 and 2024, we recorded $12.7 million and $11.8 million of operating leases expense, respectively. Our short-term leases are immaterial.</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leases were as follows: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Borders>
              <w:bottom w:val="single" w:sz="8" w:color="CCEEFF"/>
            </w:tcBorders>
          </w:tcPr>
          <w:p>
            <w:pPr>
              <w:spacing w:after="0"/>
              <w:rPr>
                <w:sz w:val="24"/>
                <w:szCs w:val="24"/>
                <w:color w:val="auto"/>
              </w:rPr>
            </w:pPr>
          </w:p>
        </w:tc>
        <w:tc>
          <w:tcPr>
            <w:tcW w:w="8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tcBorders>
              <w:bottom w:val="single" w:sz="8" w:color="auto"/>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20" w:type="dxa"/>
            <w:vAlign w:val="bottom"/>
            <w:tcBorders>
              <w:bottom w:val="single" w:sz="8" w:color="auto"/>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0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 obtaining right-of-use assets</w:t>
            </w:r>
          </w:p>
        </w:tc>
        <w:tc>
          <w:tcPr>
            <w:tcW w:w="10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-864870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-1036320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-1550670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-1722120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-325120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fiscal 2025, the weighted average remaining lease term was 5.73 years and the weighted average discount rate was 5.24%.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972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958"/>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As of the end of fiscal 2025, future minimum lease payments for operating lease liabilities were as follows: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9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03"/>
        </w:trPr>
        <w:tc>
          <w:tcPr>
            <w:tcW w:w="9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Lease</w:t>
            </w:r>
          </w:p>
        </w:tc>
      </w:tr>
      <w:tr>
        <w:trPr>
          <w:trHeight w:val="255"/>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Payments</w:t>
            </w:r>
          </w:p>
        </w:tc>
      </w:tr>
      <w:tr>
        <w:trPr>
          <w:trHeight w:val="25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6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5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8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-1525270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Concentrations of Credit Risk and Significant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short-term investments and accounts receivable. Our cash and cash equivalents and short-term investments are maintained with high-quality financial institutions.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concentration of credit risk in our accounts receivable is substantially mitigated by our credit evaluation process, relatively short collection terms and the level of credit worthiness of our customers. We extend credit based on an evaluation of a customer’s financial condition and generally do not require collateral. We perform ongoing credit evaluations on our customers and limit the amount of credit extended when deemed necessary based upon payment history and current credit worthiness. We regularly review the allowance for credit losses by considering factors such as historical experience, credit quality, age of accounts receivable balances and current economic conditions that may negatively impact our customers’ ability to pay.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2025 and June 2024, three customers comprised a total of 45% and 42% our accounts receivable,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net income per share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5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2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basic</w:t>
            </w: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share-based awards and convertible notes</w:t>
            </w:r>
          </w:p>
        </w:tc>
        <w:tc>
          <w:tcPr>
            <w:tcW w:w="158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diluted</w:t>
            </w:r>
          </w:p>
        </w:tc>
        <w:tc>
          <w:tcPr>
            <w:tcW w:w="15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 per share:</w:t>
            </w:r>
          </w:p>
        </w:tc>
        <w:tc>
          <w:tcPr>
            <w:tcW w:w="1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-685165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-685165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-856615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-856615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-1199515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-1199515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-1876425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-1876425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-2228215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-2228215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(loss)/income per share as their effect would have been antidilutive:</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5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0.7</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0.7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outstanding share-based awards. We used the if-converted method for calculating any potential dilutive effect of our 2031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2025, we had commitments of $53.9 million for purchase obligations which include payments for the acquisition of inventories and other goods or services of either a fixed or minimum quantity. Total future unconditional purchase commitments in future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62865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tcBorders>
              <w:top w:val="single" w:sz="8" w:color="auto"/>
            </w:tcBorders>
            <w:shd w:val="clear" w:color="auto" w:fill="CCEEFF"/>
          </w:tcPr>
          <w:p>
            <w:pPr>
              <w:jc w:val="right"/>
              <w:ind w:right="9170"/>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0"/>
        </w:trPr>
        <w:tc>
          <w:tcPr>
            <w:tcW w:w="9640" w:type="dxa"/>
            <w:vAlign w:val="bottom"/>
          </w:tcPr>
          <w:p>
            <w:pPr>
              <w:jc w:val="right"/>
              <w:ind w:right="9170"/>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9640" w:type="dxa"/>
            <w:vAlign w:val="bottom"/>
            <w:shd w:val="clear" w:color="auto" w:fill="CCEEFF"/>
          </w:tcPr>
          <w:p>
            <w:pPr>
              <w:jc w:val="right"/>
              <w:ind w:right="9170"/>
              <w:spacing w:after="0"/>
              <w:rPr>
                <w:sz w:val="20"/>
                <w:szCs w:val="20"/>
                <w:color w:val="auto"/>
              </w:rPr>
            </w:pPr>
            <w:r>
              <w:rPr>
                <w:rFonts w:ascii="Times New Roman" w:cs="Times New Roman" w:eastAsia="Times New Roman" w:hAnsi="Times New Roman"/>
                <w:sz w:val="18"/>
                <w:szCs w:val="18"/>
                <w:color w:val="auto"/>
                <w:w w:val="99"/>
              </w:rPr>
              <w:t>2028</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9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9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 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 We accrue for liabilities arising from indemnifications when it is both probable that we will incur the loss and we can reasonably estimate the amount of the loss or range of loss.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acquisition of Conexant Systems, LLC (“Conexant”) in fiscal 2018, we agreed to assume certain environmental liabilities, including remediation of environmental impacts at a property formerly owned by Conexant (“Conexant Site”). We continue to incur costs to investigate and remediate the Conexant Site’s environmental impacts. The liabilities are reviewed periodically and, as investigation and remediation activities continue, adjustments are made as necessary. Liabilities for losses from environmental remediation obligations do not consider the effects of inflation and anticipated expenditures are not discounted to their present value. We believe that the outcome of this matter should not have a material adverse effect on our financial condition, cash flows or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various claims and legal proceedings, either asserted or unasserted, that arise in the ordinary course of business. We accrue for loss contingencies when it is both probable that we will incur the loss and we can reasonably estimate the amount of the loss or range of loss. While we currently believe that resolving claims against 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individually or in the aggregate, will not have a material adverse impact on our business, financial condition or results of operations, these matters are subject to inherent uncertainties and our view of these matters may change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authorized, subject to limitations imposed by Delaware law, to issue up to 10,000,000 shares of preferred stock in one or more series without stockholder approval. Our Board of Directors has the authority to establish, from time-to-time,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 As of the end of fiscal 2025, there were no shares of preferred stock outstanding.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fiscal 2025, shares of common stock reserved for future issuance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2,981,280</w:t>
            </w:r>
          </w:p>
        </w:tc>
      </w:tr>
      <w:tr>
        <w:trPr>
          <w:trHeight w:val="25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stock units outstanding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104,975</w:t>
            </w:r>
          </w:p>
        </w:tc>
      </w:tr>
      <w:tr>
        <w:trPr>
          <w:trHeight w:val="263"/>
        </w:trPr>
        <w:tc>
          <w:tcPr>
            <w:tcW w:w="9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 outstanding</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191,386</w:t>
            </w:r>
          </w:p>
        </w:tc>
      </w:tr>
      <w:tr>
        <w:trPr>
          <w:trHeight w:val="250"/>
        </w:trPr>
        <w:tc>
          <w:tcPr>
            <w:tcW w:w="9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Awards available for grant under all share-based compensation plans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3,817,922</w:t>
            </w:r>
          </w:p>
        </w:tc>
      </w:tr>
      <w:tr>
        <w:trPr>
          <w:trHeight w:val="281"/>
        </w:trPr>
        <w:tc>
          <w:tcPr>
            <w:tcW w:w="9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Reserved for future issuance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7,095,563</w:t>
            </w:r>
          </w:p>
        </w:tc>
      </w:tr>
      <w:tr>
        <w:trPr>
          <w:trHeight w:val="20"/>
        </w:trPr>
        <w:tc>
          <w:tcPr>
            <w:tcW w:w="97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119"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From April 2005, our Board of Directors authorized a series of stock repurchase programs under which we repurchased shares of our common stock from time to time in the open market or in privately negotiated transactions, depending upon market conditions and other factors. These historical programs cumulatively authorized the repurchase of up to $2.3 billion of our common stock. The most recent of these programs expired in July 2025. As a result, on August 5, 2025, the Board authorized a new stock repurchase program to repurchase up to $150 million of our common stock. This program does not have an expiration date; however, the Board will periodically review the authorization to assess its continued appropriateness in light of the Company’s capital allocation priorities and market conditions. Repurchases under the program may be made in the open market or through privately negotiated transactions and are intended to comply with Rule 10b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under the Exchange Act.</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repurchased and the timing of repurchases depend on the level of our cash balances, general business and market conditions and other factors, including alternative investment opportunities.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year 2025 and 2023, we repurchased 1.8 million shares of our common stock for $128.3 million and 2.0 million shares for $183.5 million, respectively. We did not repurchase any of our common stock in fiscal 2024. All repurchased shares are recorded as treasury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end of fiscal 2025, we had the following equity compensation plans under which equity securities were authorized for issuance to our employees and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Inducement Equity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27, 2025, we adopted the 2025 Inducement Equity Plan (“2025 Inducement Plan”) which provides for the issuance of option or appreciation rights, restricted stock units (“RSU”) or dividend equivalents to our employees. Awards granted under the 2025 Inducement Plan will not exceed 1,700,000 shares of common stock. As of June 2025, 693,494 shares of our common stock are reserved for issuance under the 2025 Inducement Plan. Equity awards granted under the 2025 Inducement Plan generally vest ratably over two years from the vesting commencement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2019 Equity and Incentive Compensation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Synaptics Incorporated Amended and Restated 2019 Equity and Incentive Compensation Plan (“2019 Incentive Plan”) provides for the grant of equity-based compensation in the form of stock options, stock appreciation rights, RSUs, cash incentive awards, shares with performance conditions (“PSU”) or market-based conditions (“MSU”) and other stock-based awards. As of June 2025, 2,675,325 shares of our common stock are reserved for issuance under the 2019 Incentive Plan. The performance metrics of PSU and MSU awards can be financial performance and/or market-based conditions. Each PSU and MSU award reflects a target number of shares that may be issued to an award recipient before adjusting based on our financial performance and/or market-based conditions. The actual number of shares that an award recipient receives at the end of the period may range from 0% to 300% of the target number of shares granted, depending upon the achievement of the performance target designated by each individual award.</w:t>
      </w:r>
    </w:p>
    <w:p>
      <w:pPr>
        <w:spacing w:after="0" w:line="81" w:lineRule="exact"/>
        <w:rPr>
          <w:sz w:val="20"/>
          <w:szCs w:val="20"/>
          <w:color w:val="auto"/>
        </w:rPr>
      </w:pPr>
    </w:p>
    <w:p>
      <w:pPr>
        <w:ind w:right="3180"/>
        <w:spacing w:after="0" w:line="375" w:lineRule="auto"/>
        <w:rPr>
          <w:sz w:val="20"/>
          <w:szCs w:val="20"/>
          <w:color w:val="auto"/>
        </w:rPr>
      </w:pPr>
      <w:r>
        <w:rPr>
          <w:rFonts w:ascii="Times New Roman" w:cs="Times New Roman" w:eastAsia="Times New Roman" w:hAnsi="Times New Roman"/>
          <w:sz w:val="18"/>
          <w:szCs w:val="18"/>
          <w:color w:val="auto"/>
        </w:rPr>
        <w:t xml:space="preserve">Our 2025 Inducement Plan and 2019 Incentive Plan are collectively referred to as “Stock Compensation Plans.” </w:t>
      </w:r>
      <w:r>
        <w:rPr>
          <w:rFonts w:ascii="Times New Roman" w:cs="Times New Roman" w:eastAsia="Times New Roman" w:hAnsi="Times New Roman"/>
          <w:sz w:val="18"/>
          <w:szCs w:val="18"/>
          <w:i w:val="1"/>
          <w:iCs w:val="1"/>
          <w:color w:val="auto"/>
        </w:rPr>
        <w:t>Restricted Stock Units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RSUs granted generally vest ratably over two to four years from the vesting commencement date. RSU activity, including RSUs granted, delivered and forfeited in fiscal 2025, and the balance and aggregate intrinsic value of RSUs as of the end of fiscal 2025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03"/>
        </w:trPr>
        <w:tc>
          <w:tcPr>
            <w:tcW w:w="81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Awards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8"/>
              </w:rPr>
              <w:t>Grant Date</w:t>
            </w:r>
          </w:p>
        </w:tc>
      </w:tr>
      <w:tr>
        <w:trPr>
          <w:trHeight w:val="234"/>
        </w:trPr>
        <w:tc>
          <w:tcPr>
            <w:tcW w:w="81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7"/>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1,620,006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50"/>
        </w:trPr>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2,694,317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63"/>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(882,655)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50"/>
        </w:trPr>
        <w:tc>
          <w:tcPr>
            <w:tcW w:w="8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(450,388)</w:t>
            </w:r>
          </w:p>
        </w:tc>
        <w:tc>
          <w:tcPr>
            <w:tcW w:w="32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8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2025</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2,981,280</w:t>
            </w:r>
          </w:p>
        </w:tc>
        <w:tc>
          <w:tcPr>
            <w:tcW w:w="3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fiscal 2025, the aggregate intrinsic value of RSUs expected to vest was $193.1 million. Our closing stock price of $64.78 on the last day of trading in fiscal 2025 was used to calculate the intrinsic value for the RSUs.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unrecognized share-based compensation cost for RSUs granted under Stock Compensation Plans was $157.4 million as of the end of fiscal 2025, which will be recognized over a weighted average period of 1.8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MSU activity, including MSUs granted, delivered and forfeited in fiscal 2025, and the balance and aggregate intrinsic value of MSUs as of the end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were as follows: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02"/>
        </w:trPr>
        <w:tc>
          <w:tcPr>
            <w:tcW w:w="8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8"/>
              </w:rPr>
              <w:t>Average</w:t>
            </w:r>
          </w:p>
        </w:tc>
      </w:tr>
      <w:tr>
        <w:trPr>
          <w:trHeight w:val="203"/>
        </w:trPr>
        <w:tc>
          <w:tcPr>
            <w:tcW w:w="8140" w:type="dxa"/>
            <w:vAlign w:val="bottom"/>
          </w:tcPr>
          <w:p>
            <w:pPr>
              <w:spacing w:after="0"/>
              <w:rPr>
                <w:sz w:val="17"/>
                <w:szCs w:val="17"/>
                <w:color w:val="auto"/>
              </w:rPr>
            </w:pPr>
          </w:p>
        </w:tc>
        <w:tc>
          <w:tcPr>
            <w:tcW w:w="148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MSU Awards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rPr>
              <w:t>Grant Date</w:t>
            </w:r>
          </w:p>
        </w:tc>
      </w:tr>
      <w:tr>
        <w:trPr>
          <w:trHeight w:val="255"/>
        </w:trPr>
        <w:tc>
          <w:tcPr>
            <w:tcW w:w="8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50"/>
        </w:trPr>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63"/>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50"/>
        </w:trPr>
        <w:tc>
          <w:tcPr>
            <w:tcW w:w="8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(160,700)</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8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fiscal 2025, the aggregate intrinsic value of MSUs expected to vest was $6.8 million. Our closing stock price of $64.78 on the last day of trading in fiscal 2025 was used to calculate the intrinsic value for the MSUs. The unrecognized share-based compensation cost of our outstanding MSUs was $6.4 million as of the end of fiscal 2025, which will be recognized over a weighted average period of 0.9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MSU granted from our plans estimated at the date of grant using the Monte Carlo simulation model, assuming no expected dividends and the following assumptions: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1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company</w:t>
            </w:r>
          </w:p>
        </w:tc>
        <w:tc>
          <w:tcPr>
            <w:tcW w:w="16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8"/>
              </w:rPr>
              <w:t>52.4%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8"/>
              </w:rPr>
              <w:t>55.2%</w:t>
            </w:r>
          </w:p>
        </w:tc>
      </w:tr>
      <w:tr>
        <w:trPr>
          <w:trHeight w:val="25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Index</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14.9%-213.7%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11.5%-762.5%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- 320.7%</w:t>
            </w:r>
          </w:p>
        </w:tc>
      </w:tr>
      <w:tr>
        <w:trPr>
          <w:trHeight w:val="26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Correlation coefficient</w:t>
            </w:r>
          </w:p>
        </w:tc>
        <w:tc>
          <w:tcPr>
            <w:tcW w:w="16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0.61</w:t>
            </w:r>
          </w:p>
        </w:tc>
      </w:tr>
      <w:tr>
        <w:trPr>
          <w:trHeight w:val="25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6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8"/>
              </w:rPr>
              <w:t>3.86%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8"/>
              </w:rPr>
              <w:t>3.24%</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award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$71.14 - $182.80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$159.79 - $268.61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 $438.24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 activity, including PSUs granted, delivered and forfeited in fiscal 2025, and the balance and aggregate intrinsic value of PSUs as of the end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were as follows: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03"/>
        </w:trPr>
        <w:tc>
          <w:tcPr>
            <w:tcW w:w="8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8"/>
              </w:rPr>
              <w:t>Average</w:t>
            </w:r>
          </w:p>
        </w:tc>
      </w:tr>
      <w:tr>
        <w:trPr>
          <w:trHeight w:val="203"/>
        </w:trPr>
        <w:tc>
          <w:tcPr>
            <w:tcW w:w="8140" w:type="dxa"/>
            <w:vAlign w:val="bottom"/>
          </w:tcPr>
          <w:p>
            <w:pPr>
              <w:spacing w:after="0"/>
              <w:rPr>
                <w:sz w:val="17"/>
                <w:szCs w:val="17"/>
                <w:color w:val="auto"/>
              </w:rPr>
            </w:pPr>
          </w:p>
        </w:tc>
        <w:tc>
          <w:tcPr>
            <w:tcW w:w="148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PSU Awards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rPr>
              <w:t>Grant Date</w:t>
            </w:r>
          </w:p>
        </w:tc>
      </w:tr>
      <w:tr>
        <w:trPr>
          <w:trHeight w:val="255"/>
        </w:trPr>
        <w:tc>
          <w:tcPr>
            <w:tcW w:w="8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50"/>
        </w:trPr>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63"/>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50"/>
        </w:trPr>
        <w:tc>
          <w:tcPr>
            <w:tcW w:w="8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(261,244)</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8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191,386</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value PSUs using the aggregate intrinsic value on the grant date and amortize the compensation expense over the three-year service period on a ratable basis, dependent upon the probability of meeting the performance measures. The PSU awards outstanding balance at June 2025 is based on the target grant quantity and does not include any performance adjustment of shares for completed performance periods.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fiscal 2025, the aggregate intrinsic value of PSUs expected to vest was $12.4 million. Our closing stock price of $64.78 on the last day of trading in fiscal 2025 was used to calculate the intrinsic value for the PSUs.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unrecognized share-based compensation cost of our outstanding PSUs was $8.9 million as of June 2025, which will be recognized over a weighted average period of 0.8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employee stock purchase plan (“2019 ESPP”) allows employees to designate up to 15% of their base compensation, subject to legal restrictions and limitations, to purchase shares of common stock at 85% of the lesser of the fair market value at the beginning of the offering period or the exercise date. Under the 2019 ESPP, the offering period extends for up to one year and includes two exercise dates occurring at six-month intervals. Under the terms of our 2019 ESPP, if the fair market value at an exercise date is less than the fair market value at the beginning of the offering period, the current offering period will terminate and a new offering period will commence. As of June 2025, 449,103 shares of our common stock are reserved for issuance under the 2019 ESPP Plan.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were as follows: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5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237,508</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211,425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172,044</w:t>
            </w:r>
          </w:p>
        </w:tc>
      </w:tr>
      <w:tr>
        <w:trPr>
          <w:trHeight w:val="25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w:t>
            </w:r>
          </w:p>
        </w:tc>
      </w:tr>
      <w:tr>
        <w:trPr>
          <w:trHeight w:val="26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-650875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-650875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award granted under our 2019 ESPP was based on the Black-Scholes option pricing model. The fair value per award for fiscal 2025, 2024 and 2023 was $22.58, $34.54 and $40.70, respectively. Unrecognized share-based compensation costs for awards granted under our 2019 ESPP at the end of fiscal 2025 were $4.9 million that will be amortized over the next 8 months.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Share-based compensation and the related tax benefit for our stock-based awards recognized in the accompanying consolidated statements of income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5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5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57"/>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on share-based compensation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-33655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-33655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-205105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-205105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retirement benefit plans in the United States and certain foreign countries. We have a 401(k) Retirement Savings Plan (“401k Plan”) for U.S. full-time employees that allows eligible employees to contribute as defined in the 401k Plan and subject to Internal Revenue Service limitations. In fiscal 2025, we provided matching funds of 25% of our employees’ contributions, excluding catch-up contributions. The employer matching funds vest immediately. We made matching contributions to the 401k Plan of $1.8 million in fiscal 2025 and $1.9 million in both fiscal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(Loss)/income before provision for income taxes was as follows:</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00" w:type="dxa"/>
            <w:vAlign w:val="bottom"/>
            <w:tcBorders>
              <w:bottom w:val="single" w:sz="8" w:color="CFF0FC"/>
            </w:tcBorders>
          </w:tcPr>
          <w:p>
            <w:pPr>
              <w:spacing w:after="0"/>
              <w:rPr>
                <w:sz w:val="24"/>
                <w:szCs w:val="24"/>
                <w:color w:val="auto"/>
              </w:rPr>
            </w:pPr>
          </w:p>
        </w:tc>
        <w:tc>
          <w:tcPr>
            <w:tcW w:w="150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5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2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77"/>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242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(113.5)</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CFF0FC"/>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(benefit)/provision for income taxes consisted of the following: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5"/>
        </w:trPr>
        <w:tc>
          <w:tcPr>
            <w:tcW w:w="6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(benefit)/expense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6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0"/>
        </w:trPr>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57"/>
        </w:trPr>
        <w:tc>
          <w:tcPr>
            <w:tcW w:w="66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82"/>
        </w:trPr>
        <w:tc>
          <w:tcPr>
            <w:tcW w:w="6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(benefit)/provision for income taxes differs from the federal statutory rate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(Benefit)/provision at U.S. federal statutory tax rate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Shortfall/(windfall) related to share-based compensation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credits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differential</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inclusion of foreign income</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 on unremitted foreign earnings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provision to return adjustment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from domestication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from U.S. transition tax</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2"/>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Non-current deferred tax assets and non-current deferred tax liabilities are included in non-current other assets and other long-term liabilities, respectively, in the accompanying consolidated balance sheets.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deferred tax assets (liabilities) consisted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85"/>
        </w:trPr>
        <w:tc>
          <w:tcPr>
            <w:tcW w:w="8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write downs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and capitalized research and development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interest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5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credit carryforward</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5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7"/>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accruals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8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50"/>
        </w:trPr>
        <w:tc>
          <w:tcPr>
            <w:tcW w:w="8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 intangibles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50"/>
        </w:trPr>
        <w:tc>
          <w:tcPr>
            <w:tcW w:w="8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5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2025, a valuation allowance of $94.8 million was maintained to reduce the deferred tax assets related to capital loss carryovers in a foreign jurisdiction and all deferred tax assets in California to levels we believe are more likely than not to be realized through future taxable income. The net change in the valuation allowance during fiscal 2025 was an increase of $2.4 million.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almost all earnings of our foreign subsidiaries as not indefinitely reinvested overseas and have made appropriate provisions for income or withholding taxes that may result from a future repatriation of those earnings. As a result, an immaterial deferred tax liability is associated with unremitted foreign earnings, the remittance of which would not result in a further provision for income taxes. We continue to indefinitely reinvest $200.0 million on certain accumulated earnings and outside basis differences primarily related to our DSPG acquisition. If the undistributed earnings and other outside basis differences were recognized in a taxable transaction, the associated foreign tax credits would be expected to reduce the U.S. income tax liability associated with the foreign distribution or the otherwise taxable transaction. As of our fiscal 2025, assuming full utilization of the associated foreign tax credits, the potential net deferred tax liability associated with these undistributed earnings and outside basis differences would be approximately $46.0 million.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fiscal 2025, we had federal, California and foreign net operating loss carryforwards of $11.3 million, $31.0 million and $87.9 million, respectively. The federal net operating loss can be carried forward indefinitely and the California net operating loss will begin to expire in fiscal 2027, respectively if not utilized. Most of the foreign net operating loss carryforwards have no expiration date. Under current tax law, net operating loss and tax credit carryforwards are available to offset future income or income taxes, if utilized before expiration. However, the use of these carryforwards may be limited by statute or upon the occurrence of certain events, including significant changes in ownership.</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$32.3 million and $69.7 million of federal and state research tax credit carryforwards, respectively, as of the end of fiscal 2025. The federal research tax credit carryforward will begin to expire in 2029 and the state research tax credit can be carried forward indefinitely.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included in other liabilities in the accompanying consolidated balance sheets, decreased by $1.9 million from $46.5 million in fiscal 2024 to $44.6 million in fiscal 2025. Of this ending balance, $36.6 million will reduce the effective tax rate on income from continuing operations, if recognized. A reconciliation of the beginning and ending balance of gross unrecognized tax benefits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5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unrecognized tax benefits related to current year tax positions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6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(Decrease)/increase in unrecognized tax benefits related to prior year tax positions</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due to effective settlement with tax authorities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Remeasurement of unrecognized tax benefits</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Decrease due to statute expiration</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interest and penalties increased by $0.6 million in fiscal 2025 as compared to fiscal 2024 and increased by $0.6 million in fiscal 2024 as compared to fiscal 2023. Accrued interest and penalties were $4.2 million and $3.6 million as of the end of fiscal 2025 and 2024, respectively. Our policy is to classify interest and penalties, if any, as components of income tax expense.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reasonably possible that the amount of liability for unrecognized tax benefits may change within the next 12 months; an estimate of the range of possible changes could result in a decrease of $3.3 million to an increase of $1.9 million.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major tax jurisdictions are the U.S., Hong Kong SAR, Japan, Israel and the U.K. From fiscal 2017 onward, we remain subject to examination by one or more of these jurisdictions.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subsequent to the end of our fiscal year ended June 28, 2025, the One Big Beautiful Bill Act (“OBBBA”) was signed into law. This legislation includes a permanent extension and modification of certain provisions under the Tax Cuts and Jobs Act of 2017 (“TCJA”) and contains multiple effective dates. As the enactment occurred subsequent to our fiscal 2025, the impacts of the provisions of the OBBBA are not reflected in our fiscal 2025 financial statements. Certain provisions are effective beginning in fiscal 2026, and we are currently evaluating the potential impact of the new legislation on our future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revenue is generated from product shipments to our customers. A summary of our product categories is as follows:</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IoT: Includes products for Wireless and Processor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and Automotive: Includes products for PC Touch Pad, PC Fingerprint, Video Interface Solutions and Automotive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Includes products for Touch and Display Solutions for Mobile phone applications.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 by product category was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5"/>
        </w:trPr>
        <w:tc>
          <w:tcPr>
            <w:tcW w:w="66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5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50"/>
        </w:trPr>
        <w:tc>
          <w:tcPr>
            <w:tcW w:w="66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geographic region, based on the billing location of our customers, for the periods presented were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5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5"/>
        </w:trPr>
        <w:tc>
          <w:tcPr>
            <w:tcW w:w="6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-33655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-33655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-205105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-205105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-1191260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-1191260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to customers whose revenue represented 10% or more of our total net revenue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50"/>
        </w:trPr>
        <w:tc>
          <w:tcPr>
            <w:tcW w:w="2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20" w:type="dxa"/>
            <w:vAlign w:val="bottom"/>
          </w:tcPr>
          <w:p>
            <w:pPr>
              <w:spacing w:after="0"/>
              <w:rPr>
                <w:sz w:val="22"/>
                <w:szCs w:val="22"/>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9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-831215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-831215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 liabilities are comprised of deferred revenue and primarily relates to our obligation to transfer goods, services or licenses of our IP to customers for which we have received consideration. Contract liabilities were $16.2 million and $14.7 million as of June 2025 and June 2024, respectively, and are presented as part of customer-related liabilities in accrued liabilities in the accompanying consolidated balance sheets. See “Note 3. Supplemental Financial Statement Information.” During fiscal 2025 and 2024, we recognized $13.8 million and $4.9 million, respectively, in revenue related to contract liabilities outstanding as of the beginning of each such fiscal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and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operate in one segment — the development, marketing and sale of semiconductor products used in electronic devices and products. This determination is based on the management approach, which designates internal information regularly available to the chief operating decision maker (“CODM”) for</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making decisions and assessing performance as the source of determination of our reportable segment. Our CODM, the Chief Executive Officer, reviews financial information presented on a consolidated basis for the purpose of making operating decisions and assessing financial performance.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consolidated net income, as reported in our consolidated statements of operations, as the measure of profit or loss to allocate resources and assess performance. Financial forecasts and budget-to-actual results used by the CODM to assess performance and allocate resources, as well as those used for strategic decisions related to headcount and capital expenditures, are also reviewed on a consolidated basis. The CODM considers the impact of the significant segment expenses in the tables below when deciding whether to reinvest profits or pursue strategic mergers and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assets. The CODM does not review segment assets at a level other than that presented in the accompanying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segment net income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revenue (1)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77"/>
        </w:trPr>
        <w:tc>
          <w:tcPr>
            <w:tcW w:w="6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expenses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expenses (3)</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cost of revenue is cost of revenue adjusted for intangible asset amortization and stock-based compensation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8"/>
        <w:spacing w:after="0" w:line="282"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expenses is operating expenses comprised of research and development and general and administrative expenses adjusted for stock-based compensation, intangible asset amortization, restructuring and impairment related charges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8"/>
        <w:spacing w:after="0" w:line="282"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primarily include impairment charges, legal and vendor related charges and settlements, amortization of debt issuance costs and loss on early extinguishment of debt.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Geographical information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 by geographic area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8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20" w:type="dxa"/>
            <w:vAlign w:val="bottom"/>
          </w:tcPr>
          <w:p>
            <w:pPr>
              <w:spacing w:after="0"/>
              <w:rPr>
                <w:sz w:val="22"/>
                <w:szCs w:val="22"/>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50"/>
        </w:trPr>
        <w:tc>
          <w:tcPr>
            <w:tcW w:w="20" w:type="dxa"/>
            <w:vAlign w:val="bottom"/>
          </w:tcPr>
          <w:p>
            <w:pPr>
              <w:spacing w:after="0"/>
              <w:rPr>
                <w:sz w:val="21"/>
                <w:szCs w:val="21"/>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57"/>
        </w:trPr>
        <w:tc>
          <w:tcPr>
            <w:tcW w:w="20" w:type="dxa"/>
            <w:vAlign w:val="bottom"/>
          </w:tcPr>
          <w:p>
            <w:pPr>
              <w:spacing w:after="0"/>
              <w:rPr>
                <w:sz w:val="22"/>
                <w:szCs w:val="22"/>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9"/>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-685165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Restructuring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evaluate our operations to reduce costs and increase profitability, increase operational efficiencies and gain synergies from our previous acquisitions and align our business in response to market conditions.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restructuring costs as presented in our consolidated statements of operations is as follows: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85"/>
        </w:trPr>
        <w:tc>
          <w:tcPr>
            <w:tcW w:w="81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 costs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assets: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7"/>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restructuring charges incurred in fiscal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beginning and ending restructuring liability balances for each restructuring action: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Fiscal 2023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earlier</w:t>
            </w:r>
          </w:p>
        </w:tc>
        <w:tc>
          <w:tcPr>
            <w:tcW w:w="180" w:type="dxa"/>
            <w:vAlign w:val="bottom"/>
          </w:tcPr>
          <w:p>
            <w:pPr>
              <w:spacing w:after="0"/>
              <w:rPr>
                <w:sz w:val="17"/>
                <w:szCs w:val="17"/>
                <w:color w:val="auto"/>
              </w:rPr>
            </w:pPr>
          </w:p>
        </w:tc>
        <w:tc>
          <w:tcPr>
            <w:tcW w:w="14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Fiscal 2024</w:t>
            </w:r>
          </w:p>
        </w:tc>
        <w:tc>
          <w:tcPr>
            <w:tcW w:w="180" w:type="dxa"/>
            <w:vAlign w:val="bottom"/>
          </w:tcPr>
          <w:p>
            <w:pPr>
              <w:spacing w:after="0"/>
              <w:rPr>
                <w:sz w:val="17"/>
                <w:szCs w:val="17"/>
                <w:color w:val="auto"/>
              </w:rPr>
            </w:pPr>
          </w:p>
        </w:tc>
        <w:tc>
          <w:tcPr>
            <w:tcW w:w="14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Fiscal 2025</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5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Restructuring</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Restructuring</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Restructuring</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2024</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Charges (1)</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50"/>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40"/>
        <w:spacing w:after="0" w:line="375" w:lineRule="auto"/>
        <w:rPr>
          <w:sz w:val="20"/>
          <w:szCs w:val="20"/>
          <w:color w:val="auto"/>
        </w:rPr>
      </w:pPr>
      <w:r>
        <w:rPr>
          <w:rFonts w:ascii="Times New Roman" w:cs="Times New Roman" w:eastAsia="Times New Roman" w:hAnsi="Times New Roman"/>
          <w:sz w:val="18"/>
          <w:szCs w:val="18"/>
          <w:color w:val="auto"/>
        </w:rPr>
        <w:t xml:space="preserve">(1) Write-off of property and equipment charges of $1.4 million recognized in fiscal 2025 are not included in the restructuring liability balance above. </w:t>
      </w:r>
      <w:r>
        <w:rPr>
          <w:rFonts w:ascii="Times New Roman" w:cs="Times New Roman" w:eastAsia="Times New Roman" w:hAnsi="Times New Roman"/>
          <w:sz w:val="18"/>
          <w:szCs w:val="18"/>
          <w:i w:val="1"/>
          <w:iCs w:val="1"/>
          <w:color w:val="auto"/>
        </w:rPr>
        <w:t>Fiscal 2025 Restructuring Plan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restructuring plan was initiated during the first quarter of fiscal 2025 (“Fiscal 2025 Restructuring Plan”) primarily intended to focus on key growth initiatives, reduce costs and align our business in response to market conditions. Under the Fiscal 2025 Restructuring Plan, we will early terminate office space under operating leases. During fiscal 2025, we recorded restructuring charges of $16.4 million, which were mainly comprised of severance and one-time termination benefits as well as a write-off of property and equipment. We expect the actions under the Fiscal 2025 Restructuring Plan to be completed by the end of the first quarter of fiscal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 Restructuring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restructuring plan was initiated during the first and fourth quarter of fiscal 2024 (“Fiscal 2024 Restructuring Plan”) intended to further improve efficiencies in our operational activities, decrease costs and increase profitability. Restructuring charges were mainly comprised of severance and one-time termination benefits. In connection with the Fiscal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Restructuring Plan, we recorded restructuring charges of $0.5 million and $10.5 million during fiscal 2025 and 2024, respectively. As of the end of fiscal 2025, all actions relating to the Fiscal 2024 Restructuring Plan have been completed.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 Regarding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28, 2025, concluded that our disclosure controls and procedures (as defined in Rules 13a-15(e) and 15d-15(e) under the Exchange Act) were effective at the reasonable assurance level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2013 framework).</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evaluation under the COSO 2013 framework, our management concluded that our internal control over financial reporting was effective, at the reasonable assurance level, as of June 28, 2025. KPMG LLP, an independent registered public accounting firm, has audited the consolidated financial statements included in this Annual Report on Form 10-K, and as part of its audit has issued an attestation report, included herein, on our internal control over financial reporting, as of June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Rules 13a-15(f) and 15d-15(f) under the Exchange Act) during the fourth quarter of fiscal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over financial reporting will prevent or detect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2025, none of our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919"/>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corporate governance is incorporated herein by reference to the definitive Proxy Statement to be filed pursuant to Regulation 14A of the Exchange Act for our 2025 Annual Meeting of Stockholders. The information required by this Item relating to our executive officers is included in Part I – Item 1 of this Annual Report on Form 10-K under the caption “Information About Our Executive Officers.”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chief financial officer, principal accounting officer and other senior accounting personnel. The “Code of Ethics for the CEO and Senior Financial Officers” is located on our website at </w:t>
      </w:r>
      <w:r>
        <w:rPr>
          <w:rFonts w:ascii="Times New Roman" w:cs="Times New Roman" w:eastAsia="Times New Roman" w:hAnsi="Times New Roman"/>
          <w:sz w:val="18"/>
          <w:szCs w:val="18"/>
          <w:u w:val="single" w:color="auto"/>
          <w:color w:val="auto"/>
        </w:rPr>
        <w:t>www.synaptics.com</w:t>
      </w:r>
      <w:r>
        <w:rPr>
          <w:rFonts w:ascii="Times New Roman" w:cs="Times New Roman" w:eastAsia="Times New Roman" w:hAnsi="Times New Roman"/>
          <w:sz w:val="18"/>
          <w:szCs w:val="18"/>
          <w:color w:val="auto"/>
        </w:rPr>
        <w:t xml:space="preserve"> in the Investor Relations section under Corporate Governance.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“Executive Compensation”) to be filed pursuant to Regulation 14A of the Exchange Act for our 2025 Annual Meeting of Stockholders.</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captions “Beneficial Ownership of Certain Stockholders” and “Equity Compensation Plan Information”) to be filed pursuant to Regulation 14A of the Exchange Act for our 2025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captions “Board Composition and Governance — Independent Directors” and “Certain Relationships and Related Transactions”) to be filed pursuant to Regulation 14A of the Exchange Act for our 2025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captions “Ratification of Appointment of Independent Auditor” and “Audit and Non-Audit Fees”) to be filed pursuant to Regulation 14A of the Exchange Act for our 2025 Annual Meeting of Stockholders.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1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r>
      <w:tr>
        <w:trPr>
          <w:trHeight w:val="938"/>
        </w:trPr>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80" w:type="dxa"/>
            <w:vAlign w:val="bottom"/>
          </w:tcPr>
          <w:p>
            <w:pPr>
              <w:spacing w:after="0"/>
              <w:rPr>
                <w:sz w:val="24"/>
                <w:szCs w:val="24"/>
                <w:color w:val="auto"/>
              </w:rPr>
            </w:pPr>
          </w:p>
        </w:tc>
      </w:tr>
      <w:tr>
        <w:trPr>
          <w:trHeight w:val="527"/>
        </w:trPr>
        <w:tc>
          <w:tcPr>
            <w:tcW w:w="11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80" w:type="dxa"/>
            <w:vAlign w:val="bottom"/>
          </w:tcPr>
          <w:p>
            <w:pPr>
              <w:spacing w:after="0"/>
              <w:rPr>
                <w:sz w:val="24"/>
                <w:szCs w:val="24"/>
                <w:color w:val="auto"/>
              </w:rPr>
            </w:pPr>
          </w:p>
        </w:tc>
      </w:tr>
      <w:tr>
        <w:trPr>
          <w:trHeight w:val="324"/>
        </w:trPr>
        <w:tc>
          <w:tcPr>
            <w:tcW w:w="11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Form 10-K:</w:t>
            </w:r>
          </w:p>
        </w:tc>
        <w:tc>
          <w:tcPr>
            <w:tcW w:w="180" w:type="dxa"/>
            <w:vAlign w:val="bottom"/>
          </w:tcPr>
          <w:p>
            <w:pPr>
              <w:spacing w:after="0"/>
              <w:rPr>
                <w:sz w:val="24"/>
                <w:szCs w:val="24"/>
                <w:color w:val="auto"/>
              </w:rPr>
            </w:pP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08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9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Santa Clara, California, PCAOB Audit Firm ID: 185)</w:t>
            </w:r>
          </w:p>
        </w:tc>
        <w:tc>
          <w:tcPr>
            <w:tcW w:w="18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399"/>
        </w:trPr>
        <w:tc>
          <w:tcPr>
            <w:tcW w:w="20" w:type="dxa"/>
            <w:vAlign w:val="bottom"/>
          </w:tcPr>
          <w:p>
            <w:pPr>
              <w:spacing w:after="0"/>
              <w:rPr>
                <w:sz w:val="24"/>
                <w:szCs w:val="24"/>
                <w:color w:val="auto"/>
              </w:rPr>
            </w:pPr>
          </w:p>
        </w:tc>
        <w:tc>
          <w:tcPr>
            <w:tcW w:w="2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892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399"/>
        </w:trPr>
        <w:tc>
          <w:tcPr>
            <w:tcW w:w="20" w:type="dxa"/>
            <w:vAlign w:val="bottom"/>
          </w:tcPr>
          <w:p>
            <w:pPr>
              <w:spacing w:after="0"/>
              <w:rPr>
                <w:sz w:val="24"/>
                <w:szCs w:val="24"/>
                <w:color w:val="auto"/>
              </w:rPr>
            </w:pPr>
          </w:p>
        </w:tc>
        <w:tc>
          <w:tcPr>
            <w:tcW w:w="2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200" w:type="dxa"/>
            <w:vAlign w:val="bottom"/>
            <w:gridSpan w:val="6"/>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398"/>
        </w:trPr>
        <w:tc>
          <w:tcPr>
            <w:tcW w:w="20" w:type="dxa"/>
            <w:vAlign w:val="bottom"/>
          </w:tcPr>
          <w:p>
            <w:pPr>
              <w:spacing w:after="0"/>
              <w:rPr>
                <w:sz w:val="24"/>
                <w:szCs w:val="24"/>
                <w:color w:val="auto"/>
              </w:rPr>
            </w:pPr>
          </w:p>
        </w:tc>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399"/>
        </w:trPr>
        <w:tc>
          <w:tcPr>
            <w:tcW w:w="20" w:type="dxa"/>
            <w:vAlign w:val="bottom"/>
          </w:tcPr>
          <w:p>
            <w:pPr>
              <w:spacing w:after="0"/>
              <w:rPr>
                <w:sz w:val="24"/>
                <w:szCs w:val="24"/>
                <w:color w:val="auto"/>
              </w:rPr>
            </w:pPr>
          </w:p>
        </w:tc>
        <w:tc>
          <w:tcPr>
            <w:tcW w:w="3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0" w:type="dxa"/>
            <w:vAlign w:val="bottom"/>
            <w:tcBorders>
              <w:top w:val="single" w:sz="8" w:color="0000FF"/>
            </w:tcBorders>
          </w:tcPr>
          <w:p>
            <w:pPr>
              <w:spacing w:after="0"/>
              <w:rPr>
                <w:sz w:val="24"/>
                <w:szCs w:val="24"/>
                <w:color w:val="auto"/>
              </w:rPr>
            </w:pPr>
          </w:p>
        </w:tc>
        <w:tc>
          <w:tcPr>
            <w:tcW w:w="72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398"/>
        </w:trPr>
        <w:tc>
          <w:tcPr>
            <w:tcW w:w="20" w:type="dxa"/>
            <w:vAlign w:val="bottom"/>
          </w:tcPr>
          <w:p>
            <w:pPr>
              <w:spacing w:after="0"/>
              <w:rPr>
                <w:sz w:val="24"/>
                <w:szCs w:val="24"/>
                <w:color w:val="auto"/>
              </w:rPr>
            </w:pPr>
          </w:p>
        </w:tc>
        <w:tc>
          <w:tcPr>
            <w:tcW w:w="2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140" w:type="dxa"/>
            <w:vAlign w:val="bottom"/>
            <w:gridSpan w:val="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398"/>
        </w:trPr>
        <w:tc>
          <w:tcPr>
            <w:tcW w:w="20" w:type="dxa"/>
            <w:vAlign w:val="bottom"/>
          </w:tcPr>
          <w:p>
            <w:pPr>
              <w:spacing w:after="0"/>
              <w:rPr>
                <w:sz w:val="24"/>
                <w:szCs w:val="24"/>
                <w:color w:val="auto"/>
              </w:rPr>
            </w:pPr>
          </w:p>
        </w:tc>
        <w:tc>
          <w:tcPr>
            <w:tcW w:w="3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86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453"/>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08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have been omitted because the information is not required, is not applicable or is included in the Consolidated Financial Statements.</w:t>
      </w:r>
    </w:p>
    <w:p>
      <w:pPr>
        <w:spacing w:after="0" w:line="11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2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Exhibit</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1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2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To</w:t>
            </w:r>
          </w:p>
        </w:tc>
        <w:tc>
          <w:tcPr>
            <w:tcW w:w="25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0" w:type="dxa"/>
            <w:vAlign w:val="bottom"/>
          </w:tcPr>
          <w:p>
            <w:pPr>
              <w:spacing w:after="0"/>
              <w:rPr>
                <w:sz w:val="1"/>
                <w:szCs w:val="1"/>
                <w:color w:val="auto"/>
              </w:rPr>
            </w:pPr>
          </w:p>
        </w:tc>
      </w:tr>
      <w:tr>
        <w:trPr>
          <w:trHeight w:val="239"/>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12"/>
            <w:vMerge w:val="continue"/>
          </w:tcPr>
          <w:p>
            <w:pPr>
              <w:spacing w:after="0"/>
              <w:rPr>
                <w:sz w:val="20"/>
                <w:szCs w:val="20"/>
                <w:color w:val="auto"/>
              </w:rPr>
            </w:pPr>
          </w:p>
        </w:tc>
        <w:tc>
          <w:tcPr>
            <w:tcW w:w="3020" w:type="dxa"/>
            <w:vAlign w:val="bottom"/>
            <w:tcBorders>
              <w:bottom w:val="single" w:sz="8" w:color="auto"/>
            </w:tcBorders>
            <w:vMerge w:val="continue"/>
          </w:tcPr>
          <w:p>
            <w:pPr>
              <w:spacing w:after="0"/>
              <w:rPr>
                <w:sz w:val="20"/>
                <w:szCs w:val="20"/>
                <w:color w:val="auto"/>
              </w:rPr>
            </w:pPr>
          </w:p>
        </w:tc>
        <w:tc>
          <w:tcPr>
            <w:tcW w:w="2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580" w:type="dxa"/>
            <w:vAlign w:val="bottom"/>
            <w:gridSpan w:val="1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Certificate of Incorporation</w:t>
              </w:r>
            </w:hyperlink>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8-K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26, 2023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580" w:type="dxa"/>
            <w:vAlign w:val="bottom"/>
            <w:gridSpan w:val="1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Certificate of Designation of Series A Junior Participating</w:t>
              </w:r>
            </w:hyperlink>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8-A</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16, 2002</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1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Preferred Stock</w:t>
              </w:r>
            </w:hyperlink>
          </w:p>
        </w:tc>
        <w:tc>
          <w:tcPr>
            <w:tcW w:w="3060" w:type="dxa"/>
            <w:vAlign w:val="bottom"/>
            <w:tcBorders>
              <w:top w:val="single" w:sz="8" w:color="0000FF"/>
            </w:tcBorders>
            <w:gridSpan w:val="8"/>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Fourth Amended and Restated Bylaws (amended and restated</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31, 2025</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 xml:space="preserve">as of July </w:t>
            </w:r>
            <w:hyperlink r:id="rId181">
              <w:r>
                <w:rPr>
                  <w:rFonts w:ascii="Times New Roman" w:cs="Times New Roman" w:eastAsia="Times New Roman" w:hAnsi="Times New Roman"/>
                  <w:sz w:val="18"/>
                  <w:szCs w:val="18"/>
                  <w:color w:val="0000FF"/>
                  <w:w w:val="98"/>
                </w:rPr>
                <w:t xml:space="preserve">29, </w:t>
              </w:r>
            </w:hyperlink>
            <w:r>
              <w:rPr>
                <w:rFonts w:ascii="Times New Roman" w:cs="Times New Roman" w:eastAsia="Times New Roman" w:hAnsi="Times New Roman"/>
                <w:sz w:val="18"/>
                <w:szCs w:val="18"/>
                <w:color w:val="0000FF"/>
                <w:w w:val="98"/>
              </w:rPr>
              <w:t>2025)</w:t>
            </w:r>
          </w:p>
        </w:tc>
        <w:tc>
          <w:tcPr>
            <w:tcW w:w="3000" w:type="dxa"/>
            <w:vAlign w:val="bottom"/>
            <w:tcBorders>
              <w:top w:val="single" w:sz="8" w:color="0000FF"/>
            </w:tcBorders>
            <w:gridSpan w:val="9"/>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Form of Common Stock Certificate</w:t>
              </w:r>
            </w:hyperlink>
          </w:p>
        </w:tc>
        <w:tc>
          <w:tcPr>
            <w:tcW w:w="2020" w:type="dxa"/>
            <w:vAlign w:val="bottom"/>
            <w:gridSpan w:val="10"/>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12, 2002</w:t>
            </w:r>
          </w:p>
        </w:tc>
        <w:tc>
          <w:tcPr>
            <w:tcW w:w="0" w:type="dxa"/>
            <w:vAlign w:val="bottom"/>
          </w:tcPr>
          <w:p>
            <w:pPr>
              <w:spacing w:after="0"/>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580" w:type="dxa"/>
            <w:vAlign w:val="bottom"/>
            <w:gridSpan w:val="1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Description of Registrant’s Securities</w:t>
              </w:r>
            </w:hyperlink>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23, 2019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580" w:type="dxa"/>
            <w:vAlign w:val="bottom"/>
            <w:gridSpan w:val="1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Indenture, dated as of March 11, 2021, by and among the</w:t>
              </w:r>
            </w:hyperlink>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11, 2021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10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Company, the guarantors named therein and Wells Fargo</w:t>
              </w:r>
            </w:hyperlink>
          </w:p>
        </w:tc>
        <w:tc>
          <w:tcPr>
            <w:tcW w:w="460" w:type="dxa"/>
            <w:vAlign w:val="bottom"/>
            <w:tcBorders>
              <w:bottom w:val="single" w:sz="8" w:color="0000FF"/>
            </w:tcBorders>
            <w:gridSpan w:val="5"/>
          </w:tcPr>
          <w:p>
            <w:pPr>
              <w:ind w:left="20"/>
              <w:spacing w:after="0" w:line="182"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Bank,</w:t>
              </w:r>
            </w:hyperlink>
          </w:p>
        </w:tc>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National Association, as trustee</w:t>
              </w:r>
            </w:hyperlink>
          </w:p>
        </w:tc>
        <w:tc>
          <w:tcPr>
            <w:tcW w:w="2300" w:type="dxa"/>
            <w:vAlign w:val="bottom"/>
            <w:gridSpan w:val="11"/>
          </w:tcPr>
          <w:p>
            <w:pPr>
              <w:spacing w:after="0"/>
              <w:rPr>
                <w:sz w:val="17"/>
                <w:szCs w:val="17"/>
                <w:color w:val="auto"/>
              </w:rPr>
            </w:pPr>
          </w:p>
        </w:tc>
        <w:tc>
          <w:tcPr>
            <w:tcW w:w="30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580" w:type="dxa"/>
            <w:vAlign w:val="bottom"/>
            <w:gridSpan w:val="1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4.000% Senior Notes due 2029 (included in Exhibit</w:t>
              </w:r>
            </w:hyperlink>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11, 2021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0"/>
              </w:rPr>
            </w:pPr>
            <w:hyperlink r:id="rId185">
              <w:r>
                <w:rPr>
                  <w:rFonts w:ascii="Times New Roman" w:cs="Times New Roman" w:eastAsia="Times New Roman" w:hAnsi="Times New Roman"/>
                  <w:sz w:val="18"/>
                  <w:szCs w:val="18"/>
                  <w:color w:val="0000FF"/>
                  <w:w w:val="90"/>
                </w:rPr>
                <w:t>4.</w:t>
              </w:r>
              <w:r>
                <w:rPr>
                  <w:rFonts w:ascii="Times New Roman" w:cs="Times New Roman" w:eastAsia="Times New Roman" w:hAnsi="Times New Roman"/>
                  <w:sz w:val="18"/>
                  <w:szCs w:val="18"/>
                  <w:u w:val="single" w:color="auto"/>
                  <w:color w:val="0000FF"/>
                  <w:w w:val="90"/>
                </w:rPr>
                <w:t>3)</w:t>
              </w:r>
              <w:r>
                <w:rPr>
                  <w:rFonts w:ascii="Times New Roman" w:cs="Times New Roman" w:eastAsia="Times New Roman" w:hAnsi="Times New Roman"/>
                  <w:sz w:val="18"/>
                  <w:szCs w:val="18"/>
                  <w:color w:val="0000FF"/>
                  <w:w w:val="90"/>
                </w:rPr>
                <w:t>.</w:t>
              </w:r>
            </w:hyperlink>
          </w:p>
        </w:tc>
        <w:tc>
          <w:tcPr>
            <w:tcW w:w="8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580" w:type="dxa"/>
            <w:vAlign w:val="bottom"/>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Indenture, dated as of November 19, 2024, between Synaptics</w:t>
              </w:r>
            </w:hyperlink>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19, 2024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4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and U.S. Bank Trust Company, National</w:t>
              </w:r>
            </w:hyperlink>
          </w:p>
        </w:tc>
        <w:tc>
          <w:tcPr>
            <w:tcW w:w="120" w:type="dxa"/>
            <w:vAlign w:val="bottom"/>
            <w:gridSpan w:val="2"/>
          </w:tcPr>
          <w:p>
            <w:pPr>
              <w:spacing w:after="0"/>
              <w:rPr>
                <w:sz w:val="13"/>
                <w:szCs w:val="13"/>
                <w:color w:val="auto"/>
              </w:rPr>
            </w:pPr>
          </w:p>
        </w:tc>
        <w:tc>
          <w:tcPr>
            <w:tcW w:w="3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Association, as trustee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7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40" w:type="dxa"/>
            <w:vAlign w:val="bottom"/>
          </w:tcPr>
          <w:p>
            <w:pPr>
              <w:spacing w:after="0"/>
              <w:rPr>
                <w:sz w:val="17"/>
                <w:szCs w:val="17"/>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93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Certificate representing the 0.75% Convertible Senior</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156"/>
        </w:trPr>
        <w:tc>
          <w:tcPr>
            <w:tcW w:w="1140" w:type="dxa"/>
            <w:vAlign w:val="bottom"/>
          </w:tcPr>
          <w:p>
            <w:pPr>
              <w:spacing w:after="0"/>
              <w:rPr>
                <w:sz w:val="13"/>
                <w:szCs w:val="13"/>
                <w:color w:val="auto"/>
              </w:rPr>
            </w:pPr>
          </w:p>
        </w:tc>
        <w:tc>
          <w:tcPr>
            <w:tcW w:w="45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Notes due 2031 (included as Exhibit A to Exhibit 4.5)</w:t>
              </w:r>
            </w:hyperlink>
          </w:p>
        </w:tc>
        <w:tc>
          <w:tcPr>
            <w:tcW w:w="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10.1(a)</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Second Amended and Restated Credit Agreement, dated</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183"/>
        </w:trPr>
        <w:tc>
          <w:tcPr>
            <w:tcW w:w="1140" w:type="dxa"/>
            <w:vAlign w:val="bottom"/>
          </w:tcPr>
          <w:p>
            <w:pPr>
              <w:spacing w:after="0"/>
              <w:rPr>
                <w:sz w:val="15"/>
                <w:szCs w:val="15"/>
                <w:color w:val="auto"/>
              </w:rPr>
            </w:pPr>
          </w:p>
        </w:tc>
        <w:tc>
          <w:tcPr>
            <w:tcW w:w="40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March 11, 2021, by and among Synaptics Incorporated,</w:t>
              </w:r>
            </w:hyperlink>
          </w:p>
        </w:tc>
        <w:tc>
          <w:tcPr>
            <w:tcW w:w="500" w:type="dxa"/>
            <w:vAlign w:val="bottom"/>
            <w:gridSpan w:val="16"/>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as</w:t>
              </w:r>
            </w:hyperlink>
          </w:p>
        </w:tc>
        <w:tc>
          <w:tcPr>
            <w:tcW w:w="26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60" w:type="dxa"/>
            <w:vAlign w:val="bottom"/>
            <w:gridSpan w:val="31"/>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borrower, the lenders from time to time party thereto, Wells</w:t>
              </w:r>
            </w:hyperlink>
          </w:p>
        </w:tc>
        <w:tc>
          <w:tcPr>
            <w:tcW w:w="26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428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Fargo Bank, National Association, as administrative agent,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swingline lender and issuing lender, Wells Fargo Securities,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LLC, as joint lead arranger and joint bookrunner, MUFG</w:t>
              </w:r>
            </w:hyperlink>
          </w:p>
        </w:tc>
        <w:tc>
          <w:tcPr>
            <w:tcW w:w="380" w:type="dxa"/>
            <w:vAlign w:val="bottom"/>
            <w:gridSpan w:val="14"/>
          </w:tcPr>
          <w:p>
            <w:pPr>
              <w:spacing w:after="0"/>
              <w:rPr>
                <w:sz w:val="17"/>
                <w:szCs w:val="17"/>
                <w:color w:val="auto"/>
              </w:rPr>
            </w:pPr>
          </w:p>
        </w:tc>
        <w:tc>
          <w:tcPr>
            <w:tcW w:w="26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4560" w:type="dxa"/>
            <w:vAlign w:val="bottom"/>
            <w:gridSpan w:val="31"/>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Union Bank, N.A. and BMO Capital Markets Corp., as joint</w:t>
              </w:r>
            </w:hyperlink>
          </w:p>
        </w:tc>
        <w:tc>
          <w:tcPr>
            <w:tcW w:w="26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lead arrangers, joint bookrunners and co-syndication agents</w:t>
              </w:r>
            </w:hyperlink>
          </w:p>
        </w:tc>
        <w:tc>
          <w:tcPr>
            <w:tcW w:w="6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10.1(b)</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First Amendment and Lender Joinder Agreement, dated as of</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183"/>
        </w:trPr>
        <w:tc>
          <w:tcPr>
            <w:tcW w:w="1140" w:type="dxa"/>
            <w:vAlign w:val="bottom"/>
          </w:tcPr>
          <w:p>
            <w:pPr>
              <w:spacing w:after="0"/>
              <w:rPr>
                <w:sz w:val="15"/>
                <w:szCs w:val="15"/>
                <w:color w:val="auto"/>
              </w:rPr>
            </w:pPr>
          </w:p>
        </w:tc>
        <w:tc>
          <w:tcPr>
            <w:tcW w:w="440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December 2, 2021, by and among Synaptics Incorporated,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560" w:type="dxa"/>
            <w:vAlign w:val="bottom"/>
            <w:gridSpan w:val="31"/>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Lenders party thereto, and Wells Fargo Bank, National</w:t>
              </w:r>
            </w:hyperlink>
          </w:p>
        </w:tc>
        <w:tc>
          <w:tcPr>
            <w:tcW w:w="26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Association, as Administrative Agent</w:t>
              </w:r>
            </w:hyperlink>
          </w:p>
        </w:tc>
        <w:tc>
          <w:tcPr>
            <w:tcW w:w="1220" w:type="dxa"/>
            <w:vAlign w:val="bottom"/>
            <w:tcBorders>
              <w:top w:val="single" w:sz="8" w:color="0000FF"/>
            </w:tcBorders>
            <w:gridSpan w:val="7"/>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Second Amendment, dated as of March 16, 2023, by and</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183"/>
        </w:trPr>
        <w:tc>
          <w:tcPr>
            <w:tcW w:w="1140" w:type="dxa"/>
            <w:vAlign w:val="bottom"/>
          </w:tcPr>
          <w:p>
            <w:pPr>
              <w:spacing w:after="0"/>
              <w:rPr>
                <w:sz w:val="15"/>
                <w:szCs w:val="15"/>
                <w:color w:val="auto"/>
              </w:rPr>
            </w:pPr>
          </w:p>
        </w:tc>
        <w:tc>
          <w:tcPr>
            <w:tcW w:w="410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among Synaptics Incorporated, the Lenders party thereto,</w:t>
              </w:r>
            </w:hyperlink>
          </w:p>
        </w:tc>
        <w:tc>
          <w:tcPr>
            <w:tcW w:w="340" w:type="dxa"/>
            <w:vAlign w:val="bottom"/>
            <w:tcBorders>
              <w:bottom w:val="single" w:sz="8" w:color="0000FF"/>
            </w:tcBorders>
            <w:gridSpan w:val="11"/>
          </w:tcPr>
          <w:p>
            <w:pPr>
              <w:ind w:left="80"/>
              <w:spacing w:after="0" w:line="182" w:lineRule="exact"/>
              <w:rPr>
                <w:rFonts w:ascii="Times New Roman" w:cs="Times New Roman" w:eastAsia="Times New Roman" w:hAnsi="Times New Roman"/>
                <w:sz w:val="18"/>
                <w:szCs w:val="18"/>
                <w:color w:val="0000FF"/>
                <w:w w:val="92"/>
              </w:rPr>
            </w:pPr>
            <w:hyperlink r:id="rId190">
              <w:r>
                <w:rPr>
                  <w:rFonts w:ascii="Times New Roman" w:cs="Times New Roman" w:eastAsia="Times New Roman" w:hAnsi="Times New Roman"/>
                  <w:sz w:val="18"/>
                  <w:szCs w:val="18"/>
                  <w:color w:val="0000FF"/>
                  <w:w w:val="92"/>
                </w:rPr>
                <w:t>and</w:t>
              </w:r>
            </w:hyperlink>
          </w:p>
        </w:tc>
        <w:tc>
          <w:tcPr>
            <w:tcW w:w="120" w:type="dxa"/>
            <w:vAlign w:val="bottom"/>
            <w:gridSpan w:val="4"/>
          </w:tcPr>
          <w:p>
            <w:pPr>
              <w:spacing w:after="0"/>
              <w:rPr>
                <w:sz w:val="15"/>
                <w:szCs w:val="15"/>
                <w:color w:val="auto"/>
              </w:rPr>
            </w:pPr>
          </w:p>
        </w:tc>
        <w:tc>
          <w:tcPr>
            <w:tcW w:w="26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560" w:type="dxa"/>
            <w:vAlign w:val="bottom"/>
            <w:gridSpan w:val="31"/>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Wells Fargo Bank, National Association, as Administrative</w:t>
              </w:r>
            </w:hyperlink>
          </w:p>
        </w:tc>
        <w:tc>
          <w:tcPr>
            <w:tcW w:w="26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4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5"/>
              </w:rPr>
            </w:pPr>
            <w:hyperlink r:id="rId190">
              <w:r>
                <w:rPr>
                  <w:rFonts w:ascii="Times New Roman" w:cs="Times New Roman" w:eastAsia="Times New Roman" w:hAnsi="Times New Roman"/>
                  <w:sz w:val="18"/>
                  <w:szCs w:val="18"/>
                  <w:color w:val="0000FF"/>
                  <w:w w:val="95"/>
                </w:rPr>
                <w:t>Agent</w:t>
              </w:r>
            </w:hyperlink>
          </w:p>
        </w:tc>
        <w:tc>
          <w:tcPr>
            <w:tcW w:w="382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Third Amendment, dated as of July 28, 2023, by and among</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183"/>
        </w:trPr>
        <w:tc>
          <w:tcPr>
            <w:tcW w:w="1140" w:type="dxa"/>
            <w:vAlign w:val="bottom"/>
          </w:tcPr>
          <w:p>
            <w:pPr>
              <w:spacing w:after="0"/>
              <w:rPr>
                <w:sz w:val="15"/>
                <w:szCs w:val="15"/>
                <w:color w:val="auto"/>
              </w:rPr>
            </w:pPr>
          </w:p>
        </w:tc>
        <w:tc>
          <w:tcPr>
            <w:tcW w:w="432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Synaptics Incorporated, the Revolving Credit Lenders party</w:t>
              </w:r>
            </w:hyperlink>
          </w:p>
        </w:tc>
        <w:tc>
          <w:tcPr>
            <w:tcW w:w="20" w:type="dxa"/>
            <w:vAlign w:val="bottom"/>
            <w:tcBorders>
              <w:top w:val="single" w:sz="8" w:color="0000FF"/>
            </w:tcBorders>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560" w:type="dxa"/>
            <w:vAlign w:val="bottom"/>
            <w:gridSpan w:val="31"/>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thereto, and Wells Fargo Bank, National Association, as</w:t>
              </w:r>
            </w:hyperlink>
          </w:p>
        </w:tc>
        <w:tc>
          <w:tcPr>
            <w:tcW w:w="26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Administrative Agent</w:t>
              </w:r>
            </w:hyperlink>
          </w:p>
        </w:tc>
        <w:tc>
          <w:tcPr>
            <w:tcW w:w="2460" w:type="dxa"/>
            <w:vAlign w:val="bottom"/>
            <w:tcBorders>
              <w:top w:val="single" w:sz="8" w:color="0000FF"/>
            </w:tcBorders>
            <w:gridSpan w:val="11"/>
          </w:tcPr>
          <w:p>
            <w:pPr>
              <w:spacing w:after="0"/>
              <w:rPr>
                <w:sz w:val="15"/>
                <w:szCs w:val="15"/>
                <w:color w:val="auto"/>
              </w:rPr>
            </w:pPr>
          </w:p>
        </w:tc>
        <w:tc>
          <w:tcPr>
            <w:tcW w:w="280" w:type="dxa"/>
            <w:vAlign w:val="bottom"/>
            <w:gridSpan w:val="7"/>
          </w:tcPr>
          <w:p>
            <w:pPr>
              <w:spacing w:after="0"/>
              <w:rPr>
                <w:sz w:val="15"/>
                <w:szCs w:val="15"/>
                <w:color w:val="auto"/>
              </w:rPr>
            </w:pPr>
          </w:p>
        </w:tc>
        <w:tc>
          <w:tcPr>
            <w:tcW w:w="12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10.1(e)</w:t>
            </w:r>
          </w:p>
        </w:tc>
        <w:tc>
          <w:tcPr>
            <w:tcW w:w="7200" w:type="dxa"/>
            <w:vAlign w:val="bottom"/>
            <w:gridSpan w:val="3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Fourth Amendment and Lender Joinder Agreement, dated as of </w:t>
              </w:r>
            </w:hyperlink>
            <w:r>
              <w:rPr>
                <w:rFonts w:ascii="Times New Roman" w:cs="Times New Roman" w:eastAsia="Times New Roman" w:hAnsi="Times New Roman"/>
                <w:sz w:val="18"/>
                <w:szCs w:val="18"/>
                <w:color w:val="000000"/>
              </w:rPr>
              <w:t>Current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 on Form 8-K</w:t>
            </w:r>
          </w:p>
        </w:tc>
      </w:tr>
      <w:tr>
        <w:trPr>
          <w:trHeight w:val="155"/>
        </w:trPr>
        <w:tc>
          <w:tcPr>
            <w:tcW w:w="1140" w:type="dxa"/>
            <w:vAlign w:val="bottom"/>
          </w:tcPr>
          <w:p>
            <w:pPr>
              <w:spacing w:after="0"/>
              <w:rPr>
                <w:sz w:val="13"/>
                <w:szCs w:val="13"/>
                <w:color w:val="auto"/>
              </w:rPr>
            </w:pPr>
          </w:p>
        </w:tc>
        <w:tc>
          <w:tcPr>
            <w:tcW w:w="45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November 21, 2024, by and among Synaptics Incorporated,</w:t>
              </w:r>
            </w:hyperlink>
          </w:p>
        </w:tc>
        <w:tc>
          <w:tcPr>
            <w:tcW w:w="264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43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Wells Fargo Bank, National Association, as Administrative</w:t>
              </w:r>
            </w:hyperlink>
          </w:p>
        </w:tc>
        <w:tc>
          <w:tcPr>
            <w:tcW w:w="12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64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Agent, and the revolving credit lenders party thereto</w:t>
              </w:r>
            </w:hyperlink>
          </w:p>
        </w:tc>
        <w:tc>
          <w:tcPr>
            <w:tcW w:w="1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10.2(a)*</w:t>
            </w:r>
          </w:p>
        </w:tc>
        <w:tc>
          <w:tcPr>
            <w:tcW w:w="3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Synaptics Incorporated 2019 Inducement Equity Plan</w:t>
              </w:r>
            </w:hyperlink>
          </w:p>
        </w:tc>
        <w:tc>
          <w:tcPr>
            <w:tcW w:w="680" w:type="dxa"/>
            <w:vAlign w:val="bottom"/>
            <w:gridSpan w:val="19"/>
          </w:tcPr>
          <w:p>
            <w:pPr>
              <w:spacing w:after="0"/>
              <w:rPr>
                <w:sz w:val="24"/>
                <w:szCs w:val="24"/>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10.2(b)*</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Restricted Stock Unit Inducement Award Agreement</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183"/>
        </w:trPr>
        <w:tc>
          <w:tcPr>
            <w:tcW w:w="1140" w:type="dxa"/>
            <w:vAlign w:val="bottom"/>
          </w:tcPr>
          <w:p>
            <w:pPr>
              <w:spacing w:after="0"/>
              <w:rPr>
                <w:sz w:val="15"/>
                <w:szCs w:val="15"/>
                <w:color w:val="auto"/>
              </w:rPr>
            </w:pPr>
          </w:p>
        </w:tc>
        <w:tc>
          <w:tcPr>
            <w:tcW w:w="24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for 2019 Inducement Equity Plan</w:t>
              </w:r>
            </w:hyperlink>
          </w:p>
        </w:tc>
        <w:tc>
          <w:tcPr>
            <w:tcW w:w="2020" w:type="dxa"/>
            <w:vAlign w:val="bottom"/>
            <w:tcBorders>
              <w:top w:val="single" w:sz="8" w:color="0000FF"/>
            </w:tcBorders>
            <w:gridSpan w:val="21"/>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10.2(c)*</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Market Stock Unit Inducement Award Agreement for</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183"/>
        </w:trPr>
        <w:tc>
          <w:tcPr>
            <w:tcW w:w="114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2019 Inducement Equity Plan</w:t>
              </w:r>
            </w:hyperlink>
          </w:p>
        </w:tc>
        <w:tc>
          <w:tcPr>
            <w:tcW w:w="2340" w:type="dxa"/>
            <w:vAlign w:val="bottom"/>
            <w:tcBorders>
              <w:top w:val="single" w:sz="8" w:color="0000FF"/>
            </w:tcBorders>
            <w:gridSpan w:val="25"/>
          </w:tcPr>
          <w:p>
            <w:pPr>
              <w:spacing w:after="0"/>
              <w:rPr>
                <w:sz w:val="15"/>
                <w:szCs w:val="15"/>
                <w:color w:val="auto"/>
              </w:rPr>
            </w:pPr>
          </w:p>
        </w:tc>
        <w:tc>
          <w:tcPr>
            <w:tcW w:w="8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10.2(d)*</w:t>
            </w:r>
          </w:p>
        </w:tc>
        <w:tc>
          <w:tcPr>
            <w:tcW w:w="4560" w:type="dxa"/>
            <w:vAlign w:val="bottom"/>
            <w:gridSpan w:val="31"/>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Performance Stock Unit Inducement Award</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183"/>
        </w:trPr>
        <w:tc>
          <w:tcPr>
            <w:tcW w:w="114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Agreement for 2019 Inducement Equity Plan</w:t>
              </w:r>
            </w:hyperlink>
          </w:p>
        </w:tc>
        <w:tc>
          <w:tcPr>
            <w:tcW w:w="540" w:type="dxa"/>
            <w:vAlign w:val="bottom"/>
            <w:tcBorders>
              <w:top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0"/>
          </w:tcPr>
          <w:p>
            <w:pPr>
              <w:spacing w:after="0"/>
              <w:rPr>
                <w:sz w:val="15"/>
                <w:szCs w:val="15"/>
                <w:color w:val="auto"/>
              </w:rPr>
            </w:pPr>
          </w:p>
        </w:tc>
        <w:tc>
          <w:tcPr>
            <w:tcW w:w="2640" w:type="dxa"/>
            <w:vAlign w:val="bottom"/>
          </w:tcPr>
          <w:p>
            <w:pPr>
              <w:spacing w:after="0"/>
              <w:rPr>
                <w:sz w:val="15"/>
                <w:szCs w:val="15"/>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10.2(e)*</w:t>
            </w:r>
          </w:p>
        </w:tc>
        <w:tc>
          <w:tcPr>
            <w:tcW w:w="4560" w:type="dxa"/>
            <w:vAlign w:val="bottom"/>
            <w:gridSpan w:val="31"/>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Synaptics </w:t>
            </w:r>
            <w:hyperlink r:id="rId197">
              <w:r>
                <w:rPr>
                  <w:rFonts w:ascii="Times New Roman" w:cs="Times New Roman" w:eastAsia="Times New Roman" w:hAnsi="Times New Roman"/>
                  <w:sz w:val="18"/>
                  <w:szCs w:val="18"/>
                  <w:color w:val="0000FF"/>
                </w:rPr>
                <w:t xml:space="preserve">Incorporated 2025 </w:t>
              </w:r>
            </w:hyperlink>
            <w:r>
              <w:rPr>
                <w:rFonts w:ascii="Times New Roman" w:cs="Times New Roman" w:eastAsia="Times New Roman" w:hAnsi="Times New Roman"/>
                <w:sz w:val="18"/>
                <w:szCs w:val="18"/>
                <w:color w:val="0000FF"/>
              </w:rPr>
              <w:t xml:space="preserve">Inducement </w:t>
            </w:r>
            <w:hyperlink r:id="rId197">
              <w:r>
                <w:rPr>
                  <w:rFonts w:ascii="Times New Roman" w:cs="Times New Roman" w:eastAsia="Times New Roman" w:hAnsi="Times New Roman"/>
                  <w:sz w:val="18"/>
                  <w:szCs w:val="18"/>
                  <w:color w:val="0000FF"/>
                </w:rPr>
                <w:t>Equity Plan</w:t>
              </w:r>
            </w:hyperlink>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10.3(a)*</w:t>
            </w:r>
          </w:p>
        </w:tc>
        <w:tc>
          <w:tcPr>
            <w:tcW w:w="384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2019 Equity and Incentive Compensation Plan</w:t>
              </w:r>
            </w:hyperlink>
          </w:p>
        </w:tc>
        <w:tc>
          <w:tcPr>
            <w:tcW w:w="720" w:type="dxa"/>
            <w:vAlign w:val="bottom"/>
            <w:gridSpan w:val="20"/>
          </w:tcPr>
          <w:p>
            <w:pPr>
              <w:spacing w:after="0"/>
              <w:rPr>
                <w:sz w:val="24"/>
                <w:szCs w:val="24"/>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501" w:lineRule="auto"/>
        <w:rPr>
          <w:sz w:val="20"/>
          <w:szCs w:val="20"/>
          <w:color w:val="auto"/>
        </w:rPr>
      </w:pPr>
      <w:r>
        <w:rPr>
          <w:rFonts w:ascii="Times New Roman" w:cs="Times New Roman" w:eastAsia="Times New Roman" w:hAnsi="Times New Roman"/>
          <w:sz w:val="18"/>
          <w:szCs w:val="18"/>
          <w:color w:val="auto"/>
        </w:rPr>
        <w:t>August 16, 2019 August 16,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2019</w:t>
      </w:r>
    </w:p>
    <w:p>
      <w:pPr>
        <w:spacing w:after="0" w:line="200" w:lineRule="exact"/>
        <w:rPr>
          <w:sz w:val="20"/>
          <w:szCs w:val="20"/>
          <w:color w:val="auto"/>
        </w:rPr>
      </w:pPr>
    </w:p>
    <w:p>
      <w:pPr>
        <w:spacing w:after="0" w:line="214" w:lineRule="exact"/>
        <w:rPr>
          <w:sz w:val="20"/>
          <w:szCs w:val="20"/>
          <w:color w:val="auto"/>
        </w:rPr>
      </w:pPr>
    </w:p>
    <w:p>
      <w:pPr>
        <w:ind w:right="100"/>
        <w:spacing w:after="0" w:line="544" w:lineRule="auto"/>
        <w:rPr>
          <w:sz w:val="20"/>
          <w:szCs w:val="20"/>
          <w:color w:val="auto"/>
        </w:rPr>
      </w:pPr>
      <w:r>
        <w:rPr>
          <w:rFonts w:ascii="Times New Roman" w:cs="Times New Roman" w:eastAsia="Times New Roman" w:hAnsi="Times New Roman"/>
          <w:sz w:val="17"/>
          <w:szCs w:val="17"/>
          <w:color w:val="auto"/>
        </w:rPr>
        <w:t>January 30, 2025 November 1, 2019</w:t>
      </w:r>
    </w:p>
    <w:p>
      <w:pPr>
        <w:sectPr>
          <w:pgSz w:w="11900" w:h="16838" w:orient="portrait"/>
          <w:cols w:equalWidth="0" w:num="2">
            <w:col w:w="8380" w:space="720"/>
            <w:col w:w="1440"/>
          </w:cols>
          <w:pgMar w:left="320" w:top="108" w:right="10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10.3(b)*</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2019 Equity and Incentive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29, 2020</w:t>
            </w:r>
          </w:p>
        </w:tc>
      </w:tr>
      <w:tr>
        <w:trPr>
          <w:trHeight w:val="183"/>
        </w:trPr>
        <w:tc>
          <w:tcPr>
            <w:tcW w:w="11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Compensation Plan</w:t>
              </w:r>
            </w:hyperlink>
          </w:p>
        </w:tc>
        <w:tc>
          <w:tcPr>
            <w:tcW w:w="2220" w:type="dxa"/>
            <w:vAlign w:val="bottom"/>
            <w:tcBorders>
              <w:top w:val="single" w:sz="8" w:color="0000FF"/>
            </w:tcBorders>
            <w:gridSpan w:val="8"/>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10.3(c)*</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2019 Equity and Incentive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28, 2021</w:t>
            </w:r>
          </w:p>
        </w:tc>
      </w:tr>
      <w:tr>
        <w:trPr>
          <w:trHeight w:val="183"/>
        </w:trPr>
        <w:tc>
          <w:tcPr>
            <w:tcW w:w="11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Compensation Plan</w:t>
              </w:r>
            </w:hyperlink>
          </w:p>
        </w:tc>
        <w:tc>
          <w:tcPr>
            <w:tcW w:w="2220" w:type="dxa"/>
            <w:vAlign w:val="bottom"/>
            <w:tcBorders>
              <w:top w:val="single" w:sz="8" w:color="0000FF"/>
            </w:tcBorders>
            <w:gridSpan w:val="8"/>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10.3(d)*</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Amended and Restated 2019 Equity and Incentive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27, 2022</w:t>
            </w:r>
          </w:p>
        </w:tc>
      </w:tr>
      <w:tr>
        <w:trPr>
          <w:trHeight w:val="183"/>
        </w:trPr>
        <w:tc>
          <w:tcPr>
            <w:tcW w:w="11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Compensation Plan</w:t>
              </w:r>
            </w:hyperlink>
          </w:p>
        </w:tc>
        <w:tc>
          <w:tcPr>
            <w:tcW w:w="2200" w:type="dxa"/>
            <w:vAlign w:val="bottom"/>
            <w:tcBorders>
              <w:top w:val="single" w:sz="8" w:color="0000FF"/>
            </w:tcBorders>
            <w:gridSpan w:val="7"/>
          </w:tcPr>
          <w:p>
            <w:pPr>
              <w:spacing w:after="0"/>
              <w:rPr>
                <w:sz w:val="15"/>
                <w:szCs w:val="15"/>
                <w:color w:val="auto"/>
              </w:rPr>
            </w:pPr>
          </w:p>
        </w:tc>
        <w:tc>
          <w:tcPr>
            <w:tcW w:w="6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9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10.3(e)*</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and Restated 2019 Equity and Incentive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26, 2023</w:t>
            </w:r>
          </w:p>
        </w:tc>
      </w:tr>
      <w:tr>
        <w:trPr>
          <w:trHeight w:val="183"/>
        </w:trPr>
        <w:tc>
          <w:tcPr>
            <w:tcW w:w="11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Compensation Plan</w:t>
              </w:r>
            </w:hyperlink>
          </w:p>
        </w:tc>
        <w:tc>
          <w:tcPr>
            <w:tcW w:w="2180" w:type="dxa"/>
            <w:vAlign w:val="bottom"/>
            <w:tcBorders>
              <w:top w:val="single" w:sz="8" w:color="0000FF"/>
            </w:tcBorders>
            <w:gridSpan w:val="6"/>
          </w:tcPr>
          <w:p>
            <w:pPr>
              <w:spacing w:after="0"/>
              <w:rPr>
                <w:sz w:val="15"/>
                <w:szCs w:val="15"/>
                <w:color w:val="auto"/>
              </w:rPr>
            </w:pPr>
          </w:p>
        </w:tc>
        <w:tc>
          <w:tcPr>
            <w:tcW w:w="6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10.3(f)*</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2019 Equity and Incentive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155"/>
        </w:trPr>
        <w:tc>
          <w:tcPr>
            <w:tcW w:w="114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Compensation Plan</w:t>
              </w:r>
            </w:hyperlink>
          </w:p>
        </w:tc>
        <w:tc>
          <w:tcPr>
            <w:tcW w:w="2240" w:type="dxa"/>
            <w:vAlign w:val="bottom"/>
            <w:tcBorders>
              <w:top w:val="single" w:sz="8" w:color="0000FF"/>
            </w:tcBorders>
            <w:gridSpan w:val="9"/>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10.3(g)*</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Restricted Stock Unit Award Agreement under the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S-8</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1, 2019</w:t>
            </w:r>
          </w:p>
        </w:tc>
      </w:tr>
      <w:tr>
        <w:trPr>
          <w:trHeight w:val="183"/>
        </w:trPr>
        <w:tc>
          <w:tcPr>
            <w:tcW w:w="114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2019 Equity and Incentive Compensation Plan (for awards</w:t>
              </w:r>
            </w:hyperlink>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1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05">
              <w:r>
                <w:rPr>
                  <w:rFonts w:ascii="Times New Roman" w:cs="Times New Roman" w:eastAsia="Times New Roman" w:hAnsi="Times New Roman"/>
                  <w:sz w:val="18"/>
                  <w:szCs w:val="18"/>
                  <w:color w:val="0000FF"/>
                  <w:w w:val="98"/>
                </w:rPr>
                <w:t>granted before July 27, 2021)</w:t>
              </w:r>
            </w:hyperlink>
          </w:p>
        </w:tc>
        <w:tc>
          <w:tcPr>
            <w:tcW w:w="2460" w:type="dxa"/>
            <w:vAlign w:val="bottom"/>
            <w:gridSpan w:val="12"/>
          </w:tcPr>
          <w:p>
            <w:pPr>
              <w:spacing w:after="0"/>
              <w:rPr>
                <w:sz w:val="17"/>
                <w:szCs w:val="17"/>
                <w:color w:val="auto"/>
              </w:rPr>
            </w:pPr>
          </w:p>
        </w:tc>
        <w:tc>
          <w:tcPr>
            <w:tcW w:w="30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10.3(h)*</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Performance Stock Unit Award Agreement under the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S-8</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1, 2019</w:t>
            </w:r>
          </w:p>
        </w:tc>
      </w:tr>
      <w:tr>
        <w:trPr>
          <w:trHeight w:val="183"/>
        </w:trPr>
        <w:tc>
          <w:tcPr>
            <w:tcW w:w="114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2019 Equity and Incentive Compensation Plan (for awards</w:t>
              </w:r>
            </w:hyperlink>
          </w:p>
        </w:tc>
        <w:tc>
          <w:tcPr>
            <w:tcW w:w="2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1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06">
              <w:r>
                <w:rPr>
                  <w:rFonts w:ascii="Times New Roman" w:cs="Times New Roman" w:eastAsia="Times New Roman" w:hAnsi="Times New Roman"/>
                  <w:sz w:val="18"/>
                  <w:szCs w:val="18"/>
                  <w:color w:val="0000FF"/>
                  <w:w w:val="98"/>
                </w:rPr>
                <w:t>granted before July 27, 2021)</w:t>
              </w:r>
            </w:hyperlink>
          </w:p>
        </w:tc>
        <w:tc>
          <w:tcPr>
            <w:tcW w:w="2460" w:type="dxa"/>
            <w:vAlign w:val="bottom"/>
            <w:gridSpan w:val="12"/>
          </w:tcPr>
          <w:p>
            <w:pPr>
              <w:spacing w:after="0"/>
              <w:rPr>
                <w:sz w:val="17"/>
                <w:szCs w:val="17"/>
                <w:color w:val="auto"/>
              </w:rPr>
            </w:pPr>
          </w:p>
        </w:tc>
        <w:tc>
          <w:tcPr>
            <w:tcW w:w="30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10.3(i)*</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Restricted Stock Unit Award Agreement under the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2021</w:t>
            </w:r>
          </w:p>
        </w:tc>
      </w:tr>
      <w:tr>
        <w:trPr>
          <w:trHeight w:val="183"/>
        </w:trPr>
        <w:tc>
          <w:tcPr>
            <w:tcW w:w="114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2019 Equity and Incentive Compensation Plan (for awards</w:t>
              </w:r>
            </w:hyperlink>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0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granted after July 27, 2021)</w:t>
              </w:r>
            </w:hyperlink>
          </w:p>
        </w:tc>
        <w:tc>
          <w:tcPr>
            <w:tcW w:w="2580" w:type="dxa"/>
            <w:vAlign w:val="bottom"/>
            <w:gridSpan w:val="13"/>
          </w:tcPr>
          <w:p>
            <w:pPr>
              <w:spacing w:after="0"/>
              <w:rPr>
                <w:sz w:val="17"/>
                <w:szCs w:val="17"/>
                <w:color w:val="auto"/>
              </w:rPr>
            </w:pPr>
          </w:p>
        </w:tc>
        <w:tc>
          <w:tcPr>
            <w:tcW w:w="30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10.3(j)*</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Performance Stock Unit Award Agreement under the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2021</w:t>
            </w:r>
          </w:p>
        </w:tc>
      </w:tr>
      <w:tr>
        <w:trPr>
          <w:trHeight w:val="183"/>
        </w:trPr>
        <w:tc>
          <w:tcPr>
            <w:tcW w:w="114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2019 Equity and Incentive Compensation Plan (for awards</w:t>
              </w:r>
            </w:hyperlink>
          </w:p>
        </w:tc>
        <w:tc>
          <w:tcPr>
            <w:tcW w:w="2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580" w:type="dxa"/>
            <w:vAlign w:val="bottom"/>
            <w:gridSpan w:val="17"/>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granted after July 27, 2021)</w:t>
              </w:r>
            </w:hyperlink>
          </w:p>
        </w:tc>
        <w:tc>
          <w:tcPr>
            <w:tcW w:w="30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10.3(k)*</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Market Stock Unit Award Agreement under the 2019</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183"/>
        </w:trPr>
        <w:tc>
          <w:tcPr>
            <w:tcW w:w="1140" w:type="dxa"/>
            <w:vAlign w:val="bottom"/>
          </w:tcPr>
          <w:p>
            <w:pPr>
              <w:spacing w:after="0"/>
              <w:rPr>
                <w:sz w:val="15"/>
                <w:szCs w:val="15"/>
                <w:color w:val="auto"/>
              </w:rPr>
            </w:pPr>
          </w:p>
        </w:tc>
        <w:tc>
          <w:tcPr>
            <w:tcW w:w="44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Equity and Incentive Compensation Plan</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9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10.3(l)*</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Performance Stock Unit Award Agreement under the</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183"/>
        </w:trPr>
        <w:tc>
          <w:tcPr>
            <w:tcW w:w="1140" w:type="dxa"/>
            <w:vAlign w:val="bottom"/>
          </w:tcPr>
          <w:p>
            <w:pPr>
              <w:spacing w:after="0"/>
              <w:rPr>
                <w:sz w:val="15"/>
                <w:szCs w:val="15"/>
                <w:color w:val="auto"/>
              </w:rPr>
            </w:pPr>
          </w:p>
        </w:tc>
        <w:tc>
          <w:tcPr>
            <w:tcW w:w="444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2019 Equity and Incentive Compensation Plan</w:t>
              </w:r>
            </w:hyperlink>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gridSpan w:val="7"/>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10.3(m)*</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Market Stock Unit Award Agreement under the 2019</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22, 2022</w:t>
            </w:r>
          </w:p>
        </w:tc>
      </w:tr>
      <w:tr>
        <w:trPr>
          <w:trHeight w:val="183"/>
        </w:trPr>
        <w:tc>
          <w:tcPr>
            <w:tcW w:w="1140" w:type="dxa"/>
            <w:vAlign w:val="bottom"/>
          </w:tcPr>
          <w:p>
            <w:pPr>
              <w:spacing w:after="0"/>
              <w:rPr>
                <w:sz w:val="15"/>
                <w:szCs w:val="15"/>
                <w:color w:val="auto"/>
              </w:rPr>
            </w:pPr>
          </w:p>
        </w:tc>
        <w:tc>
          <w:tcPr>
            <w:tcW w:w="44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Equity and Incentive Compensation Plan</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9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10.3(n)*</w:t>
            </w:r>
          </w:p>
        </w:tc>
        <w:tc>
          <w:tcPr>
            <w:tcW w:w="4580" w:type="dxa"/>
            <w:vAlign w:val="bottom"/>
            <w:gridSpan w:val="17"/>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Market Stock Unit Award Agreement under the 2019</w:t>
              </w:r>
            </w:hyperlink>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2024</w:t>
            </w:r>
          </w:p>
        </w:tc>
      </w:tr>
      <w:tr>
        <w:trPr>
          <w:trHeight w:val="183"/>
        </w:trPr>
        <w:tc>
          <w:tcPr>
            <w:tcW w:w="1140" w:type="dxa"/>
            <w:vAlign w:val="bottom"/>
          </w:tcPr>
          <w:p>
            <w:pPr>
              <w:spacing w:after="0"/>
              <w:rPr>
                <w:sz w:val="15"/>
                <w:szCs w:val="15"/>
                <w:color w:val="auto"/>
              </w:rPr>
            </w:pPr>
          </w:p>
        </w:tc>
        <w:tc>
          <w:tcPr>
            <w:tcW w:w="44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Equity and Incentive Compensation Plan</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10.3(o)*</w:t>
            </w:r>
          </w:p>
        </w:tc>
        <w:tc>
          <w:tcPr>
            <w:tcW w:w="4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Form of Retention Restricted Stock Unit Award Agreement</w:t>
              </w:r>
            </w:hyperlink>
          </w:p>
        </w:tc>
        <w:tc>
          <w:tcPr>
            <w:tcW w:w="300" w:type="dxa"/>
            <w:vAlign w:val="bottom"/>
            <w:gridSpan w:val="4"/>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18, 2025</w:t>
            </w:r>
          </w:p>
        </w:tc>
      </w:tr>
      <w:tr>
        <w:trPr>
          <w:trHeight w:val="155"/>
        </w:trPr>
        <w:tc>
          <w:tcPr>
            <w:tcW w:w="1140" w:type="dxa"/>
            <w:vAlign w:val="bottom"/>
          </w:tcPr>
          <w:p>
            <w:pPr>
              <w:spacing w:after="0"/>
              <w:rPr>
                <w:sz w:val="13"/>
                <w:szCs w:val="13"/>
                <w:color w:val="auto"/>
              </w:rPr>
            </w:pPr>
          </w:p>
        </w:tc>
        <w:tc>
          <w:tcPr>
            <w:tcW w:w="4580" w:type="dxa"/>
            <w:vAlign w:val="bottom"/>
            <w:gridSpan w:val="17"/>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under the Synaptics Incorporated Amended and Restated 2019</w:t>
              </w:r>
            </w:hyperlink>
          </w:p>
        </w:tc>
        <w:tc>
          <w:tcPr>
            <w:tcW w:w="300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45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Equity and Incentive Compensation Plan</w:t>
              </w:r>
            </w:hyperlink>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10.3(p)*</w:t>
            </w:r>
          </w:p>
        </w:tc>
        <w:tc>
          <w:tcPr>
            <w:tcW w:w="4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Form of Retention Restricted Stock Unit Award Agreement</w:t>
              </w:r>
            </w:hyperlink>
          </w:p>
        </w:tc>
        <w:tc>
          <w:tcPr>
            <w:tcW w:w="300" w:type="dxa"/>
            <w:vAlign w:val="bottom"/>
            <w:gridSpan w:val="4"/>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23, 2025</w:t>
            </w:r>
          </w:p>
        </w:tc>
      </w:tr>
      <w:tr>
        <w:trPr>
          <w:trHeight w:val="183"/>
        </w:trPr>
        <w:tc>
          <w:tcPr>
            <w:tcW w:w="1140" w:type="dxa"/>
            <w:vAlign w:val="bottom"/>
          </w:tcPr>
          <w:p>
            <w:pPr>
              <w:spacing w:after="0"/>
              <w:rPr>
                <w:sz w:val="15"/>
                <w:szCs w:val="15"/>
                <w:color w:val="auto"/>
              </w:rPr>
            </w:pPr>
          </w:p>
        </w:tc>
        <w:tc>
          <w:tcPr>
            <w:tcW w:w="4500" w:type="dxa"/>
            <w:vAlign w:val="bottom"/>
            <w:tcBorders>
              <w:bottom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under the Synaptics Incorporated Amended and Restated 2019</w:t>
              </w:r>
            </w:hyperlink>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580" w:type="dxa"/>
            <w:vAlign w:val="bottom"/>
            <w:gridSpan w:val="17"/>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Equity and Incentive Compensation Plan</w:t>
              </w:r>
            </w:hyperlink>
          </w:p>
        </w:tc>
        <w:tc>
          <w:tcPr>
            <w:tcW w:w="30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938"/>
        </w:trPr>
        <w:tc>
          <w:tcPr>
            <w:tcW w:w="1140" w:type="dxa"/>
            <w:vAlign w:val="bottom"/>
          </w:tcPr>
          <w:p>
            <w:pPr>
              <w:spacing w:after="0"/>
              <w:rPr>
                <w:sz w:val="24"/>
                <w:szCs w:val="24"/>
                <w:color w:val="auto"/>
              </w:rPr>
            </w:pPr>
          </w:p>
        </w:tc>
        <w:tc>
          <w:tcPr>
            <w:tcW w:w="2940" w:type="dxa"/>
            <w:vAlign w:val="bottom"/>
            <w:tcBorders>
              <w:top w:val="single" w:sz="8" w:color="0000FF"/>
            </w:tcBorders>
            <w:gridSpan w:val="6"/>
          </w:tcPr>
          <w:p>
            <w:pPr>
              <w:spacing w:after="0"/>
              <w:rPr>
                <w:sz w:val="24"/>
                <w:szCs w:val="24"/>
                <w:color w:val="auto"/>
              </w:rPr>
            </w:pPr>
          </w:p>
        </w:tc>
        <w:tc>
          <w:tcPr>
            <w:tcW w:w="16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2019 Employee Stock Purchase Plan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Statement on Form S-8</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1, 2019</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April 18, 2025</w:t>
            </w:r>
          </w:p>
        </w:tc>
        <w:tc>
          <w:tcPr>
            <w:tcW w:w="0" w:type="dxa"/>
            <w:vAlign w:val="bottom"/>
          </w:tcPr>
          <w:p>
            <w:pPr>
              <w:spacing w:after="0" w:line="20" w:lineRule="exact"/>
              <w:rPr>
                <w:sz w:val="1"/>
                <w:szCs w:val="1"/>
                <w:color w:val="auto"/>
              </w:rPr>
            </w:pPr>
          </w:p>
        </w:tc>
      </w:tr>
      <w:tr>
        <w:trPr>
          <w:trHeight w:val="399"/>
        </w:trPr>
        <w:tc>
          <w:tcPr>
            <w:tcW w:w="1120" w:type="dxa"/>
            <w:vAlign w:val="bottom"/>
            <w:vMerge w:val="continue"/>
          </w:tcPr>
          <w:p>
            <w:pPr>
              <w:spacing w:after="0"/>
              <w:rPr>
                <w:sz w:val="24"/>
                <w:szCs w:val="24"/>
                <w:color w:val="auto"/>
              </w:rPr>
            </w:pPr>
          </w:p>
        </w:tc>
        <w:tc>
          <w:tcPr>
            <w:tcW w:w="4540" w:type="dxa"/>
            <w:vAlign w:val="bottom"/>
            <w:gridSpan w:val="27"/>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Change in Control and Severance Agreement</w:t>
              </w:r>
            </w:hyperlink>
          </w:p>
        </w:tc>
        <w:tc>
          <w:tcPr>
            <w:tcW w:w="3040" w:type="dxa"/>
            <w:vAlign w:val="bottom"/>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Director and Officer Indemnification Agreement</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17, 2016</w:t>
            </w: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46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Form of Indemnification Agreement (Directors)</w:t>
              </w:r>
            </w:hyperlink>
          </w:p>
        </w:tc>
        <w:tc>
          <w:tcPr>
            <w:tcW w:w="660" w:type="dxa"/>
            <w:vAlign w:val="bottom"/>
            <w:tcBorders>
              <w:top w:val="single" w:sz="8" w:color="0000FF"/>
            </w:tcBorders>
            <w:gridSpan w:val="3"/>
          </w:tcPr>
          <w:p>
            <w:pPr>
              <w:spacing w:after="0"/>
              <w:rPr>
                <w:sz w:val="24"/>
                <w:szCs w:val="24"/>
                <w:color w:val="auto"/>
              </w:rPr>
            </w:pPr>
          </w:p>
        </w:tc>
        <w:tc>
          <w:tcPr>
            <w:tcW w:w="420" w:type="dxa"/>
            <w:vAlign w:val="bottom"/>
            <w:gridSpan w:val="11"/>
          </w:tcPr>
          <w:p>
            <w:pPr>
              <w:spacing w:after="0"/>
              <w:rPr>
                <w:sz w:val="24"/>
                <w:szCs w:val="24"/>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18, 2025</w:t>
            </w: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Indemnification Agreement (Officers)</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18, 2025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Employment Offer Letter, dated August 1, 2019 between the</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17, 2019</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3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registrant and Michael Hurlston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Employment Offer Letter, dated May 10, 2024, between the</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2024</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223">
              <w:r>
                <w:rPr>
                  <w:rFonts w:ascii="Times New Roman" w:cs="Times New Roman" w:eastAsia="Times New Roman" w:hAnsi="Times New Roman"/>
                  <w:sz w:val="18"/>
                  <w:szCs w:val="18"/>
                  <w:color w:val="0000FF"/>
                  <w:w w:val="98"/>
                </w:rPr>
                <w:t>registrant and Ken Rizvi</w:t>
              </w:r>
            </w:hyperlink>
          </w:p>
        </w:tc>
        <w:tc>
          <w:tcPr>
            <w:tcW w:w="254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Employment Offer Letter, dated November 22, 2023 between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the registrant and Lisa Bodensteiner</w:t>
              </w:r>
            </w:hyperlink>
          </w:p>
        </w:tc>
        <w:tc>
          <w:tcPr>
            <w:tcW w:w="18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Employment Offer Letter, dated December 16, 2022, between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the registrant and Vikram Gupta</w:t>
              </w:r>
            </w:hyperlink>
          </w:p>
        </w:tc>
        <w:tc>
          <w:tcPr>
            <w:tcW w:w="21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Employment offer letter dated October 24, 2019, between the</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2024</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42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registrant and Satish Ganesan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Letter Agreement between Synaptics Incorporated and Ken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14, 2025</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Rizvi, dated March 10, 2025</w:t>
              </w:r>
            </w:hyperlink>
          </w:p>
        </w:tc>
        <w:tc>
          <w:tcPr>
            <w:tcW w:w="2140" w:type="dxa"/>
            <w:vAlign w:val="bottom"/>
            <w:tcBorders>
              <w:top w:val="single" w:sz="8" w:color="0000FF"/>
            </w:tcBorders>
            <w:gridSpan w:val="10"/>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Letter Agreement between Synaptics Incorporated and Nelson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14, 2025</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52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Chan, dated March 10, 2025</w:t>
              </w:r>
            </w:hyperlink>
          </w:p>
        </w:tc>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Offer Letter, dated May 19, 2025 by and between Rahul Patel</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21, 2025</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4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and Synaptics Incorporated</w:t>
              </w:r>
            </w:hyperlink>
          </w:p>
        </w:tc>
        <w:tc>
          <w:tcPr>
            <w:tcW w:w="60" w:type="dxa"/>
            <w:vAlign w:val="bottom"/>
            <w:gridSpan w:val="3"/>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Change in Control and Severance Agreement by and between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21, 2025</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44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Rahul Patel and Synaptics Incorporated</w:t>
              </w:r>
            </w:hyperlink>
          </w:p>
        </w:tc>
        <w:tc>
          <w:tcPr>
            <w:tcW w:w="100" w:type="dxa"/>
            <w:vAlign w:val="bottom"/>
            <w:gridSpan w:val="5"/>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540" w:type="dxa"/>
            <w:vAlign w:val="bottom"/>
            <w:gridSpan w:val="27"/>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Confirmation of Base Capped Call Transaction</w:t>
              </w:r>
            </w:hyperlink>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0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Confirmation for the Additional Capped Call</w:t>
              </w:r>
            </w:hyperlink>
          </w:p>
        </w:tc>
        <w:tc>
          <w:tcPr>
            <w:tcW w:w="540" w:type="dxa"/>
            <w:vAlign w:val="bottom"/>
            <w:gridSpan w:val="12"/>
          </w:tcPr>
          <w:p>
            <w:pPr>
              <w:spacing w:after="0"/>
              <w:rPr>
                <w:sz w:val="24"/>
                <w:szCs w:val="24"/>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26, 2024</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8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Transactions</w:t>
              </w:r>
            </w:hyperlink>
          </w:p>
        </w:tc>
        <w:tc>
          <w:tcPr>
            <w:tcW w:w="440" w:type="dxa"/>
            <w:vAlign w:val="bottom"/>
            <w:gridSpan w:val="5"/>
          </w:tcPr>
          <w:p>
            <w:pPr>
              <w:spacing w:after="0"/>
              <w:rPr>
                <w:sz w:val="15"/>
                <w:szCs w:val="15"/>
                <w:color w:val="auto"/>
              </w:rPr>
            </w:pPr>
          </w:p>
        </w:tc>
        <w:tc>
          <w:tcPr>
            <w:tcW w:w="220" w:type="dxa"/>
            <w:vAlign w:val="bottom"/>
            <w:gridSpan w:val="8"/>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3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Synaptics Incorporated Insider Trading Policy</w:t>
              </w:r>
            </w:hyperlink>
          </w:p>
        </w:tc>
        <w:tc>
          <w:tcPr>
            <w:tcW w:w="1180" w:type="dxa"/>
            <w:vAlign w:val="bottom"/>
            <w:gridSpan w:val="15"/>
          </w:tcPr>
          <w:p>
            <w:pPr>
              <w:spacing w:after="0"/>
              <w:rPr>
                <w:sz w:val="24"/>
                <w:szCs w:val="24"/>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2024</w:t>
            </w: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List of Subsidiaries</w:t>
              </w:r>
            </w:hyperlink>
          </w:p>
        </w:tc>
        <w:tc>
          <w:tcPr>
            <w:tcW w:w="3140" w:type="dxa"/>
            <w:vAlign w:val="bottom"/>
            <w:gridSpan w:val="24"/>
          </w:tcPr>
          <w:p>
            <w:pPr>
              <w:spacing w:after="0"/>
              <w:rPr>
                <w:sz w:val="24"/>
                <w:szCs w:val="24"/>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23, 2024</w:t>
            </w: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20" w:type="dxa"/>
            <w:vAlign w:val="bottom"/>
            <w:gridSpan w:val="8"/>
          </w:tcPr>
          <w:p>
            <w:pPr>
              <w:spacing w:after="0"/>
              <w:rPr>
                <w:sz w:val="24"/>
                <w:szCs w:val="24"/>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5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 xml:space="preserve">Certification of Chief Executive Officer pursuant to Rule 13a- </w:t>
            </w:r>
            <w:r>
              <w:rPr>
                <w:rFonts w:ascii="Times New Roman" w:cs="Times New Roman" w:eastAsia="Times New Roman" w:hAnsi="Times New Roman"/>
                <w:sz w:val="18"/>
                <w:szCs w:val="18"/>
                <w:color w:val="000000"/>
              </w:rPr>
              <w:t>Filed herewith</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1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14(a)/15d-14(a)</w:t>
            </w:r>
          </w:p>
        </w:tc>
        <w:tc>
          <w:tcPr>
            <w:tcW w:w="3400" w:type="dxa"/>
            <w:vAlign w:val="bottom"/>
            <w:tcBorders>
              <w:top w:val="single" w:sz="8" w:color="0000FF"/>
            </w:tcBorders>
            <w:gridSpan w:val="25"/>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Certification of Chief Financial Officer pursuant to Rule 13a- </w:t>
            </w:r>
            <w:r>
              <w:rPr>
                <w:rFonts w:ascii="Times New Roman" w:cs="Times New Roman" w:eastAsia="Times New Roman" w:hAnsi="Times New Roman"/>
                <w:sz w:val="18"/>
                <w:szCs w:val="18"/>
                <w:color w:val="000000"/>
              </w:rPr>
              <w:t>Filed herewith</w:t>
            </w:r>
          </w:p>
        </w:tc>
        <w:tc>
          <w:tcPr>
            <w:tcW w:w="1820" w:type="dxa"/>
            <w:vAlign w:val="bottom"/>
          </w:tcPr>
          <w:p>
            <w:pPr>
              <w:spacing w:after="0"/>
              <w:rPr>
                <w:sz w:val="17"/>
                <w:szCs w:val="17"/>
                <w:color w:val="auto"/>
              </w:rPr>
            </w:pPr>
          </w:p>
        </w:tc>
      </w:tr>
      <w:tr>
        <w:trPr>
          <w:trHeight w:val="183"/>
        </w:trPr>
        <w:tc>
          <w:tcPr>
            <w:tcW w:w="1120" w:type="dxa"/>
            <w:vAlign w:val="bottom"/>
          </w:tcPr>
          <w:p>
            <w:pPr>
              <w:spacing w:after="0"/>
              <w:rPr>
                <w:sz w:val="15"/>
                <w:szCs w:val="15"/>
                <w:color w:val="auto"/>
              </w:rPr>
            </w:pPr>
          </w:p>
        </w:tc>
        <w:tc>
          <w:tcPr>
            <w:tcW w:w="11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14(a)/15d-14(a)</w:t>
            </w:r>
          </w:p>
        </w:tc>
        <w:tc>
          <w:tcPr>
            <w:tcW w:w="34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9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720" w:type="dxa"/>
            <w:vAlign w:val="bottom"/>
            <w:gridSpan w:val="3"/>
          </w:tcPr>
          <w:p>
            <w:pPr>
              <w:spacing w:after="0"/>
              <w:rPr>
                <w:sz w:val="24"/>
                <w:szCs w:val="24"/>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1820" w:type="dxa"/>
            <w:vAlign w:val="bottom"/>
          </w:tcPr>
          <w:p>
            <w:pPr>
              <w:spacing w:after="0"/>
              <w:rPr>
                <w:sz w:val="24"/>
                <w:szCs w:val="24"/>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18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580" w:type="dxa"/>
            <w:vAlign w:val="bottom"/>
            <w:gridSpan w:val="7"/>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Synaptics Compensation Recovery Policy, adopted as of</w:t>
              </w:r>
            </w:hyperlink>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August 23, 2024</w:t>
            </w:r>
          </w:p>
        </w:tc>
      </w:tr>
      <w:tr>
        <w:trPr>
          <w:trHeight w:val="183"/>
        </w:trPr>
        <w:tc>
          <w:tcPr>
            <w:tcW w:w="1120" w:type="dxa"/>
            <w:vAlign w:val="bottom"/>
          </w:tcPr>
          <w:p>
            <w:pPr>
              <w:spacing w:after="0"/>
              <w:rPr>
                <w:sz w:val="15"/>
                <w:szCs w:val="15"/>
                <w:color w:val="auto"/>
              </w:rPr>
            </w:pPr>
          </w:p>
        </w:tc>
        <w:tc>
          <w:tcPr>
            <w:tcW w:w="4060" w:type="dxa"/>
            <w:vAlign w:val="bottom"/>
            <w:tcBorders>
              <w:top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October 23, 2023</w:t>
              </w:r>
            </w:hyperlink>
          </w:p>
        </w:tc>
        <w:tc>
          <w:tcPr>
            <w:tcW w:w="520" w:type="dxa"/>
            <w:vAlign w:val="bottom"/>
            <w:gridSpan w:val="2"/>
          </w:tcPr>
          <w:p>
            <w:pPr>
              <w:spacing w:after="0"/>
              <w:rPr>
                <w:sz w:val="15"/>
                <w:szCs w:val="15"/>
                <w:color w:val="auto"/>
              </w:rPr>
            </w:pPr>
          </w:p>
        </w:tc>
        <w:tc>
          <w:tcPr>
            <w:tcW w:w="2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45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7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Labels Linkbase Document</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71" w:lineRule="exact"/>
        <w:rPr>
          <w:sz w:val="20"/>
          <w:szCs w:val="20"/>
          <w:color w:val="auto"/>
        </w:rPr>
      </w:pPr>
    </w:p>
    <w:p>
      <w:pPr>
        <w:jc w:val="both"/>
        <w:ind w:left="1140" w:right="5520" w:hanging="1114"/>
        <w:spacing w:after="0" w:line="25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contract with management or compensatory plan or arrangement.</w:t>
      </w:r>
    </w:p>
    <w:p>
      <w:pPr>
        <w:spacing w:after="0" w:line="27" w:lineRule="exact"/>
        <w:rPr>
          <w:sz w:val="20"/>
          <w:szCs w:val="20"/>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SYNAPTICS INCORPORATED</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2025</w:t>
            </w:r>
          </w:p>
        </w:tc>
        <w:tc>
          <w:tcPr>
            <w:tcW w:w="77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Rahul Patel</w:t>
            </w:r>
          </w:p>
        </w:tc>
      </w:tr>
      <w:tr>
        <w:trPr>
          <w:trHeight w:val="243"/>
        </w:trPr>
        <w:tc>
          <w:tcPr>
            <w:tcW w:w="3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Rahul Patel</w:t>
            </w:r>
          </w:p>
        </w:tc>
      </w:tr>
      <w:tr>
        <w:trPr>
          <w:trHeight w:val="257"/>
        </w:trPr>
        <w:tc>
          <w:tcPr>
            <w:tcW w:w="3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1"/>
                <w:szCs w:val="21"/>
                <w:color w:val="auto"/>
              </w:rPr>
            </w:pPr>
          </w:p>
        </w:tc>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5"/>
        </w:trPr>
        <w:tc>
          <w:tcPr>
            <w:tcW w:w="2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Rahul Patel</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Rahul Patel</w:t>
            </w:r>
          </w:p>
        </w:tc>
        <w:tc>
          <w:tcPr>
            <w:tcW w:w="8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Director (Principal Executive Officer)</w:t>
            </w:r>
          </w:p>
        </w:tc>
        <w:tc>
          <w:tcPr>
            <w:tcW w:w="1820" w:type="dxa"/>
            <w:vAlign w:val="bottom"/>
          </w:tcPr>
          <w:p>
            <w:pPr>
              <w:spacing w:after="0"/>
              <w:rPr>
                <w:sz w:val="20"/>
                <w:szCs w:val="20"/>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Ken Rizvi</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Rizvi</w:t>
            </w:r>
          </w:p>
        </w:tc>
        <w:tc>
          <w:tcPr>
            <w:tcW w:w="8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Esther Song</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Esther Song</w:t>
            </w:r>
          </w:p>
        </w:tc>
        <w:tc>
          <w:tcPr>
            <w:tcW w:w="8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Nelson C. Chan</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Nelson C. Chan</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Jeffrey D. Buchanan</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D. Buchanan</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Keith B. Geeslin</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B. Geeslin</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333333"/>
              </w:rPr>
              <w:t>Susan Hardman</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Hardman</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Patricia Kummrow</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Kummrow</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Vivie Lee</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Vivie Lee</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James L. Whims</w:t>
            </w: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 Whims</w:t>
            </w:r>
          </w:p>
        </w:tc>
        <w:tc>
          <w:tcPr>
            <w:tcW w:w="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918"/>
        </w:trPr>
        <w:tc>
          <w:tcPr>
            <w:tcW w:w="2500" w:type="dxa"/>
            <w:vAlign w:val="bottom"/>
          </w:tcPr>
          <w:p>
            <w:pPr>
              <w:spacing w:after="0"/>
              <w:rPr>
                <w:sz w:val="24"/>
                <w:szCs w:val="24"/>
                <w:color w:val="auto"/>
              </w:rPr>
            </w:pPr>
          </w:p>
        </w:tc>
        <w:tc>
          <w:tcPr>
            <w:tcW w:w="6800" w:type="dxa"/>
            <w:vAlign w:val="bottom"/>
            <w:gridSpan w:val="2"/>
          </w:tcPr>
          <w:p>
            <w:pPr>
              <w:jc w:val="right"/>
              <w:ind w:right="349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333-214950, 333-221585, 333-228118, 333-233338, 333-234437, 333-249793, 333-261460, 333-268145, 333-275459, 333-283071 and 333-284610) on Form S-8 of our report dated August 21, 2025, with respect to the consolidated financial statements of Synaptics Incorporated and the effectiveness of internal control over financial reporting.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KPMG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2025</w:t>
      </w:r>
    </w:p>
    <w:p>
      <w:pPr>
        <w:sectPr>
          <w:pgSz w:w="11900" w:h="16838" w:orient="portrait"/>
          <w:cols w:equalWidth="0" w:num="1">
            <w:col w:w="11240"/>
          </w:cols>
          <w:pgMar w:left="320" w:top="141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Rahul Patel, certify that:</w:t>
      </w:r>
    </w:p>
    <w:p>
      <w:pPr>
        <w:spacing w:after="0" w:line="117" w:lineRule="exact"/>
        <w:rPr>
          <w:sz w:val="20"/>
          <w:szCs w:val="20"/>
          <w:color w:val="auto"/>
        </w:rPr>
      </w:pPr>
    </w:p>
    <w:p>
      <w:pPr>
        <w:ind w:left="820" w:hanging="81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Synaptics Incorporated;</w:t>
      </w:r>
    </w:p>
    <w:p>
      <w:pPr>
        <w:spacing w:after="0" w:line="117" w:lineRule="exact"/>
        <w:rPr>
          <w:rFonts w:ascii="Times New Roman" w:cs="Times New Roman" w:eastAsia="Times New Roman" w:hAnsi="Times New Roman"/>
          <w:sz w:val="18"/>
          <w:szCs w:val="18"/>
          <w:color w:val="auto"/>
        </w:rPr>
      </w:pPr>
    </w:p>
    <w:p>
      <w:pPr>
        <w:jc w:val="both"/>
        <w:ind w:left="820" w:hanging="812"/>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820" w:hanging="812"/>
        <w:spacing w:after="0" w:line="26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9" w:lineRule="exact"/>
        <w:rPr>
          <w:sz w:val="20"/>
          <w:szCs w:val="20"/>
          <w:color w:val="auto"/>
        </w:rPr>
      </w:pPr>
    </w:p>
    <w:p>
      <w:pPr>
        <w:jc w:val="both"/>
        <w:ind w:left="1140" w:hanging="16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1140" w:hanging="161"/>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jc w:val="both"/>
        <w:ind w:left="1140" w:hanging="16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1140" w:hanging="161"/>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820" w:hanging="812"/>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1140" w:hanging="16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sz w:val="20"/>
          <w:szCs w:val="20"/>
          <w:color w:val="auto"/>
        </w:rPr>
      </w:pPr>
    </w:p>
    <w:p>
      <w:pPr>
        <w:ind w:left="1140" w:hanging="161"/>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21, 2025</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Rahul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27305</wp:posOffset>
            </wp:positionV>
            <wp:extent cx="36004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Rahul Patel</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3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Rizvi, certify that:</w:t>
      </w:r>
    </w:p>
    <w:p>
      <w:pPr>
        <w:spacing w:after="0" w:line="117" w:lineRule="exact"/>
        <w:rPr>
          <w:sz w:val="20"/>
          <w:szCs w:val="20"/>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Synaptics Incorporated;</w:t>
      </w:r>
    </w:p>
    <w:p>
      <w:pPr>
        <w:spacing w:after="0" w:line="117" w:lineRule="exact"/>
        <w:rPr>
          <w:rFonts w:ascii="Times New Roman" w:cs="Times New Roman" w:eastAsia="Times New Roman" w:hAnsi="Times New Roman"/>
          <w:sz w:val="18"/>
          <w:szCs w:val="18"/>
          <w:color w:val="auto"/>
        </w:rPr>
      </w:pPr>
    </w:p>
    <w:p>
      <w:pPr>
        <w:jc w:val="both"/>
        <w:ind w:left="820" w:hanging="812"/>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820" w:hanging="812"/>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9" w:lineRule="exact"/>
        <w:rPr>
          <w:sz w:val="20"/>
          <w:szCs w:val="20"/>
          <w:color w:val="auto"/>
        </w:rPr>
      </w:pPr>
    </w:p>
    <w:p>
      <w:pPr>
        <w:jc w:val="both"/>
        <w:ind w:left="1140" w:hanging="16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1140" w:hanging="161"/>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jc w:val="both"/>
        <w:ind w:left="1140" w:hanging="16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1140" w:hanging="161"/>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820" w:hanging="812"/>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1140" w:hanging="16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sz w:val="20"/>
          <w:szCs w:val="20"/>
          <w:color w:val="auto"/>
        </w:rPr>
      </w:pPr>
    </w:p>
    <w:p>
      <w:pPr>
        <w:ind w:left="1140" w:hanging="161"/>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21, 2025</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27305</wp:posOffset>
            </wp:positionV>
            <wp:extent cx="3600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Ken Rizvi</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3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Synaptics Incorporated (the “Company”) for the year ended June 28, 2025, as filed with the Securities and Exchange Commission on the date hereof (the “Report”), I, Rahul Patel, President and Chief Executive Officer of the Company, certify, to the best of my knowledge and belief, pursuant to 18 U.S.C. § 1350, as adopted pursuant to § 906 of the Sarbanes-Oxley Act of 2002, that:</w:t>
      </w:r>
    </w:p>
    <w:p>
      <w:pPr>
        <w:spacing w:after="0" w:line="68" w:lineRule="exact"/>
        <w:rPr>
          <w:sz w:val="20"/>
          <w:szCs w:val="20"/>
          <w:color w:val="auto"/>
        </w:rPr>
      </w:pPr>
    </w:p>
    <w:p>
      <w:pPr>
        <w:ind w:left="1620" w:hanging="640"/>
        <w:spacing w:after="0" w:line="282" w:lineRule="auto"/>
        <w:tabs>
          <w:tab w:leader="none" w:pos="16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Rahul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27305</wp:posOffset>
            </wp:positionV>
            <wp:extent cx="36004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Rahul Patel</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August 21, 2025</w:t>
      </w:r>
    </w:p>
    <w:p>
      <w:pPr>
        <w:sectPr>
          <w:pgSz w:w="11900" w:h="16838" w:orient="portrait"/>
          <w:cols w:equalWidth="0" w:num="1">
            <w:col w:w="11240"/>
          </w:cols>
          <w:pgMar w:left="320" w:top="114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Synaptics Incorporated (the “Company”) for the year ended June 28, 2025, as filed with the Securities and Exchange Commission on the date hereof (the “Report”), I, Ken Rizvi, Chief Financial Officer of the Company, certify, to the best of my knowledge and belief, pursuant to 18 U.S.C. § 1350, as adopted pursuant to § 906 of the Sarbanes-Oxley Act of 2002, that:</w:t>
      </w:r>
    </w:p>
    <w:p>
      <w:pPr>
        <w:spacing w:after="0" w:line="68" w:lineRule="exact"/>
        <w:rPr>
          <w:sz w:val="20"/>
          <w:szCs w:val="20"/>
          <w:color w:val="auto"/>
        </w:rPr>
      </w:pPr>
    </w:p>
    <w:p>
      <w:pPr>
        <w:ind w:left="1620" w:hanging="640"/>
        <w:spacing w:after="0" w:line="282" w:lineRule="auto"/>
        <w:tabs>
          <w:tab w:leader="none" w:pos="1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Ken Rizvi</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21, 2025</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104"/>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7" Type="http://schemas.openxmlformats.org/officeDocument/2006/relationships/image" Target="media/image172.png"/><Relationship Id="rId199"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35"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179" Type="http://schemas.openxmlformats.org/officeDocument/2006/relationships/hyperlink" Target="https://www.sec.gov/Archives/edgar/data/817720/000119312523264071/d511153dex31.htm" TargetMode="External"/><Relationship Id="rId180" Type="http://schemas.openxmlformats.org/officeDocument/2006/relationships/hyperlink" Target="https://www.sec.gov/Archives/edgar/data/817720/000095015302001446/p66932exv3w1wb.txt" TargetMode="External"/><Relationship Id="rId181" Type="http://schemas.openxmlformats.org/officeDocument/2006/relationships/hyperlink" Target="https://www.sec.gov/Archives/edgar/data/817720/000081772025000062/syna-fourthamendedandresta.htm" TargetMode="External"/><Relationship Id="rId182" Type="http://schemas.openxmlformats.org/officeDocument/2006/relationships/hyperlink" Target="https://www.sec.gov/Archives/edgar/data/817720/000095015302001553/p66995exv4.txt" TargetMode="External"/><Relationship Id="rId183" Type="http://schemas.openxmlformats.org/officeDocument/2006/relationships/hyperlink" Target="https://www.sec.gov/Archives/edgar/data/817720/000156459019032908/syna-ex44_665.htm" TargetMode="External"/><Relationship Id="rId184" Type="http://schemas.openxmlformats.org/officeDocument/2006/relationships/hyperlink" Target="https://www.sec.gov/Archives/edgar/data/817720/000119312521077766/d107594dex41.htm" TargetMode="External"/><Relationship Id="rId185" Type="http://schemas.openxmlformats.org/officeDocument/2006/relationships/hyperlink" Target="https://www.sec.gov/Archives/edgar/data/0000817720/000119312521077766/d107594dex41.htm" TargetMode="External"/><Relationship Id="rId186" Type="http://schemas.openxmlformats.org/officeDocument/2006/relationships/hyperlink" Target="https://www.sec.gov/Archives/edgar/data/0000817720/000162828024048534/projectsentinel-closing8xkc.htm" TargetMode="External"/><Relationship Id="rId188" Type="http://schemas.openxmlformats.org/officeDocument/2006/relationships/hyperlink" Target="https://www.sec.gov/Archives/edgar/data/817720/000119312521077766/d107594dex101.htm" TargetMode="External"/><Relationship Id="rId189" Type="http://schemas.openxmlformats.org/officeDocument/2006/relationships/hyperlink" Target="https://www.sec.gov/Archives/edgar/data/817720/000119312521346669/d278258dex101.htm" TargetMode="External"/><Relationship Id="rId190" Type="http://schemas.openxmlformats.org/officeDocument/2006/relationships/hyperlink" Target="https://www.sec.gov/Archives/edgar/data/817720/000119312523073886/d479581dex101.htm" TargetMode="External"/><Relationship Id="rId191" Type="http://schemas.openxmlformats.org/officeDocument/2006/relationships/hyperlink" Target="https://www.sec.gov/Archives/edgar/data/0000817720/000095017023037965/syna-ex10_1.htm" TargetMode="External"/><Relationship Id="rId192" Type="http://schemas.openxmlformats.org/officeDocument/2006/relationships/hyperlink" Target="https://www.sec.gov/Archives/edgar/data/0000817720/000162828024048834/fullextoformforfourthamend.htm" TargetMode="External"/><Relationship Id="rId193" Type="http://schemas.openxmlformats.org/officeDocument/2006/relationships/hyperlink" Target="https://www.sec.gov/Archives/edgar/data/817720/000119312519223462/d790437dex1031a.htm" TargetMode="External"/><Relationship Id="rId194" Type="http://schemas.openxmlformats.org/officeDocument/2006/relationships/hyperlink" Target="https://www.sec.gov/Archives/edgar/data/817720/000119312519223462/d790437dex1031b.htm" TargetMode="External"/><Relationship Id="rId195" Type="http://schemas.openxmlformats.org/officeDocument/2006/relationships/hyperlink" Target="https://www.sec.gov/Archives/edgar/data/817720/000119312519223462/d790437dex1031c.htm" TargetMode="External"/><Relationship Id="rId196" Type="http://schemas.openxmlformats.org/officeDocument/2006/relationships/hyperlink" Target="https://www.sec.gov/Archives/edgar/data/817720/000119312519223462/d790437dex1031d.htm" TargetMode="External"/><Relationship Id="rId197" Type="http://schemas.openxmlformats.org/officeDocument/2006/relationships/hyperlink" Target="https://www.sec.gov/Archives/edgar/data/817720/000162828025003216/synaptic2025inducementequi.htm" TargetMode="External"/><Relationship Id="rId198" Type="http://schemas.openxmlformats.org/officeDocument/2006/relationships/hyperlink" Target="https://www.sec.gov/Archives/edgar/data/817720/000119312519281932/d828543dex101a.htm" TargetMode="External"/><Relationship Id="rId200" Type="http://schemas.openxmlformats.org/officeDocument/2006/relationships/hyperlink" Target="https://www.sec.gov/Archives/edgar/data/0000817720/000119312520281023/d26729dex101.htm" TargetMode="External"/><Relationship Id="rId201" Type="http://schemas.openxmlformats.org/officeDocument/2006/relationships/hyperlink" Target="https://www.sec.gov/Archives/edgar/data/0000817720/000119312521311462/d233668dex101.htm" TargetMode="External"/><Relationship Id="rId202" Type="http://schemas.openxmlformats.org/officeDocument/2006/relationships/hyperlink" Target="https://www.sec.gov/Archives/edgar/data/0000817720/000119312522271047/d342816dex101.htm" TargetMode="External"/><Relationship Id="rId203" Type="http://schemas.openxmlformats.org/officeDocument/2006/relationships/hyperlink" Target="https://www.sec.gov/Archives/edgar/data/0000817720/000119312523264071/d511153dex101.htm" TargetMode="External"/><Relationship Id="rId204" Type="http://schemas.openxmlformats.org/officeDocument/2006/relationships/hyperlink" Target="https://www.sec.gov/Archives/edgar/data/0000817720/000162828024044604/amendedrestatedequityplan.htm" TargetMode="External"/><Relationship Id="rId205" Type="http://schemas.openxmlformats.org/officeDocument/2006/relationships/hyperlink" Target="https://www.sec.gov/Archives/edgar/data/817720/000119312519281932/d828543dex101b.htm" TargetMode="External"/><Relationship Id="rId206" Type="http://schemas.openxmlformats.org/officeDocument/2006/relationships/hyperlink" Target="https://www.sec.gov/Archives/edgar/data/817720/000119312519281932/d828543dex101c.htm" TargetMode="External"/><Relationship Id="rId207" Type="http://schemas.openxmlformats.org/officeDocument/2006/relationships/hyperlink" Target="https://www.sec.gov/Archives/edgar/data/0000817720/000156459021045326/syna-ex103f_249.htm" TargetMode="External"/><Relationship Id="rId208" Type="http://schemas.openxmlformats.org/officeDocument/2006/relationships/hyperlink" Target="https://www.sec.gov/Archives/edgar/data/817720/000156459021045326/syna-ex103g_250.htm" TargetMode="External"/><Relationship Id="rId209" Type="http://schemas.openxmlformats.org/officeDocument/2006/relationships/hyperlink" Target="https://www.sec.gov/Archives/edgar/data/817720/000156459020051445/syna-ex102_108.htm" TargetMode="External"/><Relationship Id="rId210" Type="http://schemas.openxmlformats.org/officeDocument/2006/relationships/hyperlink" Target="https://www.sec.gov/Archives/edgar/data/817720/000156459020051445/syna-ex103_109.htm" TargetMode="External"/><Relationship Id="rId211" Type="http://schemas.openxmlformats.org/officeDocument/2006/relationships/hyperlink" Target="https://www.sec.gov/Archives/edgar/data/817720/000095017022017628/syna-ex10_3.htm" TargetMode="External"/><Relationship Id="rId212" Type="http://schemas.openxmlformats.org/officeDocument/2006/relationships/hyperlink" Target="https://www.sec.gov/Archives/edgar/data/0000817720/000095017024100261/syna-ex10_3m.htm" TargetMode="External"/><Relationship Id="rId213" Type="http://schemas.openxmlformats.org/officeDocument/2006/relationships/hyperlink" Target="https://www.sec.gov/Archives/edgar/data/0000817720/000081772025000030/formofretentionrestricteds.htm" TargetMode="External"/><Relationship Id="rId214" Type="http://schemas.openxmlformats.org/officeDocument/2006/relationships/hyperlink" Target="https://www.sec.gov/Archives/edgar/data/0000817720/000081772025000049/formofawardagreement-kenri.htm" TargetMode="External"/><Relationship Id="rId217" Type="http://schemas.openxmlformats.org/officeDocument/2006/relationships/hyperlink" Target="https://www.sec.gov/Archives/edgar/data/817720/000119312519281932/d828543dex102a.htm" TargetMode="External"/><Relationship Id="rId218" Type="http://schemas.openxmlformats.org/officeDocument/2006/relationships/hyperlink" Target="https://www.sec.gov/Archives/edgar/data/0000817720/000081772025000030/formofexecutiveseveranceag.htm" TargetMode="External"/><Relationship Id="rId219" Type="http://schemas.openxmlformats.org/officeDocument/2006/relationships/hyperlink" Target="https://www.sec.gov/Archives/edgar/data/817720/000119312516593183/d192591dex1032.htm" TargetMode="External"/><Relationship Id="rId220" Type="http://schemas.openxmlformats.org/officeDocument/2006/relationships/hyperlink" Target="https://www.sec.gov/Archives/edgar/data/0000817720/000081772025000030/synaptics-indemnificationaa.htm" TargetMode="External"/><Relationship Id="rId221" Type="http://schemas.openxmlformats.org/officeDocument/2006/relationships/hyperlink" Target="https://www.sec.gov/Archives/edgar/data/0000817720/000081772025000030/synaptics-indemnificationa.htm" TargetMode="External"/><Relationship Id="rId222" Type="http://schemas.openxmlformats.org/officeDocument/2006/relationships/hyperlink" Target="https://www.sec.gov/Archives/edgar/data/817720/000156459019041858/syna-ex101_81.htm" TargetMode="External"/><Relationship Id="rId223" Type="http://schemas.openxmlformats.org/officeDocument/2006/relationships/hyperlink" Target="https://www.sec.gov/Archives/edgar/data/0000817720/000095017024100261/syna-ex10_10.htm" TargetMode="External"/><Relationship Id="rId224" Type="http://schemas.openxmlformats.org/officeDocument/2006/relationships/hyperlink" Target="https://www.sec.gov/Archives/edgar/data/817720/000095017024012868/syna-ex10_2.htm" TargetMode="External"/><Relationship Id="rId225" Type="http://schemas.openxmlformats.org/officeDocument/2006/relationships/hyperlink" Target="https://www.sec.gov/Archives/edgar/data/817720/000095017024012868/syna-ex10_3.htm" TargetMode="External"/><Relationship Id="rId226" Type="http://schemas.openxmlformats.org/officeDocument/2006/relationships/hyperlink" Target="https://www.sec.gov/Archives/edgar/data/0000817720/000095017024100261/syna-ex10_13.htm" TargetMode="External"/><Relationship Id="rId227" Type="http://schemas.openxmlformats.org/officeDocument/2006/relationships/hyperlink" Target="https://www.sec.gov/Archives/edgar/data/0000817720/000081772025000020/lettertokenexhibit101.htm" TargetMode="External"/><Relationship Id="rId228" Type="http://schemas.openxmlformats.org/officeDocument/2006/relationships/hyperlink" Target="https://www.sec.gov/Archives/edgar/data/0000817720/000081772025000020/lettertonelsonexhibit102.htm" TargetMode="External"/><Relationship Id="rId229" Type="http://schemas.openxmlformats.org/officeDocument/2006/relationships/hyperlink" Target="https://www.sec.gov/Archives/edgar/data/0000817720/000081772025000046/offerletter.htm" TargetMode="External"/><Relationship Id="rId230" Type="http://schemas.openxmlformats.org/officeDocument/2006/relationships/hyperlink" Target="https://www.sec.gov/Archives/edgar/data/0000817720/000081772025000046/executiveseveranceagreemen.htm" TargetMode="External"/><Relationship Id="rId231" Type="http://schemas.openxmlformats.org/officeDocument/2006/relationships/hyperlink" Target="https://www.sec.gov/Archives/edgar/data/0000817720/000162828024048534/projectsentinel-closing8xkb.htm" TargetMode="External"/><Relationship Id="rId232" Type="http://schemas.openxmlformats.org/officeDocument/2006/relationships/hyperlink" Target="https://www.sec.gov/Archives/edgar/data/0000817720/000162828024049269/projectsentinel-closing8xk.htm" TargetMode="External"/><Relationship Id="rId233" Type="http://schemas.openxmlformats.org/officeDocument/2006/relationships/hyperlink" Target="https://www.sec.gov/Archives/edgar/data/0000817720/000095017024100261/syna-ex19.htm" TargetMode="External"/><Relationship Id="rId234" Type="http://schemas.openxmlformats.org/officeDocument/2006/relationships/hyperlink" Target="https://www.sec.gov/Archives/edgar/data/0000817720/000095017024100261/syna-ex21.htm" TargetMode="External"/><Relationship Id="rId236" Type="http://schemas.openxmlformats.org/officeDocument/2006/relationships/hyperlink" Target="https://www.sec.gov/Archives/edgar/data/0000817720/000095017024100261/syna-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2025-08-21T16:01:11Z</dcterms:created>
  <dcterms:modified xsi:type="dcterms:W3CDTF">2025-08-21T16:01:11Z</dcterms:modified>
</cp:coreProperties>
</file>