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95250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9" w:lineRule="exact"/>
        <w:rPr>
          <w:sz w:val="24"/>
          <w:szCs w:val="24"/>
          <w:color w:val="auto"/>
        </w:rPr>
      </w:pPr>
    </w:p>
    <w:p>
      <w:pPr>
        <w:ind w:left="540" w:right="120" w:hanging="519"/>
        <w:spacing w:after="0" w:line="261" w:lineRule="auto"/>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24, 2022</w:t>
      </w:r>
    </w:p>
    <w:p>
      <w:pPr>
        <w:spacing w:after="0" w:line="108" w:lineRule="exact"/>
        <w:rPr>
          <w:sz w:val="24"/>
          <w:szCs w:val="24"/>
          <w:color w:val="auto"/>
        </w:rPr>
      </w:pPr>
    </w:p>
    <w:p>
      <w:pPr>
        <w:ind w:left="540" w:right="120" w:hanging="519"/>
        <w:spacing w:after="0" w:line="261" w:lineRule="auto"/>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2"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96520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SYNAPTICS INCORPORATED</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0" w:type="dxa"/>
            <w:vAlign w:val="bottom"/>
          </w:tcPr>
          <w:p>
            <w:pPr>
              <w:spacing w:after="0"/>
              <w:rPr>
                <w:sz w:val="19"/>
                <w:szCs w:val="19"/>
                <w:color w:val="auto"/>
              </w:rPr>
            </w:pPr>
          </w:p>
        </w:tc>
        <w:tc>
          <w:tcPr>
            <w:tcW w:w="2440" w:type="dxa"/>
            <w:vAlign w:val="bottom"/>
            <w:gridSpan w:val="2"/>
          </w:tcPr>
          <w:p>
            <w:pPr>
              <w:jc w:val="center"/>
              <w:ind w:left="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w w:val="98"/>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7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0"/>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1109 McKay Drive</w:t>
            </w:r>
          </w:p>
        </w:tc>
        <w:tc>
          <w:tcPr>
            <w:tcW w:w="318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San Jose, California 95131</w:t>
            </w:r>
          </w:p>
        </w:tc>
        <w:tc>
          <w:tcPr>
            <w:tcW w:w="3180" w:type="dxa"/>
            <w:vAlign w:val="bottom"/>
          </w:tcPr>
          <w:p>
            <w:pPr>
              <w:spacing w:after="0"/>
              <w:rPr>
                <w:sz w:val="18"/>
                <w:szCs w:val="18"/>
                <w:color w:val="auto"/>
              </w:rPr>
            </w:pPr>
          </w:p>
        </w:tc>
      </w:tr>
      <w:tr>
        <w:trPr>
          <w:trHeight w:val="188"/>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180" w:type="dxa"/>
            <w:vAlign w:val="bottom"/>
          </w:tcPr>
          <w:p>
            <w:pPr>
              <w:spacing w:after="0"/>
              <w:rPr>
                <w:sz w:val="16"/>
                <w:szCs w:val="16"/>
                <w:color w:val="auto"/>
              </w:rPr>
            </w:pPr>
          </w:p>
        </w:tc>
      </w:tr>
      <w:tr>
        <w:trPr>
          <w:trHeight w:val="257"/>
        </w:trPr>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340" w:type="dxa"/>
            <w:vAlign w:val="bottom"/>
            <w:gridSpan w:val="3"/>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w w:val="99"/>
              </w:rPr>
              <w:t>(408) 904-1100</w:t>
            </w: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8"/>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80" w:type="dxa"/>
            <w:vAlign w:val="bottom"/>
          </w:tcPr>
          <w:p>
            <w:pPr>
              <w:spacing w:after="0"/>
              <w:rPr>
                <w:sz w:val="16"/>
                <w:szCs w:val="16"/>
                <w:color w:val="auto"/>
              </w:rPr>
            </w:pPr>
          </w:p>
        </w:tc>
      </w:tr>
      <w:tr>
        <w:trPr>
          <w:trHeight w:val="106"/>
        </w:trPr>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04"/>
        </w:trPr>
        <w:tc>
          <w:tcPr>
            <w:tcW w:w="7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283"/>
        </w:trPr>
        <w:tc>
          <w:tcPr>
            <w:tcW w:w="14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1400" w:type="dxa"/>
            <w:vAlign w:val="bottom"/>
            <w:gridSpan w:val="2"/>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7"/>
        </w:trPr>
        <w:tc>
          <w:tcPr>
            <w:tcW w:w="3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SYNA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03" w:lineRule="exact"/>
        <w:rPr>
          <w:sz w:val="24"/>
          <w:szCs w:val="24"/>
          <w:color w:val="auto"/>
        </w:rPr>
      </w:pPr>
    </w:p>
    <w:p>
      <w:pPr>
        <w:ind w:right="2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8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9"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January 26, 2023, the Company had 39,395,760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389890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9" w:right="4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DECEMBER 24, 2022</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20" w:type="dxa"/>
            <w:vAlign w:val="bottom"/>
            <w:vMerge w:val="restart"/>
          </w:tcPr>
          <w:p>
            <w:pPr>
              <w:spacing w:after="0"/>
              <w:rPr>
                <w:sz w:val="2"/>
                <w:szCs w:val="2"/>
                <w:color w:val="auto"/>
              </w:rPr>
            </w:pPr>
          </w:p>
        </w:tc>
        <w:tc>
          <w:tcPr>
            <w:tcW w:w="8620" w:type="dxa"/>
            <w:vAlign w:val="bottom"/>
            <w:gridSpan w:val="12"/>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060" w:type="dxa"/>
            <w:vAlign w:val="bottom"/>
            <w:tcBorders>
              <w:bottom w:val="single" w:sz="8" w:color="0000FF"/>
            </w:tcBorders>
            <w:gridSpan w:val="6"/>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8620" w:type="dxa"/>
            <w:vAlign w:val="bottom"/>
            <w:gridSpan w:val="12"/>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Sheets—December 24, 2022 and June 25, 2022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Income—Three and Six Months Ended December 24, 2022 and December 25,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Income—Three and Six Months Ended December 24, 2022 and December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25, 2021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Equity—Three and Six Months Ended December 24, 2022 and December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25, 2021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Flows—Six Months Ended December 24, 2022 and December 25,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5220" w:type="dxa"/>
            <w:vAlign w:val="bottom"/>
            <w:tcBorders>
              <w:left w:val="single" w:sz="8" w:color="0000FF"/>
            </w:tcBorders>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1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20" w:type="dxa"/>
            <w:vAlign w:val="bottom"/>
            <w:tcBorders>
              <w:bottom w:val="single" w:sz="8" w:color="0000EE"/>
            </w:tcBorders>
          </w:tcPr>
          <w:p>
            <w:pPr>
              <w:spacing w:after="0"/>
              <w:rPr>
                <w:sz w:val="24"/>
                <w:szCs w:val="24"/>
                <w:color w:val="auto"/>
              </w:rPr>
            </w:pPr>
          </w:p>
        </w:tc>
        <w:tc>
          <w:tcPr>
            <w:tcW w:w="882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9"/>
            <w:shd w:val="clear" w:color="auto" w:fill="0000FF"/>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681"/>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22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360" w:type="dxa"/>
            <w:vAlign w:val="bottom"/>
          </w:tcPr>
          <w:p>
            <w:pPr>
              <w:spacing w:after="0"/>
              <w:rPr>
                <w:sz w:val="20"/>
                <w:szCs w:val="20"/>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w:t>
            </w:r>
          </w:p>
        </w:tc>
      </w:tr>
      <w:tr>
        <w:trPr>
          <w:trHeight w:val="250"/>
        </w:trPr>
        <w:tc>
          <w:tcPr>
            <w:tcW w:w="7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52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00" w:type="dxa"/>
            <w:vAlign w:val="bottom"/>
          </w:tcPr>
          <w:p>
            <w:pPr>
              <w:spacing w:after="0"/>
              <w:rPr>
                <w:sz w:val="20"/>
                <w:szCs w:val="20"/>
                <w:color w:val="auto"/>
              </w:rPr>
            </w:pPr>
          </w:p>
        </w:tc>
      </w:tr>
      <w:tr>
        <w:trPr>
          <w:trHeight w:val="215"/>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 net of accumulated depreciation of $128.7 and $122.8 at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2022 and June 2022, respectively</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intangibles,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520" w:type="dxa"/>
            <w:vAlign w:val="bottom"/>
            <w:shd w:val="clear" w:color="auto" w:fill="CFF0FC"/>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21"/>
                <w:szCs w:val="21"/>
                <w:color w:val="auto"/>
              </w:rPr>
            </w:pPr>
          </w:p>
        </w:tc>
      </w:tr>
      <w:tr>
        <w:trPr>
          <w:trHeight w:val="23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$0.001 par value; 120,000,000 shares authorized, 68,459,485 and 67,745,800 shares issued,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39,581,687 and 39,621,179 shares outstanding, at December 2022 and June 2022, respectively</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00" w:type="dxa"/>
            <w:vAlign w:val="bottom"/>
            <w:shd w:val="clear" w:color="auto" w:fill="CFF0FC"/>
          </w:tcPr>
          <w:p>
            <w:pPr>
              <w:spacing w:after="0"/>
              <w:rPr>
                <w:sz w:val="21"/>
                <w:szCs w:val="2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28,877,798 and 28,124,621 common shares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December 2022 and June 2022, respectively, at cost</w:t>
            </w:r>
          </w:p>
        </w:tc>
        <w:tc>
          <w:tcPr>
            <w:tcW w:w="2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(769.0 )</w:t>
            </w:r>
          </w:p>
        </w:tc>
        <w:tc>
          <w:tcPr>
            <w:tcW w:w="3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(694.5 )</w:t>
            </w:r>
          </w:p>
        </w:tc>
      </w:tr>
      <w:tr>
        <w:trPr>
          <w:trHeight w:val="249"/>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tcPr>
          <w:p>
            <w:pPr>
              <w:spacing w:after="0"/>
              <w:rPr>
                <w:sz w:val="21"/>
                <w:szCs w:val="21"/>
                <w:color w:val="auto"/>
              </w:rPr>
            </w:pPr>
          </w:p>
        </w:tc>
      </w:tr>
      <w:tr>
        <w:trPr>
          <w:trHeight w:val="23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-4683125</wp:posOffset>
            </wp:positionV>
            <wp:extent cx="685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-4683125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-3612515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-3612515</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-2345690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-1711960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480" w:type="dxa"/>
            <w:vAlign w:val="bottom"/>
            <w:gridSpan w:val="8"/>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SYNAPTICS INCORPORATED AND SUBSIDIARIES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80" w:type="dxa"/>
            <w:vAlign w:val="bottom"/>
            <w:gridSpan w:val="8"/>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INCOME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gridSpan w:val="5"/>
          </w:tcPr>
          <w:p>
            <w:pPr>
              <w:jc w:val="center"/>
              <w:ind w:left="3890"/>
              <w:spacing w:after="0"/>
              <w:rPr>
                <w:sz w:val="20"/>
                <w:szCs w:val="20"/>
                <w:color w:val="auto"/>
              </w:rPr>
            </w:pPr>
            <w:r>
              <w:rPr>
                <w:rFonts w:ascii="Times New Roman" w:cs="Times New Roman" w:eastAsia="Times New Roman" w:hAnsi="Times New Roman"/>
                <w:sz w:val="18"/>
                <w:szCs w:val="18"/>
                <w:color w:val="auto"/>
                <w:w w:val="99"/>
              </w:rPr>
              <w:t>(in millions, except per share data)</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9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3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6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(6.7 )</w:t>
            </w: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(15.0 )</w:t>
            </w: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redemption of convertible notes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Income before provision for income taxes and equity investment loss</w:t>
            </w:r>
          </w:p>
        </w:tc>
        <w:tc>
          <w:tcPr>
            <w:tcW w:w="6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loss</w:t>
            </w:r>
          </w:p>
        </w:tc>
        <w:tc>
          <w:tcPr>
            <w:tcW w:w="6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0"/>
                <w:szCs w:val="20"/>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-3098800</wp:posOffset>
            </wp:positionV>
            <wp:extent cx="7683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-3098800</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-3098800</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-2157095</wp:posOffset>
            </wp:positionV>
            <wp:extent cx="7683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-2157095</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-2157095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-2157095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-1215390</wp:posOffset>
            </wp:positionV>
            <wp:extent cx="7683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-1215390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-1215390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-538480</wp:posOffset>
            </wp:positionV>
            <wp:extent cx="2705735"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5735" cy="1797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-205105</wp:posOffset>
            </wp:positionV>
            <wp:extent cx="270573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5735" cy="20574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2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58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8"/>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income (loss) on available-for-sale-securities</w:t>
            </w: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36"/>
        </w:trPr>
        <w:tc>
          <w:tcPr>
            <w:tcW w:w="58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-187960</wp:posOffset>
            </wp:positionV>
            <wp:extent cx="7683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-187960</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2260" w:type="dxa"/>
        <w:tblCellMar>
          <w:top w:w="0" w:type="dxa"/>
          <w:left w:w="0" w:type="dxa"/>
          <w:bottom w:w="0" w:type="dxa"/>
          <w:right w:w="0" w:type="dxa"/>
        </w:tblCellMar>
      </w:tblPr>
      <w:tr>
        <w:trPr>
          <w:trHeight w:val="245"/>
        </w:trPr>
        <w:tc>
          <w:tcPr>
            <w:tcW w:w="22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7"/>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spacing w:after="0"/>
              <w:rPr>
                <w:sz w:val="18"/>
                <w:szCs w:val="18"/>
                <w:color w:val="auto"/>
              </w:rPr>
            </w:pP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8255</wp:posOffset>
            </wp:positionV>
            <wp:extent cx="6337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sectPr>
          <w:pgSz w:w="11900" w:h="16838" w:orient="portrait"/>
          <w:cols w:equalWidth="0" w:num="1">
            <w:col w:w="11180"/>
          </w:cols>
          <w:pgMar w:left="340" w:top="333" w:right="379" w:bottom="1440" w:gutter="0" w:footer="0" w:header="0"/>
        </w:sect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67,745,800</w:t>
            </w:r>
          </w:p>
        </w:tc>
        <w:tc>
          <w:tcPr>
            <w:tcW w:w="2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for share-based award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483,713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Payroll taxes for deferred</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5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68,229,513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for share-based award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229,972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Payroll taxes for deferred</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5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r>
      <w:tr>
        <w:trPr>
          <w:trHeight w:val="23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2022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68,459,485</w:t>
            </w:r>
          </w:p>
        </w:tc>
        <w:tc>
          <w:tcPr>
            <w:tcW w:w="24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924.1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(694.5 )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60" w:type="dxa"/>
            <w:vAlign w:val="bottom"/>
          </w:tcPr>
          <w:p>
            <w:pPr>
              <w:spacing w:after="0"/>
              <w:rPr>
                <w:sz w:val="19"/>
                <w:szCs w:val="19"/>
                <w:color w:val="auto"/>
              </w:rPr>
            </w:pPr>
          </w:p>
        </w:tc>
      </w:tr>
      <w:tr>
        <w:trPr>
          <w:trHeight w:val="238"/>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20"/>
                <w:szCs w:val="20"/>
                <w:color w:val="auto"/>
              </w:rPr>
            </w:pPr>
          </w:p>
        </w:tc>
      </w:tr>
      <w:tr>
        <w:trPr>
          <w:trHeight w:val="243"/>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674"/>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4"/>
                <w:szCs w:val="24"/>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r>
      <w:tr>
        <w:trPr>
          <w:trHeight w:val="458"/>
        </w:trPr>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(31.4 )</w:t>
            </w:r>
          </w:p>
        </w:tc>
        <w:tc>
          <w:tcPr>
            <w:tcW w:w="300" w:type="dxa"/>
            <w:vAlign w:val="bottom"/>
          </w:tcPr>
          <w:p>
            <w:pPr>
              <w:spacing w:after="0"/>
              <w:rPr>
                <w:sz w:val="24"/>
                <w:szCs w:val="24"/>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43"/>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(13.4 )</w:t>
            </w:r>
          </w:p>
        </w:tc>
        <w:tc>
          <w:tcPr>
            <w:tcW w:w="580" w:type="dxa"/>
            <w:vAlign w:val="bottom"/>
          </w:tcPr>
          <w:p>
            <w:pPr>
              <w:spacing w:after="0"/>
              <w:rPr>
                <w:sz w:val="21"/>
                <w:szCs w:val="21"/>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50"/>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tcPr>
          <w:p>
            <w:pPr>
              <w:spacing w:after="0"/>
              <w:rPr>
                <w:sz w:val="21"/>
                <w:szCs w:val="21"/>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21"/>
                <w:szCs w:val="21"/>
                <w:color w:val="auto"/>
              </w:rPr>
            </w:pPr>
          </w:p>
        </w:tc>
      </w:tr>
      <w:tr>
        <w:trPr>
          <w:trHeight w:val="234"/>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931.7</w:t>
            </w: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60" w:type="dxa"/>
            <w:vAlign w:val="bottom"/>
          </w:tcPr>
          <w:p>
            <w:pPr>
              <w:spacing w:after="0"/>
              <w:rPr>
                <w:sz w:val="20"/>
                <w:szCs w:val="20"/>
                <w:color w:val="auto"/>
              </w:rPr>
            </w:pPr>
          </w:p>
        </w:tc>
      </w:tr>
      <w:tr>
        <w:trPr>
          <w:trHeight w:val="238"/>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0"/>
                <w:szCs w:val="20"/>
                <w:color w:val="auto"/>
              </w:rPr>
            </w:pPr>
          </w:p>
        </w:tc>
      </w:tr>
      <w:tr>
        <w:trPr>
          <w:trHeight w:val="243"/>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1"/>
                <w:szCs w:val="21"/>
                <w:color w:val="auto"/>
              </w:rPr>
            </w:pPr>
          </w:p>
        </w:tc>
      </w:tr>
      <w:tr>
        <w:trPr>
          <w:trHeight w:val="674"/>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24"/>
                <w:szCs w:val="24"/>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4"/>
                <w:szCs w:val="24"/>
                <w:color w:val="auto"/>
              </w:rPr>
            </w:pPr>
          </w:p>
        </w:tc>
      </w:tr>
      <w:tr>
        <w:trPr>
          <w:trHeight w:val="458"/>
        </w:trPr>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(17.7 )</w:t>
            </w:r>
          </w:p>
        </w:tc>
        <w:tc>
          <w:tcPr>
            <w:tcW w:w="300" w:type="dxa"/>
            <w:vAlign w:val="bottom"/>
          </w:tcPr>
          <w:p>
            <w:pPr>
              <w:spacing w:after="0"/>
              <w:rPr>
                <w:sz w:val="24"/>
                <w:szCs w:val="24"/>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43"/>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(61.1 )</w:t>
            </w:r>
          </w:p>
        </w:tc>
        <w:tc>
          <w:tcPr>
            <w:tcW w:w="580" w:type="dxa"/>
            <w:vAlign w:val="bottom"/>
          </w:tcPr>
          <w:p>
            <w:pPr>
              <w:spacing w:after="0"/>
              <w:rPr>
                <w:sz w:val="21"/>
                <w:szCs w:val="21"/>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50"/>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tcPr>
          <w:p>
            <w:pPr>
              <w:spacing w:after="0"/>
              <w:rPr>
                <w:sz w:val="21"/>
                <w:szCs w:val="21"/>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21"/>
                <w:szCs w:val="21"/>
                <w:color w:val="auto"/>
              </w:rPr>
            </w:pPr>
          </w:p>
        </w:tc>
      </w:tr>
      <w:tr>
        <w:trPr>
          <w:trHeight w:val="238"/>
        </w:trPr>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945.7</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60" w:type="dxa"/>
            <w:vAlign w:val="bottom"/>
          </w:tcPr>
          <w:p>
            <w:pPr>
              <w:spacing w:after="0"/>
              <w:rPr>
                <w:sz w:val="20"/>
                <w:szCs w:val="20"/>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-3176270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-2867660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-2285365</wp:posOffset>
            </wp:positionV>
            <wp:extent cx="7132320" cy="290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-1840230</wp:posOffset>
            </wp:positionV>
            <wp:extent cx="7132320" cy="471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-1215390</wp:posOffset>
            </wp:positionV>
            <wp:extent cx="7132320" cy="427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-495935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-187960</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860" w:space="480"/>
            <w:col w:w="5840"/>
          </w:cols>
          <w:pgMar w:left="340" w:top="333" w:right="3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3" w:right="37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Pr>
          <w:p>
            <w:pPr>
              <w:spacing w:after="0"/>
              <w:rPr>
                <w:sz w:val="21"/>
                <w:szCs w:val="21"/>
                <w:color w:val="auto"/>
              </w:rPr>
            </w:pPr>
          </w:p>
        </w:tc>
        <w:tc>
          <w:tcPr>
            <w:tcW w:w="22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45"/>
        </w:trPr>
        <w:tc>
          <w:tcPr>
            <w:tcW w:w="228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1"/>
                <w:szCs w:val="21"/>
                <w:color w:val="auto"/>
              </w:rPr>
            </w:pPr>
          </w:p>
        </w:tc>
        <w:tc>
          <w:tcPr>
            <w:tcW w:w="11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66,963,006</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shd w:val="clear" w:color="auto" w:fill="CFF0FC"/>
          </w:tcPr>
          <w:p>
            <w:pPr>
              <w:spacing w:after="0"/>
              <w:rPr>
                <w:sz w:val="21"/>
                <w:szCs w:val="21"/>
                <w:color w:val="auto"/>
              </w:rPr>
            </w:pPr>
          </w:p>
        </w:tc>
      </w:tr>
      <w:tr>
        <w:trPr>
          <w:trHeight w:val="23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r>
      <w:tr>
        <w:trPr>
          <w:trHeight w:val="247"/>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share-based award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384,866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1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taxes for deferred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(27.7 )</w:t>
            </w:r>
          </w:p>
        </w:tc>
      </w:tr>
      <w:tr>
        <w:trPr>
          <w:trHeight w:val="21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convertible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(518.2 )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56"/>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67,347,872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(694.5 )</w:t>
            </w:r>
          </w:p>
        </w:tc>
        <w:tc>
          <w:tcPr>
            <w:tcW w:w="120" w:type="dxa"/>
            <w:vAlign w:val="bottom"/>
          </w:tcPr>
          <w:p>
            <w:pPr>
              <w:spacing w:after="0"/>
              <w:rPr>
                <w:sz w:val="19"/>
                <w:szCs w:val="19"/>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tcPr>
          <w:p>
            <w:pPr>
              <w:spacing w:after="0"/>
              <w:rPr>
                <w:sz w:val="19"/>
                <w:szCs w:val="19"/>
                <w:color w:val="auto"/>
              </w:rPr>
            </w:pPr>
          </w:p>
        </w:tc>
      </w:tr>
      <w:tr>
        <w:trPr>
          <w:trHeight w:val="251"/>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21"/>
                <w:szCs w:val="21"/>
                <w:color w:val="auto"/>
              </w:rPr>
            </w:pPr>
          </w:p>
        </w:tc>
      </w:tr>
      <w:tr>
        <w:trPr>
          <w:trHeight w:val="23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15"/>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 share-based award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plans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295,796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21"/>
                <w:szCs w:val="21"/>
                <w:color w:val="auto"/>
              </w:rPr>
            </w:pPr>
          </w:p>
        </w:tc>
      </w:tr>
      <w:tr>
        <w:trPr>
          <w:trHeight w:val="21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taxes for deferred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(35.8 )</w:t>
            </w:r>
          </w:p>
        </w:tc>
      </w:tr>
      <w:tr>
        <w:trPr>
          <w:trHeight w:val="21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attributable to acquisition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r>
      <w:tr>
        <w:trPr>
          <w:trHeight w:val="276"/>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67,643,668</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-1823085</wp:posOffset>
            </wp:positionV>
            <wp:extent cx="7683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-1823085</wp:posOffset>
            </wp:positionV>
            <wp:extent cx="7683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-1823085</wp:posOffset>
            </wp:positionV>
            <wp:extent cx="685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-1823085</wp:posOffset>
            </wp:positionV>
            <wp:extent cx="685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-1823085</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-1823085</wp:posOffset>
            </wp:positionV>
            <wp:extent cx="6858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77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7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2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costs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Acquired intangibles amortization</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redemption of convertible notes</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(11.0 )</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cost of development services</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inventory excess and obsolescence</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(1.1 )</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investment loss</w:t>
            </w:r>
          </w:p>
        </w:tc>
        <w:tc>
          <w:tcPr>
            <w:tcW w:w="100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remeasurement loss</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(70.9 )</w:t>
            </w:r>
          </w:p>
        </w:tc>
      </w:tr>
      <w:tr>
        <w:trPr>
          <w:trHeight w:val="220"/>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(6.7 )</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(1.7 )</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20"/>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(62.1 )</w:t>
            </w: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compensation</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(54.2 )</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(18.9 )</w:t>
            </w: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Income taxes payable</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(6.6 )</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26"/>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(47.3 )</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Acquisition of businesses, net of cash and cash equivalents acquired</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(15.5 )</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(512.2 )</w:t>
            </w:r>
          </w:p>
        </w:tc>
      </w:tr>
      <w:tr>
        <w:trPr>
          <w:trHeight w:val="22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Receipt of liquidation payment on equity investment</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(0.9 )</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(15.3 )</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 for redemption of convertible notes</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(505.6 )</w:t>
            </w:r>
          </w:p>
        </w:tc>
      </w:tr>
      <w:tr>
        <w:trPr>
          <w:trHeight w:val="22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term loan</w:t>
            </w:r>
          </w:p>
        </w:tc>
        <w:tc>
          <w:tcPr>
            <w:tcW w:w="100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2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shares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Payroll taxes for deferred stock and market stock units</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(49.1 )</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(63.5 )</w:t>
            </w:r>
          </w:p>
        </w:tc>
      </w:tr>
      <w:tr>
        <w:trPr>
          <w:trHeight w:val="22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(74.5 )</w:t>
            </w:r>
          </w:p>
        </w:tc>
        <w:tc>
          <w:tcPr>
            <w:tcW w:w="56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10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(3.0 )</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Refundable deposit paid to vendor</w:t>
            </w:r>
          </w:p>
        </w:tc>
        <w:tc>
          <w:tcPr>
            <w:tcW w:w="100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(16.6 )</w:t>
            </w:r>
          </w:p>
        </w:tc>
      </w:tr>
      <w:tr>
        <w:trPr>
          <w:trHeight w:val="236"/>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Return of deposit received from vendor</w:t>
            </w:r>
          </w:p>
        </w:tc>
        <w:tc>
          <w:tcPr>
            <w:tcW w:w="10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(115.0 )</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0" w:type="dxa"/>
            <w:vAlign w:val="bottom"/>
          </w:tcPr>
          <w:p>
            <w:pPr>
              <w:spacing w:after="0"/>
              <w:rPr>
                <w:sz w:val="18"/>
                <w:szCs w:val="18"/>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(5.2 )</w:t>
            </w: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(333.5 )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transactions</w:t>
            </w:r>
          </w:p>
        </w:tc>
        <w:tc>
          <w:tcPr>
            <w:tcW w:w="10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 current liabilities</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-4293870</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-3112770</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-3112770</wp:posOffset>
            </wp:positionV>
            <wp:extent cx="6858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-1648460</wp:posOffset>
            </wp:positionV>
            <wp:extent cx="6858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-1648460</wp:posOffset>
            </wp:positionV>
            <wp:extent cx="6858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-1339850</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-1339850</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-1040130</wp:posOffset>
            </wp:positionV>
            <wp:extent cx="685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-1040130</wp:posOffset>
            </wp:positionV>
            <wp:extent cx="685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749" w:gutter="0" w:footer="0" w:header="0"/>
        </w:sectPr>
      </w:pPr>
    </w:p>
    <w:bookmarkStart w:id="8" w:name="page9"/>
    <w:bookmarkEnd w:id="8"/>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25, 2022.</w:t>
      </w:r>
    </w:p>
    <w:p>
      <w:pPr>
        <w:spacing w:after="0" w:line="187"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17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Our fiscal 2023 and 2022 are 52-week periods ending June 24, 2023 and June 25, 2022, respectively. The fiscal periods presented in this report are 13-week periods ended December 24, 2022, and December 25, 2021,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 October 25, 2022, we acquired all of the outstanding shares of Emza Visual Sense Ltd., or Emza. Our condensed consolidated financial statements include the operating results of Emza for the period from the date of the closing of the acquisition through the second quarter of fiscal year 2023. We have applied the acquisition method of accounting in accordance with ASC 805 Business Combinations to account for this transaction. Refer to “Note 4. Acquisitions” for further discussion of the transaction.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 Pending Adoption</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Acquired Contract Assets and Contract Liabilities” which improves comparability for both the recognition and measurement of acquired revenue contracts with customers at the date of and after a business combination by providing consistent recognition guidance. This standard is effective for fiscal years beginning after December 15, 2022.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We are currently evaluating the timing of adoption and impact, if any, of this new standard on our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98"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account for revenue using Accounting Standards Codification Topic 606, or ASC 606, Revenue from Contracts with Customers.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w:t>
      </w:r>
    </w:p>
    <w:p>
      <w:pPr>
        <w:spacing w:after="0" w:line="182"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customers. To date, there have been no material bad debt charges recorded on accounts receivable. There were $1.3 million and $1.2 million in contract assets recorded on our condensed consolidated balance sheets as of December 2022 and June 2022, respectively. Contract assets are presented as part of prepaid expenses and other current assets.</w:t>
      </w:r>
    </w:p>
    <w:p>
      <w:pPr>
        <w:spacing w:after="0" w:line="182" w:lineRule="exact"/>
        <w:rPr>
          <w:sz w:val="20"/>
          <w:szCs w:val="20"/>
          <w:color w:val="auto"/>
        </w:rPr>
      </w:pPr>
    </w:p>
    <w:p>
      <w:pPr>
        <w:ind w:right="400" w:firstLine="509"/>
        <w:spacing w:after="0" w:line="260" w:lineRule="auto"/>
        <w:rPr>
          <w:sz w:val="20"/>
          <w:szCs w:val="20"/>
          <w:color w:val="auto"/>
        </w:rPr>
      </w:pPr>
      <w:r>
        <w:rPr>
          <w:rFonts w:ascii="Times New Roman" w:cs="Times New Roman" w:eastAsia="Times New Roman" w:hAnsi="Times New Roman"/>
          <w:sz w:val="18"/>
          <w:szCs w:val="18"/>
          <w:color w:val="auto"/>
        </w:rPr>
        <w:t>Contract liabilities and refund liabilities were $27.3 million and $40.8 million, respectively, as of December 2022 and $27.3 million and $61.3 million, respectively, as of June 2022. Both contract liabilities and refund liabilities are presented as customer obligations in Note 10 Balance Sheet Components. During the six months ended December 2022 and December 2021, we recognized $2.8 million and $3.3 million, respectively, in revenue related to contract liabilities, which was outstanding as of the beginning of each such fiscal year.</w:t>
      </w:r>
    </w:p>
    <w:p>
      <w:pPr>
        <w:spacing w:after="0" w:line="182"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Revenue from contracts with customers disaggregated by geographic area based on customer location and product category is presented in Note 15 Segment, Customers, and Geographical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 of basic and diluted net income per share was as follows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7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50"/>
        </w:trPr>
        <w:tc>
          <w:tcPr>
            <w:tcW w:w="51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December</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3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basic</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r>
      <w:tr>
        <w:trPr>
          <w:trHeight w:val="247"/>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share-based awards and convertible notes</w:t>
            </w:r>
          </w:p>
        </w:tc>
        <w:tc>
          <w:tcPr>
            <w:tcW w:w="9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diluted</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tcPr>
          <w:p>
            <w:pPr>
              <w:spacing w:after="0"/>
              <w:rPr>
                <w:sz w:val="21"/>
                <w:szCs w:val="21"/>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-701675</wp:posOffset>
            </wp:positionV>
            <wp:extent cx="7683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-701675</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-701675</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 which were settled in August 2021.</w:t>
      </w:r>
    </w:p>
    <w:p>
      <w:pPr>
        <w:spacing w:after="0" w:line="18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Dilutive net income per share amounts do not include the potential weighted average effect of 1,092,428 and 12,987 shares of common stock related to certain share-based awards that were outstanding during the three months ended December 2022 and December 2021, respectively, and 640,047 and 10,209 shares of common stock related to certain share-based awards that were outstanding during six months ended December 2022 and December 2021, respectively. These share-based awards were not included in the computation of diluted net income per share because their effect would have been antidilutive.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9" w:lineRule="exact"/>
        <w:rPr>
          <w:sz w:val="20"/>
          <w:szCs w:val="20"/>
          <w:color w:val="auto"/>
        </w:rPr>
      </w:pPr>
    </w:p>
    <w:p>
      <w:pPr>
        <w:ind w:right="440" w:firstLine="509"/>
        <w:spacing w:after="0" w:line="265" w:lineRule="auto"/>
        <w:rPr>
          <w:sz w:val="20"/>
          <w:szCs w:val="20"/>
          <w:color w:val="auto"/>
        </w:rPr>
      </w:pPr>
      <w:r>
        <w:rPr>
          <w:rFonts w:ascii="Times New Roman" w:cs="Times New Roman" w:eastAsia="Times New Roman" w:hAnsi="Times New Roman"/>
          <w:sz w:val="18"/>
          <w:szCs w:val="18"/>
          <w:color w:val="auto"/>
        </w:rPr>
        <w:t>On October 25, 2022, we acquired all of the outstanding shares of Emza, a developer of ultra-low-power artificial intelligence visual sensing solutions, for total purchase consideration of $15.8 million. The purchase price was attributed to $0.3 million cash acquired, $8.0 million of intangible assets, $9.8 million of goodwill and $2.3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192" w:lineRule="exact"/>
        <w:rPr>
          <w:sz w:val="20"/>
          <w:szCs w:val="20"/>
          <w:color w:val="auto"/>
        </w:rPr>
      </w:pPr>
    </w:p>
    <w:p>
      <w:pPr>
        <w:jc w:val="both"/>
        <w:ind w:right="100" w:firstLine="45"/>
        <w:spacing w:after="0" w:line="255" w:lineRule="auto"/>
        <w:rPr>
          <w:sz w:val="20"/>
          <w:szCs w:val="20"/>
          <w:color w:val="auto"/>
        </w:rPr>
      </w:pPr>
      <w:r>
        <w:rPr>
          <w:rFonts w:ascii="Times New Roman" w:cs="Times New Roman" w:eastAsia="Times New Roman" w:hAnsi="Times New Roman"/>
          <w:sz w:val="18"/>
          <w:szCs w:val="18"/>
          <w:color w:val="auto"/>
        </w:rPr>
        <w:t>million net liabilities assumed. We will continue to evaluate certain assets, liabilities and tax estimates over the measurement period (up to one year from the acquisition date). Goodwill recognized from the acquisition of Emza is not deductible for income tax purposes. Pro forma results of operations for this acquisition has not been presented because they are not material to our consolidated results of operations, either individually or in the aggregate.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are stated at the lower of cost (first-in, first-out method) or net realizable value and consisted of the following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June</w:t>
            </w:r>
          </w:p>
        </w:tc>
        <w:tc>
          <w:tcPr>
            <w:tcW w:w="80" w:type="dxa"/>
            <w:vAlign w:val="bottom"/>
          </w:tcPr>
          <w:p>
            <w:pPr>
              <w:spacing w:after="0"/>
              <w:rPr>
                <w:sz w:val="20"/>
                <w:szCs w:val="20"/>
                <w:color w:val="auto"/>
              </w:rPr>
            </w:pPr>
          </w:p>
        </w:tc>
      </w:tr>
      <w:tr>
        <w:trPr>
          <w:trHeight w:val="250"/>
        </w:trPr>
        <w:tc>
          <w:tcPr>
            <w:tcW w:w="5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work-in-progress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21"/>
                <w:szCs w:val="21"/>
                <w:color w:val="auto"/>
              </w:rPr>
            </w:pPr>
          </w:p>
        </w:tc>
      </w:tr>
      <w:tr>
        <w:trPr>
          <w:trHeight w:val="272"/>
        </w:trPr>
        <w:tc>
          <w:tcPr>
            <w:tcW w:w="50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Cash Equivalents and Short-Term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The following table summarizes our cash, cash equivalents and short-term investments by category at December 2022 and June 2022 (in millions):</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December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Gross unrealized gain</w:t>
            </w: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Amortized Cost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20"/>
                <w:szCs w:val="20"/>
                <w:color w:val="auto"/>
              </w:rPr>
            </w:pPr>
          </w:p>
        </w:tc>
      </w:tr>
      <w:tr>
        <w:trPr>
          <w:trHeight w:val="247"/>
        </w:trPr>
        <w:tc>
          <w:tcPr>
            <w:tcW w:w="5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(1.6 )</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FF0FC"/>
          </w:tcPr>
          <w:p>
            <w:pPr>
              <w:spacing w:after="0"/>
              <w:rPr>
                <w:sz w:val="21"/>
                <w:szCs w:val="2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r>
      <w:tr>
        <w:trPr>
          <w:trHeight w:val="276"/>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8"/>
        </w:trPr>
        <w:tc>
          <w:tcPr>
            <w:tcW w:w="5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June 2022</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unrealized gain</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Amortized Cost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4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(1.9 )</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r>
      <w:tr>
        <w:trPr>
          <w:trHeight w:val="276"/>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54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-3672840</wp:posOffset>
            </wp:positionV>
            <wp:extent cx="7683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-3672840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-3672840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-2705100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-2687955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-2705100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-2687955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-1480820</wp:posOffset>
            </wp:positionV>
            <wp:extent cx="7683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-1480820</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-513080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-495935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-513080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-495935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346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classifies our short-term investments by contractual maturities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December 2022</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2022</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40" w:type="dxa"/>
            <w:vAlign w:val="bottom"/>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shd w:val="clear" w:color="auto" w:fill="CFF0FC"/>
          </w:tcPr>
          <w:p>
            <w:pPr>
              <w:spacing w:after="0"/>
              <w:rPr>
                <w:sz w:val="20"/>
                <w:szCs w:val="20"/>
                <w:color w:val="auto"/>
              </w:rPr>
            </w:pPr>
          </w:p>
        </w:tc>
      </w:tr>
      <w:tr>
        <w:trPr>
          <w:trHeight w:val="23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Due within 1 year</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top w:val="single" w:sz="8" w:color="CFF0FC"/>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18.2</w:t>
            </w:r>
          </w:p>
        </w:tc>
        <w:tc>
          <w:tcPr>
            <w:tcW w:w="100" w:type="dxa"/>
            <w:vAlign w:val="bottom"/>
            <w:tcBorders>
              <w:top w:val="single" w:sz="8" w:color="CFF0FC"/>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FF0FC"/>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FF0FC"/>
            </w:tcBorders>
          </w:tcPr>
          <w:p>
            <w:pPr>
              <w:spacing w:after="0"/>
              <w:rPr>
                <w:sz w:val="20"/>
                <w:szCs w:val="20"/>
                <w:color w:val="auto"/>
              </w:rPr>
            </w:pPr>
          </w:p>
        </w:tc>
      </w:tr>
      <w:tr>
        <w:trPr>
          <w:trHeight w:val="247"/>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between 1 year to 5 years</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21.9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5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0"/>
                <w:szCs w:val="20"/>
                <w:color w:val="auto"/>
              </w:rPr>
            </w:pPr>
          </w:p>
        </w:tc>
        <w:tc>
          <w:tcPr>
            <w:tcW w:w="13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40.1</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-504825</wp:posOffset>
            </wp:positionV>
            <wp:extent cx="76835"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-504825</wp:posOffset>
            </wp:positionV>
            <wp:extent cx="685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-504825</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-187960</wp:posOffset>
            </wp:positionV>
            <wp:extent cx="7683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7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unadjusted quoted prices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2022 and June 2022, financial assets measured at fair value on a recurring basis are summarized below (in millions):</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December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 (1)</w:t>
            </w:r>
          </w:p>
        </w:tc>
        <w:tc>
          <w:tcPr>
            <w:tcW w:w="100" w:type="dxa"/>
            <w:vAlign w:val="bottom"/>
          </w:tcPr>
          <w:p>
            <w:pPr>
              <w:spacing w:after="0"/>
              <w:rPr>
                <w:sz w:val="21"/>
                <w:szCs w:val="21"/>
                <w:color w:val="auto"/>
              </w:rPr>
            </w:pPr>
          </w:p>
        </w:tc>
      </w:tr>
      <w:tr>
        <w:trPr>
          <w:trHeight w:val="24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440.0</w:t>
            </w:r>
          </w:p>
        </w:tc>
        <w:tc>
          <w:tcPr>
            <w:tcW w:w="4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FF0FC"/>
          </w:tcPr>
          <w:p>
            <w:pPr>
              <w:spacing w:after="0"/>
              <w:rPr>
                <w:sz w:val="21"/>
                <w:szCs w:val="21"/>
                <w:color w:val="auto"/>
              </w:rPr>
            </w:pPr>
          </w:p>
        </w:tc>
      </w:tr>
      <w:tr>
        <w:trPr>
          <w:trHeight w:val="238"/>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r>
      <w:tr>
        <w:trPr>
          <w:trHeight w:val="23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Excludes $321.5 million in cash held in our bank accounts as of December 2022.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June 2022</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 (1)</w:t>
            </w:r>
          </w:p>
        </w:tc>
        <w:tc>
          <w:tcPr>
            <w:tcW w:w="100" w:type="dxa"/>
            <w:vAlign w:val="bottom"/>
          </w:tcPr>
          <w:p>
            <w:pPr>
              <w:spacing w:after="0"/>
              <w:rPr>
                <w:sz w:val="20"/>
                <w:szCs w:val="20"/>
                <w:color w:val="auto"/>
              </w:rPr>
            </w:pP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0"/>
                <w:szCs w:val="20"/>
                <w:color w:val="auto"/>
              </w:rPr>
            </w:pPr>
          </w:p>
        </w:tc>
        <w:tc>
          <w:tcPr>
            <w:tcW w:w="4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$811.9 million in cash held in our bank accounts as of June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33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report our financial instruments at fair value with the exception of the Senior Notes and Term Loan Facility, as defined in Note 12 Debt. The estimated fair value of the Senior Notes and Term Loan Facility was determined based on the trading price of the Senior Notes and Term Loan Facility as of the last day of trading for the period. We consider the fair value of the Senior Notes and Term Loan Facility to be a Level 2 measurement as they are not actively traded in markets.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estimated fair values of the Senior Notes and Term Loan Facility are as follows for the periods presented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December 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7"/>
              </w:rPr>
              <w:t>June 2022</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Estimated Fair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Carrying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Estimated Fair</w:t>
            </w:r>
          </w:p>
        </w:tc>
        <w:tc>
          <w:tcPr>
            <w:tcW w:w="100" w:type="dxa"/>
            <w:vAlign w:val="bottom"/>
          </w:tcPr>
          <w:p>
            <w:pPr>
              <w:spacing w:after="0"/>
              <w:rPr>
                <w:sz w:val="18"/>
                <w:szCs w:val="18"/>
                <w:color w:val="auto"/>
              </w:rPr>
            </w:pPr>
          </w:p>
        </w:tc>
      </w:tr>
      <w:tr>
        <w:trPr>
          <w:trHeight w:val="241"/>
        </w:trPr>
        <w:tc>
          <w:tcPr>
            <w:tcW w:w="5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FF0FC"/>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 due 2028</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21"/>
                <w:szCs w:val="21"/>
                <w:color w:val="auto"/>
              </w:rPr>
            </w:pPr>
          </w:p>
        </w:tc>
      </w:tr>
      <w:tr>
        <w:trPr>
          <w:trHeight w:val="272"/>
        </w:trPr>
        <w:tc>
          <w:tcPr>
            <w:tcW w:w="55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Acquired Intangibles and 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represents the change in our goodwill balance for the six and twelve month periods ended December 2022 and June 2022, respectively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December 2022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2022</w:t>
            </w:r>
          </w:p>
        </w:tc>
        <w:tc>
          <w:tcPr>
            <w:tcW w:w="100" w:type="dxa"/>
            <w:vAlign w:val="bottom"/>
          </w:tcPr>
          <w:p>
            <w:pPr>
              <w:spacing w:after="0"/>
              <w:rPr>
                <w:sz w:val="20"/>
                <w:szCs w:val="20"/>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activity</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21"/>
                <w:szCs w:val="21"/>
                <w:color w:val="auto"/>
              </w:rPr>
            </w:pPr>
          </w:p>
        </w:tc>
      </w:tr>
      <w:tr>
        <w:trPr>
          <w:trHeight w:val="276"/>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Intangibles</w:t>
      </w:r>
    </w:p>
    <w:p>
      <w:pPr>
        <w:spacing w:after="0" w:line="11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life, the gross carrying value and the related accumulated amortization of our acquired intangible assets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color w:val="auto"/>
              </w:rPr>
              <w:t>December 2022</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4"/>
                <w:szCs w:val="14"/>
                <w:color w:val="auto"/>
              </w:rPr>
              <w:t>June 2022</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1"/>
                <w:szCs w:val="11"/>
                <w:color w:val="auto"/>
              </w:rPr>
            </w:pPr>
          </w:p>
        </w:tc>
        <w:tc>
          <w:tcPr>
            <w:tcW w:w="88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color w:val="auto"/>
              </w:rPr>
              <w:t>Net Carrying</w:t>
            </w:r>
          </w:p>
        </w:tc>
        <w:tc>
          <w:tcPr>
            <w:tcW w:w="1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Gross Carrying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1"/>
                <w:szCs w:val="11"/>
                <w:color w:val="auto"/>
              </w:rPr>
            </w:pPr>
          </w:p>
        </w:tc>
        <w:tc>
          <w:tcPr>
            <w:tcW w:w="8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Life in Years</w:t>
            </w:r>
          </w:p>
        </w:tc>
        <w:tc>
          <w:tcPr>
            <w:tcW w:w="22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color w:val="auto"/>
              </w:rPr>
              <w:t>Value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color w:val="auto"/>
              </w:rPr>
              <w:t>Value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Pr>
          <w:p>
            <w:pPr>
              <w:spacing w:after="0"/>
              <w:rPr>
                <w:sz w:val="16"/>
                <w:szCs w:val="16"/>
                <w:color w:val="auto"/>
              </w:rPr>
            </w:pPr>
          </w:p>
        </w:tc>
        <w:tc>
          <w:tcPr>
            <w:tcW w:w="860" w:type="dxa"/>
            <w:vAlign w:val="bottom"/>
          </w:tcPr>
          <w:p>
            <w:pPr>
              <w:jc w:val="right"/>
              <w:ind w:right="241"/>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Audio and video technology</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(101.4 )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(99.7 )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Wireless connectivity technology</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(33.8 )</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Video interface technology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(66.0 )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(52.4 )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Human presence detection technology</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Licensed technology and other</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6"/>
                <w:szCs w:val="16"/>
                <w:color w:val="auto"/>
                <w:w w:val="99"/>
              </w:rPr>
              <w:t>Not</w:t>
            </w:r>
          </w:p>
        </w:tc>
        <w:tc>
          <w:tcPr>
            <w:tcW w:w="2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 process research and development</w:t>
            </w:r>
          </w:p>
        </w:tc>
        <w:tc>
          <w:tcPr>
            <w:tcW w:w="1160" w:type="dxa"/>
            <w:vAlign w:val="bottom"/>
            <w:tcBorders>
              <w:bottom w:val="single" w:sz="8" w:color="CFF0FC"/>
            </w:tcBorders>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6"/>
                <w:szCs w:val="16"/>
                <w:color w:val="auto"/>
              </w:rPr>
              <w:t>applicable</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vMerge w:val="continue"/>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vMerge w:val="continue"/>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Acquired intangibles totals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(359.6 )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(309.7 )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-179070</wp:posOffset>
            </wp:positionV>
            <wp:extent cx="7683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-179070</wp:posOffset>
            </wp:positionV>
            <wp:extent cx="7683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-179070</wp:posOffset>
            </wp:positionV>
            <wp:extent cx="6858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-179070</wp:posOffset>
            </wp:positionV>
            <wp:extent cx="6858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-179070</wp:posOffset>
            </wp:positionV>
            <wp:extent cx="6858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total amortization expense for the acquired intangible assets was $32.2 million and $29.2 million for the three months ended December 2022 December 2021, respectively, and $65.2 million and 54.4 million for the six months ended December 2022 and December 2021, respectively.</w:t>
      </w:r>
    </w:p>
    <w:p>
      <w:pPr>
        <w:spacing w:after="0" w:line="55"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December 2022 and December 2021, $23.3 million and $19.9 million, respectively, and $46.8 million and $36.8 million for the six months ended December 2022 and December 2021, respectively, of amortization expense was included in our condensed consolidated statements of income in cost of revenue; the remainder was included in acquired intangibles amortization.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2034, some of which include options to extend the lease for up to seven years. For the six months ended December 2022 and December 2021, we recorded approximately $6.3 million and $5.7 million, respectively, of operating leases expense. Our short-term leases are immaterial.</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2022 and June 2022, the components of leases are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June</w:t>
            </w:r>
          </w:p>
        </w:tc>
        <w:tc>
          <w:tcPr>
            <w:tcW w:w="80" w:type="dxa"/>
            <w:vAlign w:val="bottom"/>
          </w:tcPr>
          <w:p>
            <w:pPr>
              <w:spacing w:after="0"/>
              <w:rPr>
                <w:sz w:val="20"/>
                <w:szCs w:val="20"/>
                <w:color w:val="auto"/>
              </w:rPr>
            </w:pPr>
          </w:p>
        </w:tc>
      </w:tr>
      <w:tr>
        <w:trPr>
          <w:trHeight w:val="250"/>
        </w:trPr>
        <w:tc>
          <w:tcPr>
            <w:tcW w:w="5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r>
      <w:tr>
        <w:trPr>
          <w:trHeight w:val="28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r>
      <w:tr>
        <w:trPr>
          <w:trHeight w:val="247"/>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-521970</wp:posOffset>
            </wp:positionV>
            <wp:extent cx="96774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67740" cy="17970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-187960</wp:posOffset>
            </wp:positionV>
            <wp:extent cx="5143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including from acquisitions, is as follows (in millions):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4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9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December</w:t>
            </w:r>
          </w:p>
        </w:tc>
        <w:tc>
          <w:tcPr>
            <w:tcW w:w="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20"/>
                <w:szCs w:val="20"/>
                <w:color w:val="auto"/>
              </w:rPr>
            </w:pPr>
          </w:p>
        </w:tc>
      </w:tr>
      <w:tr>
        <w:trPr>
          <w:trHeight w:val="211"/>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obtaining right-of-use assets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0"/>
                <w:szCs w:val="20"/>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2022, the weighted average remaining lease term is 7.5 years, and the weighted average discount rate is 5.1%.</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for the operating lease liabilities are as follows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43"/>
        </w:trPr>
        <w:tc>
          <w:tcPr>
            <w:tcW w:w="17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50"/>
        </w:trPr>
        <w:tc>
          <w:tcPr>
            <w:tcW w:w="170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Payments</w:t>
            </w:r>
          </w:p>
        </w:tc>
      </w:tr>
      <w:tr>
        <w:trPr>
          <w:trHeight w:val="243"/>
        </w:trPr>
        <w:tc>
          <w:tcPr>
            <w:tcW w:w="1700" w:type="dxa"/>
            <w:vAlign w:val="bottom"/>
          </w:tcPr>
          <w:p>
            <w:pPr>
              <w:spacing w:after="0"/>
              <w:rPr>
                <w:sz w:val="21"/>
                <w:szCs w:val="21"/>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24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2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680" w:type="dxa"/>
            <w:vAlign w:val="bottom"/>
          </w:tcPr>
          <w:p>
            <w:pPr>
              <w:spacing w:after="0"/>
              <w:rPr>
                <w:sz w:val="21"/>
                <w:szCs w:val="21"/>
                <w:color w:val="auto"/>
              </w:rPr>
            </w:pPr>
          </w:p>
        </w:tc>
      </w:tr>
      <w:tr>
        <w:trPr>
          <w:trHeight w:val="276"/>
        </w:trPr>
        <w:tc>
          <w:tcPr>
            <w:tcW w:w="1700" w:type="dxa"/>
            <w:vAlign w:val="bottom"/>
          </w:tcPr>
          <w:p>
            <w:pPr>
              <w:spacing w:after="0"/>
              <w:rPr>
                <w:sz w:val="24"/>
                <w:szCs w:val="24"/>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580" w:type="dxa"/>
            <w:vAlign w:val="bottom"/>
            <w:tcBorders>
              <w:bottom w:val="single" w:sz="8" w:color="CFF0FC"/>
            </w:tcBorders>
            <w:gridSpan w:val="2"/>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8"/>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-521970</wp:posOffset>
            </wp:positionV>
            <wp:extent cx="425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Balance Sheet Components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Accounts receivable, net, consisted of the following (in millions):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December</w:t>
            </w:r>
          </w:p>
        </w:tc>
        <w:tc>
          <w:tcPr>
            <w:tcW w:w="280" w:type="dxa"/>
            <w:vAlign w:val="bottom"/>
          </w:tcPr>
          <w:p>
            <w:pPr>
              <w:spacing w:after="0"/>
              <w:rPr>
                <w:sz w:val="24"/>
                <w:szCs w:val="24"/>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70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0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millions):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6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December</w:t>
            </w:r>
          </w:p>
        </w:tc>
        <w:tc>
          <w:tcPr>
            <w:tcW w:w="28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obligations</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Inventory obligations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700" w:type="dxa"/>
            <w:vAlign w:val="bottom"/>
          </w:tcPr>
          <w:p>
            <w:pPr>
              <w:spacing w:after="0"/>
              <w:rPr>
                <w:sz w:val="23"/>
                <w:szCs w:val="23"/>
                <w:color w:val="auto"/>
              </w:rPr>
            </w:pPr>
          </w:p>
        </w:tc>
        <w:tc>
          <w:tcPr>
            <w:tcW w:w="50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67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millions):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December</w:t>
            </w:r>
          </w:p>
        </w:tc>
        <w:tc>
          <w:tcPr>
            <w:tcW w:w="28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 long-term</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700" w:type="dxa"/>
            <w:vAlign w:val="bottom"/>
          </w:tcPr>
          <w:p>
            <w:pPr>
              <w:spacing w:after="0"/>
              <w:rPr>
                <w:sz w:val="23"/>
                <w:szCs w:val="23"/>
                <w:color w:val="auto"/>
              </w:rPr>
            </w:pPr>
          </w:p>
        </w:tc>
        <w:tc>
          <w:tcPr>
            <w:tcW w:w="50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-3347085</wp:posOffset>
            </wp:positionV>
            <wp:extent cx="5143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-3347085</wp:posOffset>
            </wp:positionV>
            <wp:extent cx="4254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-1583690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-1566545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-1583690</wp:posOffset>
            </wp:positionV>
            <wp:extent cx="425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-1566545</wp:posOffset>
            </wp:positionV>
            <wp:extent cx="425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-24765</wp:posOffset>
            </wp:positionV>
            <wp:extent cx="96774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67740" cy="1797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Indemnifications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55" w:lineRule="exact"/>
        <w:rPr>
          <w:sz w:val="20"/>
          <w:szCs w:val="20"/>
          <w:color w:val="auto"/>
        </w:rPr>
      </w:pPr>
    </w:p>
    <w:p>
      <w:pPr>
        <w:ind w:right="340" w:firstLine="509"/>
        <w:spacing w:after="0" w:line="312" w:lineRule="auto"/>
        <w:rPr>
          <w:sz w:val="20"/>
          <w:szCs w:val="20"/>
          <w:color w:val="auto"/>
        </w:rPr>
      </w:pPr>
      <w:r>
        <w:rPr>
          <w:rFonts w:ascii="Times New Roman" w:cs="Times New Roman" w:eastAsia="Times New Roman" w:hAnsi="Times New Roman"/>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ectPr>
          <w:pgSz w:w="11900" w:h="16838" w:orient="portrait"/>
          <w:cols w:equalWidth="0" w:num="1">
            <w:col w:w="11220"/>
          </w:cols>
          <w:pgMar w:left="320" w:top="117" w:right="35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5" w:name="page16"/>
    <w:bookmarkEnd w:id="15"/>
    <w:p>
      <w:pPr>
        <w:jc w:val="cente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55"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On or after June 15, 2024, we may redeem some or all of the Senior Notes at the redemption prices specified below, plus accrued and unpaid interest, if any, up to, but excluding, the redemption date:</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60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18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Price</w:t>
            </w:r>
          </w:p>
        </w:tc>
      </w:tr>
      <w:tr>
        <w:trPr>
          <w:trHeight w:val="234"/>
        </w:trPr>
        <w:tc>
          <w:tcPr>
            <w:tcW w:w="6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-453390</wp:posOffset>
            </wp:positionV>
            <wp:extent cx="499173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-144780</wp:posOffset>
            </wp:positionV>
            <wp:extent cx="499173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83"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81"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74"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 xml:space="preserve">Debt issuance costs relating to the Senior Notes of $5.7 million, netted against the debt amount on the condensed consolidated balance sheet, </w:t>
      </w:r>
      <w:r>
        <w:rPr>
          <w:rFonts w:ascii="Times New Roman" w:cs="Times New Roman" w:eastAsia="Times New Roman" w:hAnsi="Times New Roman"/>
          <w:sz w:val="18"/>
          <w:szCs w:val="18"/>
          <w:color w:val="252525"/>
        </w:rPr>
        <w:t>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amortized as interest expense through the maturity date</w:t>
      </w:r>
      <w:r>
        <w:rPr>
          <w:rFonts w:ascii="Times New Roman" w:cs="Times New Roman" w:eastAsia="Times New Roman" w:hAnsi="Times New Roman"/>
          <w:sz w:val="18"/>
          <w:szCs w:val="18"/>
          <w:color w:val="000000"/>
        </w:rPr>
        <w:t>. The total interest expense recorded on the Senior Notes during the three and six months ended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December 2022 was $4.0 million and $8.0 million, respectively.</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On March 11, 2021, we entered into a Second Amended and Restated Credit Agreement, with the lenders party thereto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jc w:val="cente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Credit Agreement provides for a revolving credit facility in a principal amount of up to $250 million, which includes a $20 million sublimit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and a $25 million sublimit for swingline loans. Under the terms of the Credit Agreement, we may, subject to the satisfaction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request increases in the revolving credit facility commitments in an aggregate principal amount of up to $150 million to the extent existing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lenders agree to provide such increased or additional commitments, as applicable. Future proceeds under the revolving credit facility are available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and general corporate purposes. In March 2021 we used a portion of the proceeds from the Senior Notes described above to repay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million outstanding borrowings on this revolving credit facility. As of December 2022, there was no balance outstanding under the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98" w:lineRule="exact"/>
        <w:rPr>
          <w:sz w:val="20"/>
          <w:szCs w:val="20"/>
          <w:color w:val="auto"/>
        </w:rPr>
      </w:pPr>
    </w:p>
    <w:p>
      <w:pPr>
        <w:ind w:right="20" w:firstLine="464"/>
        <w:spacing w:after="0" w:line="281" w:lineRule="auto"/>
        <w:rPr>
          <w:sz w:val="20"/>
          <w:szCs w:val="20"/>
          <w:color w:val="auto"/>
        </w:rPr>
      </w:pPr>
      <w:r>
        <w:rPr>
          <w:rFonts w:ascii="Times New Roman" w:cs="Times New Roman" w:eastAsia="Times New Roman" w:hAnsi="Times New Roman"/>
          <w:sz w:val="18"/>
          <w:szCs w:val="18"/>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55"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4"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81" w:lineRule="exact"/>
        <w:rPr>
          <w:sz w:val="20"/>
          <w:szCs w:val="20"/>
          <w:color w:val="auto"/>
        </w:rPr>
      </w:pPr>
    </w:p>
    <w:p>
      <w:pPr>
        <w:ind w:firstLine="464"/>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December 2022, we remain in compliance with the restrictive covenants.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74" w:lineRule="exact"/>
        <w:rPr>
          <w:sz w:val="20"/>
          <w:szCs w:val="20"/>
          <w:color w:val="auto"/>
        </w:rPr>
      </w:pPr>
    </w:p>
    <w:p>
      <w:pPr>
        <w:ind w:right="140" w:firstLine="464"/>
        <w:spacing w:after="0" w:line="276" w:lineRule="auto"/>
        <w:rPr>
          <w:sz w:val="20"/>
          <w:szCs w:val="20"/>
          <w:color w:val="auto"/>
        </w:rPr>
      </w:pPr>
      <w:r>
        <w:rPr>
          <w:rFonts w:ascii="Times New Roman" w:cs="Times New Roman" w:eastAsia="Times New Roman" w:hAnsi="Times New Roman"/>
          <w:sz w:val="17"/>
          <w:szCs w:val="17"/>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ind w:right="80" w:firstLine="8"/>
        <w:spacing w:after="0" w:line="255"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77" w:lineRule="exact"/>
        <w:rPr>
          <w:sz w:val="20"/>
          <w:szCs w:val="20"/>
          <w:color w:val="auto"/>
        </w:rPr>
      </w:pPr>
    </w:p>
    <w:p>
      <w:pPr>
        <w:ind w:firstLine="464"/>
        <w:spacing w:after="0" w:line="265" w:lineRule="auto"/>
        <w:rPr>
          <w:sz w:val="20"/>
          <w:szCs w:val="20"/>
          <w:color w:val="auto"/>
        </w:rPr>
      </w:pPr>
      <w:r>
        <w:rPr>
          <w:rFonts w:ascii="Times New Roman" w:cs="Times New Roman" w:eastAsia="Times New Roman" w:hAnsi="Times New Roman"/>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with the fiscal year ending June 30, 2023, an excess cash flow sweep, subject to customary step-downs and thresholds.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right="100" w:firstLine="464"/>
        <w:spacing w:after="0" w:line="265" w:lineRule="auto"/>
        <w:rPr>
          <w:sz w:val="20"/>
          <w:szCs w:val="20"/>
          <w:color w:val="auto"/>
        </w:rPr>
      </w:pPr>
      <w:r>
        <w:rPr>
          <w:rFonts w:ascii="Times New Roman" w:cs="Times New Roman" w:eastAsia="Times New Roman" w:hAnsi="Times New Roman"/>
          <w:sz w:val="18"/>
          <w:szCs w:val="18"/>
          <w:color w:val="auto"/>
        </w:rPr>
        <w:t>Debt issuance costs relating to the Term Loan Facility of $11.2 million, netted against the debt amount on the condensed consolidated balance sheet, are amortized as interest expense over 96 months. The total interest expense recorded on the Term Loan Facility during the three and six months ended December 2022 was $7.7 million and $14.2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119" w:lineRule="exact"/>
        <w:rPr>
          <w:sz w:val="20"/>
          <w:szCs w:val="20"/>
          <w:color w:val="auto"/>
        </w:rPr>
      </w:pPr>
    </w:p>
    <w:p>
      <w:pPr>
        <w:ind w:right="160" w:firstLine="464"/>
        <w:spacing w:after="0" w:line="260" w:lineRule="auto"/>
        <w:rPr>
          <w:sz w:val="20"/>
          <w:szCs w:val="20"/>
          <w:color w:val="auto"/>
        </w:rPr>
      </w:pPr>
      <w:r>
        <w:rPr>
          <w:rFonts w:ascii="Times New Roman" w:cs="Times New Roman" w:eastAsia="Times New Roman" w:hAnsi="Times New Roman"/>
          <w:sz w:val="18"/>
          <w:szCs w:val="18"/>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Holders of the Convertible Notes had the right to convert the Convertible Notes called for redemption no later than August 3, 2021,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Deadline. The conversion rate was equal to 13.7267 shares per $1,000 principal amount of the Convertible Notes, which was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 of 13.6947 shares per $1,000 principal amount of the Convertible Notes plus a number of additional shares equal to 0.0320 shares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the Convertible Notes. We elected to settle any conversions by Combination Settlement (as defined in the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with a Specified Dollar Amount (as defined in the Convertible Notes Indenture) per $1,000 principal amount of Convertible Notes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plus a number of shares of our common stock, to be determined pursuant to the Convertible Notes Indenture, together with additional cash,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 lieu of delivering any fractional shares of common stock. As a result of this election, on August 4, 2021, we settled or redeemed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outstanding Convertible Notes for $505.6 million in cash representing the principal amount outstanding and delivered approximately 3.5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common stock from our treasury stock for additional amounts, resulting in a loss of approximately $8.1 million which is included in Interest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on our condensed consolidated statements of income included elsewhere in this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and the related tax benefit recognized in our condensed consolidated statements of income were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8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47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December</w:t>
            </w:r>
          </w:p>
        </w:tc>
        <w:tc>
          <w:tcPr>
            <w:tcW w:w="4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74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63"/>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on share-based compensation</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-367665</wp:posOffset>
            </wp:positionV>
            <wp:extent cx="7683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-367665</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-367665</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Included in the preceding table is share-based compensation for our cash-settled phantom stock units, which we granted in October 2019 (see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Phantom Stock Units </w:t>
      </w:r>
      <w:r>
        <w:rPr>
          <w:rFonts w:ascii="Times New Roman" w:cs="Times New Roman" w:eastAsia="Times New Roman" w:hAnsi="Times New Roman"/>
          <w:sz w:val="18"/>
          <w:szCs w:val="18"/>
          <w:color w:val="auto"/>
        </w:rPr>
        <w:t>below)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5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December</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-187960</wp:posOffset>
            </wp:positionV>
            <wp:extent cx="7683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-187960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-187960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w:t>
      </w:r>
    </w:p>
    <w:p>
      <w:pPr>
        <w:spacing w:after="0" w:line="119"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On October 29, 2019, our stockholders approved: (i) our 2019 Equity and Incentive Compensation Plan, or the 2019 Incentive Plan, to replace our Amended and Restated 2010 Incentive Compensation Plan, or the 2010 Incentive Plan, and (ii) our 2019</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Employee Stock Purchase Plan, or the 2019 ESPP, to replace our Amended and Restated 2010 Employee Stock Purchase Plan. As of October 29, 2019, no new awards may be granted under the 2010 Incentive Plan or the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5,288,000 as of October 25, 2022. The 2019 ESPP authorizes the Company to provide eligible employees with an opportunity to acquire an equity interest in the Company through the purchase of stock at a discount, with an initial authorization of 1,500,000 shares.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ectPr>
          <w:pgSz w:w="11900" w:h="16838" w:orient="portrait"/>
          <w:cols w:equalWidth="0" w:num="1">
            <w:col w:w="11240"/>
          </w:cols>
          <w:pgMar w:left="320" w:top="117" w:right="33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Balance as of June 2022</w:t>
      </w:r>
    </w:p>
    <w:p>
      <w:pPr>
        <w:spacing w:after="0" w:line="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Exercised</w:t>
      </w:r>
    </w:p>
    <w:p>
      <w:pPr>
        <w:spacing w:after="0" w:line="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Expired</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Balance as of December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320" w:type="dxa"/>
            <w:vAlign w:val="bottom"/>
          </w:tcPr>
          <w:p>
            <w:pPr>
              <w:spacing w:after="0"/>
              <w:rPr>
                <w:sz w:val="18"/>
                <w:szCs w:val="18"/>
                <w:color w:val="auto"/>
              </w:rPr>
            </w:pPr>
          </w:p>
        </w:tc>
        <w:tc>
          <w:tcPr>
            <w:tcW w:w="14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Weighted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8"/>
              </w:rPr>
              <w:t>Aggregate</w:t>
            </w:r>
          </w:p>
        </w:tc>
      </w:tr>
      <w:tr>
        <w:trPr>
          <w:trHeight w:val="229"/>
        </w:trPr>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Option</w:t>
            </w:r>
          </w:p>
        </w:tc>
        <w:tc>
          <w:tcPr>
            <w:tcW w:w="320" w:type="dxa"/>
            <w:vAlign w:val="bottom"/>
          </w:tcPr>
          <w:p>
            <w:pPr>
              <w:spacing w:after="0"/>
              <w:rPr>
                <w:sz w:val="19"/>
                <w:szCs w:val="19"/>
                <w:color w:val="auto"/>
              </w:rPr>
            </w:pPr>
          </w:p>
        </w:tc>
        <w:tc>
          <w:tcPr>
            <w:tcW w:w="14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Average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Intrinsic</w:t>
            </w:r>
          </w:p>
        </w:tc>
      </w:tr>
      <w:tr>
        <w:trPr>
          <w:trHeight w:val="229"/>
        </w:trPr>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Awards</w:t>
            </w:r>
          </w:p>
        </w:tc>
        <w:tc>
          <w:tcPr>
            <w:tcW w:w="320" w:type="dxa"/>
            <w:vAlign w:val="bottom"/>
          </w:tcPr>
          <w:p>
            <w:pPr>
              <w:spacing w:after="0"/>
              <w:rPr>
                <w:sz w:val="19"/>
                <w:szCs w:val="19"/>
                <w:color w:val="auto"/>
              </w:rPr>
            </w:pPr>
          </w:p>
        </w:tc>
        <w:tc>
          <w:tcPr>
            <w:tcW w:w="14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Exercise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Value</w:t>
            </w:r>
          </w:p>
        </w:tc>
      </w:tr>
      <w:tr>
        <w:trPr>
          <w:trHeight w:val="242"/>
        </w:trPr>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Outstanding</w:t>
            </w:r>
          </w:p>
        </w:tc>
        <w:tc>
          <w:tcPr>
            <w:tcW w:w="320" w:type="dxa"/>
            <w:vAlign w:val="bottom"/>
          </w:tcPr>
          <w:p>
            <w:pPr>
              <w:spacing w:after="0"/>
              <w:rPr>
                <w:sz w:val="21"/>
                <w:szCs w:val="21"/>
                <w:color w:val="auto"/>
              </w:rPr>
            </w:pPr>
          </w:p>
        </w:tc>
        <w:tc>
          <w:tcPr>
            <w:tcW w:w="14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Price</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(in millions)</w:t>
            </w:r>
          </w:p>
        </w:tc>
      </w:tr>
      <w:tr>
        <w:trPr>
          <w:trHeight w:val="210"/>
        </w:trPr>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31,185</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29"/>
        </w:trPr>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(7,019 )</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(299 )</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
        </w:trPr>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-615950</wp:posOffset>
            </wp:positionV>
            <wp:extent cx="570230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02300" cy="145415"/>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-324485</wp:posOffset>
            </wp:positionV>
            <wp:extent cx="5702300" cy="3251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02300" cy="32512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780" w:space="720"/>
            <w:col w:w="6740"/>
          </w:cols>
          <w:pgMar w:left="320" w:top="117" w:right="339" w:bottom="1440" w:gutter="0" w:footer="0" w:header="0"/>
          <w:type w:val="continuous"/>
        </w:sectPr>
      </w:pPr>
    </w:p>
    <w:p>
      <w:pPr>
        <w:ind w:right="1740" w:firstLine="509"/>
        <w:spacing w:after="0" w:line="375" w:lineRule="auto"/>
        <w:rPr>
          <w:sz w:val="20"/>
          <w:szCs w:val="20"/>
          <w:color w:val="auto"/>
        </w:rPr>
      </w:pPr>
      <w:r>
        <w:rPr>
          <w:rFonts w:ascii="Times New Roman" w:cs="Times New Roman" w:eastAsia="Times New Roman" w:hAnsi="Times New Roman"/>
          <w:sz w:val="18"/>
          <w:szCs w:val="18"/>
          <w:color w:val="auto"/>
        </w:rPr>
        <w:t xml:space="preserve">The aggregate intrinsic value was determined using the closing price of our common stock on December 23, 2022 of $94.15. </w:t>
      </w:r>
      <w:r>
        <w:rPr>
          <w:rFonts w:ascii="Times New Roman" w:cs="Times New Roman" w:eastAsia="Times New Roman" w:hAnsi="Times New Roman"/>
          <w:sz w:val="18"/>
          <w:szCs w:val="18"/>
          <w:i w:val="1"/>
          <w:iCs w:val="1"/>
          <w:color w:val="auto"/>
        </w:rPr>
        <w:t>Restricted Stock Units</w:t>
      </w: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2019 Incentive Plan provides for the grant of RSUs to our employees, consultants, and directors with initial grants occurring in 2019, and previously our 2019 Inducement Equity Plan and our 2010 Incentive Plan provided for the grant of deferred stock units, or DSUs, to our employees, consultants, and directors with initial grants occurring in 2006. An RSU and a DSU are each a promise to deliver shares of our common stock at a future date in accordance with the terms of the grant agreement and the words can be used interchangeably. Accordingly, any reference to RSU is intended to signify both an RSU and a DSU.</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RSUs granted generally vest ratably over three to four years from the vesting commencement date.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 activity was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Aggregate</w:t>
            </w:r>
          </w:p>
        </w:tc>
        <w:tc>
          <w:tcPr>
            <w:tcW w:w="80" w:type="dxa"/>
            <w:vAlign w:val="bottom"/>
          </w:tcPr>
          <w:p>
            <w:pPr>
              <w:spacing w:after="0"/>
              <w:rPr>
                <w:sz w:val="15"/>
                <w:szCs w:val="15"/>
                <w:color w:val="auto"/>
              </w:rPr>
            </w:pPr>
          </w:p>
        </w:tc>
      </w:tr>
      <w:tr>
        <w:trPr>
          <w:trHeight w:val="175"/>
        </w:trPr>
        <w:tc>
          <w:tcPr>
            <w:tcW w:w="632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RSU</w:t>
            </w: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Intrinsic</w:t>
            </w:r>
          </w:p>
        </w:tc>
        <w:tc>
          <w:tcPr>
            <w:tcW w:w="80" w:type="dxa"/>
            <w:vAlign w:val="bottom"/>
          </w:tcPr>
          <w:p>
            <w:pPr>
              <w:spacing w:after="0"/>
              <w:rPr>
                <w:sz w:val="15"/>
                <w:szCs w:val="15"/>
                <w:color w:val="auto"/>
              </w:rPr>
            </w:pPr>
          </w:p>
        </w:tc>
      </w:tr>
      <w:tr>
        <w:trPr>
          <w:trHeight w:val="175"/>
        </w:trPr>
        <w:tc>
          <w:tcPr>
            <w:tcW w:w="6320" w:type="dxa"/>
            <w:vAlign w:val="bottom"/>
          </w:tcPr>
          <w:p>
            <w:pPr>
              <w:spacing w:after="0"/>
              <w:rPr>
                <w:sz w:val="15"/>
                <w:szCs w:val="15"/>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6"/>
              </w:rPr>
              <w:t>Awards</w:t>
            </w:r>
          </w:p>
        </w:tc>
        <w:tc>
          <w:tcPr>
            <w:tcW w:w="160" w:type="dxa"/>
            <w:vAlign w:val="bottom"/>
          </w:tcPr>
          <w:p>
            <w:pPr>
              <w:spacing w:after="0"/>
              <w:rPr>
                <w:sz w:val="15"/>
                <w:szCs w:val="15"/>
                <w:color w:val="auto"/>
              </w:rPr>
            </w:pPr>
          </w:p>
        </w:tc>
        <w:tc>
          <w:tcPr>
            <w:tcW w:w="104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5"/>
                <w:szCs w:val="15"/>
                <w:color w:val="auto"/>
              </w:rPr>
            </w:pPr>
          </w:p>
        </w:tc>
      </w:tr>
      <w:tr>
        <w:trPr>
          <w:trHeight w:val="185"/>
        </w:trPr>
        <w:tc>
          <w:tcPr>
            <w:tcW w:w="632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6"/>
                <w:szCs w:val="16"/>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16"/>
                <w:szCs w:val="16"/>
                <w:color w:val="auto"/>
              </w:rPr>
            </w:pPr>
          </w:p>
        </w:tc>
      </w:tr>
      <w:tr>
        <w:trPr>
          <w:trHeight w:val="23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2022</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1,220,573</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Delivered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(484,856 )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(52,122 )</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1,401,371</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23, 2022 of $94.15.</w:t>
      </w:r>
    </w:p>
    <w:p>
      <w:pPr>
        <w:spacing w:after="0" w:line="225"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RSU award. Of the shares delivered, 146,614 shares valued at $17.7 million were withheld to meet statutory tax withholding requirements.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6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MSU awards granted in fiscal 2023, performance is measured based on our achievement of a specified level of total stockholder return, or TSR, relative to the TSRs of each company in the Russell 2000 Index. The potential payout ranges from 0% to 300% of the target grant quantity based on our TSR performance relative to the TSRs of each company in the Russell 2000 Index. No payout will occur if our TSR performance falls below the 25th percentile of the TSRs of each company in the Russell 2000 Index, and a 300% payout will occur if our TSR performance exceeds the 80th percentile of the TSRs of each company in the Russell 2000 Index. Performance payouts between the 25th and 80th percentiles will be determined on a linear basis with performance at the 50th percentile equal to 100% of target. The first tranche and the second tranche can payout up to 300%,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MSU awards granted in fiscal 2022 and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25th percentile of the TSRs of each company in the Russell 2000 Index, and a 200% payout will occur if our TSR performance exceeds the 75th percentile of the TSRs of each company in the Russell 2000 Index. Performance payouts between the 25th and 75th percentiles will be determined on a linear basis with performance at the 50th percentile equal to 100% of target.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outstanding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 For MSU awards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8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MSU activity was as follows: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Aggregate</w:t>
            </w:r>
          </w:p>
        </w:tc>
        <w:tc>
          <w:tcPr>
            <w:tcW w:w="80" w:type="dxa"/>
            <w:vAlign w:val="bottom"/>
          </w:tcPr>
          <w:p>
            <w:pPr>
              <w:spacing w:after="0"/>
              <w:rPr>
                <w:sz w:val="15"/>
                <w:szCs w:val="15"/>
                <w:color w:val="auto"/>
              </w:rPr>
            </w:pPr>
          </w:p>
        </w:tc>
      </w:tr>
      <w:tr>
        <w:trPr>
          <w:trHeight w:val="175"/>
        </w:trPr>
        <w:tc>
          <w:tcPr>
            <w:tcW w:w="63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MSU</w:t>
            </w: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Intrinsic</w:t>
            </w:r>
          </w:p>
        </w:tc>
        <w:tc>
          <w:tcPr>
            <w:tcW w:w="80" w:type="dxa"/>
            <w:vAlign w:val="bottom"/>
          </w:tcPr>
          <w:p>
            <w:pPr>
              <w:spacing w:after="0"/>
              <w:rPr>
                <w:sz w:val="15"/>
                <w:szCs w:val="15"/>
                <w:color w:val="auto"/>
              </w:rPr>
            </w:pPr>
          </w:p>
        </w:tc>
      </w:tr>
      <w:tr>
        <w:trPr>
          <w:trHeight w:val="175"/>
        </w:trPr>
        <w:tc>
          <w:tcPr>
            <w:tcW w:w="63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Awards</w:t>
            </w:r>
          </w:p>
        </w:tc>
        <w:tc>
          <w:tcPr>
            <w:tcW w:w="160" w:type="dxa"/>
            <w:vAlign w:val="bottom"/>
          </w:tcPr>
          <w:p>
            <w:pPr>
              <w:spacing w:after="0"/>
              <w:rPr>
                <w:sz w:val="15"/>
                <w:szCs w:val="15"/>
                <w:color w:val="auto"/>
              </w:rPr>
            </w:pPr>
          </w:p>
        </w:tc>
        <w:tc>
          <w:tcPr>
            <w:tcW w:w="104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5"/>
                <w:szCs w:val="15"/>
                <w:color w:val="auto"/>
              </w:rPr>
            </w:pPr>
          </w:p>
        </w:tc>
      </w:tr>
      <w:tr>
        <w:trPr>
          <w:trHeight w:val="185"/>
        </w:trPr>
        <w:tc>
          <w:tcPr>
            <w:tcW w:w="634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6"/>
                <w:szCs w:val="16"/>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16"/>
                <w:szCs w:val="16"/>
                <w:color w:val="auto"/>
              </w:rPr>
            </w:pPr>
          </w:p>
        </w:tc>
      </w:tr>
      <w:tr>
        <w:trPr>
          <w:trHeight w:val="23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2022</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251,974</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Delivered</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(304,334 )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6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217,982</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top w:val="single" w:sz="8" w:color="CFF0FC"/>
            </w:tcBorders>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-187960</wp:posOffset>
            </wp:positionV>
            <wp:extent cx="5969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23, 2022 of $94.15.</w:t>
      </w:r>
    </w:p>
    <w:p>
      <w:pPr>
        <w:spacing w:after="0" w:line="225"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 Of the shares delivered, 159,379 shares valued at $18.5 million were withheld to meet statutory tax withholding requirements.</w:t>
      </w:r>
    </w:p>
    <w:p>
      <w:pPr>
        <w:spacing w:after="0" w:line="177"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We value MSUs using the Monte Carlo simulation model on the date of grant and amortize the compensation expense over the three- or four-year performance and service period on a ratable basis by tranche. The unrecognized share-based compensation cost of our outstanding MSUs was approximately $33.5 million as of December 2022, which will be recognized over a weighted average period of approximately 1.2 years.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right="400" w:firstLine="509"/>
        <w:spacing w:after="0" w:line="265" w:lineRule="auto"/>
        <w:rPr>
          <w:sz w:val="20"/>
          <w:szCs w:val="20"/>
          <w:color w:val="auto"/>
        </w:rPr>
      </w:pPr>
      <w:r>
        <w:rPr>
          <w:rFonts w:ascii="Times New Roman" w:cs="Times New Roman" w:eastAsia="Times New Roman" w:hAnsi="Times New Roman"/>
          <w:sz w:val="18"/>
          <w:szCs w:val="18"/>
          <w:color w:val="auto"/>
        </w:rPr>
        <w:t>Our 2019 Incentive Plan, our 2010 Incentive Plan and our 2019 Inducement Equity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6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granted PSU awards to our executive officers and other key management team members under our 2010 Incentive Plan, our 2019 Incentive Plan and our 2019 Inducement Equity Plan, which, generally, are designed to vest in three tranches with the target quantity for each tranche equal to one-third of the total PSU award. Generally, PSU awards have a specific one-year performance period and vesting occurs over three service periods with the final service period ending approximately three years from the grant date. Performance is measured based on the achievement of a specified level of performance relative to predefined performance criteria (for PSU awards granted in fiscal 2023 and prior to fiscal 2022 the performance criteria is based on non-GAAP earnings per share, for PSU awards granted in fiscal 2021 the performance criteria is based on a combination of our design win revenue, non-GAAP gross margin percentage and non-GAAP operating expenses). For our fiscal 2023 PSU awards, the potential payout ranges from 0% to 200% of the target grant quantity and is adjusted on a linear basis with a payout triggering if our measurement results equals greater than 65% of the target with a maximum payout achieved at 135% of target.</w:t>
      </w:r>
    </w:p>
    <w:p>
      <w:pPr>
        <w:spacing w:after="0" w:line="78"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PSU activity was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Aggregate</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PSU</w:t>
            </w: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Intrinsic</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Awards</w:t>
            </w:r>
          </w:p>
        </w:tc>
        <w:tc>
          <w:tcPr>
            <w:tcW w:w="160" w:type="dxa"/>
            <w:vAlign w:val="bottom"/>
          </w:tcPr>
          <w:p>
            <w:pPr>
              <w:spacing w:after="0"/>
              <w:rPr>
                <w:sz w:val="15"/>
                <w:szCs w:val="15"/>
                <w:color w:val="auto"/>
              </w:rPr>
            </w:pPr>
          </w:p>
        </w:tc>
        <w:tc>
          <w:tcPr>
            <w:tcW w:w="104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6"/>
                <w:szCs w:val="16"/>
                <w:color w:val="auto"/>
              </w:rPr>
            </w:pPr>
          </w:p>
        </w:tc>
        <w:tc>
          <w:tcPr>
            <w:tcW w:w="104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2022</w:t>
            </w:r>
          </w:p>
        </w:tc>
        <w:tc>
          <w:tcPr>
            <w:tcW w:w="306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257,903</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265,446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4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(250,118 )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(5,359 )</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2022</w:t>
            </w:r>
          </w:p>
        </w:tc>
        <w:tc>
          <w:tcPr>
            <w:tcW w:w="30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267,872</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-521970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-504825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-521970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346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23, 2022 of $94.15.</w:t>
      </w:r>
    </w:p>
    <w:p>
      <w:pPr>
        <w:spacing w:after="0" w:line="206"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 Of the shares delivered, 114,859 shares valued at $12.9 million were withheld to meet statutory tax withholding requirements.</w:t>
      </w:r>
    </w:p>
    <w:p>
      <w:pPr>
        <w:spacing w:after="0" w:line="177"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$46.4 million as of December 2022, which will be recognized over a weighted average period of approximately 1.1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2019 Incentive Plan authorizes the grant of phantom stock units to non-employee directors, officers and employees. We initially granted phantom stock units to certain non-officer employees in October 2019 and there have been no subsequent phantom stock unit grants.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The final vesting occurred on October 31, 2022, and no phantom stock units remain outstanding under this plan.</w:t>
      </w:r>
    </w:p>
    <w:p>
      <w:pPr>
        <w:sectPr>
          <w:pgSz w:w="11900" w:h="16838" w:orient="portrait"/>
          <w:cols w:equalWidth="0" w:num="1">
            <w:col w:w="11200"/>
          </w:cols>
          <w:pgMar w:left="320" w:top="117" w:right="379" w:bottom="1440" w:gutter="0" w:footer="0" w:header="0"/>
        </w:sectPr>
      </w:pPr>
    </w:p>
    <w:p>
      <w:pPr>
        <w:spacing w:after="0" w:line="186" w:lineRule="exact"/>
        <w:rPr>
          <w:sz w:val="20"/>
          <w:szCs w:val="20"/>
          <w:color w:val="auto"/>
        </w:rPr>
      </w:pPr>
    </w:p>
    <w:p>
      <w:pPr>
        <w:jc w:val="right"/>
        <w:ind w:right="4640"/>
        <w:spacing w:after="0"/>
        <w:rPr>
          <w:sz w:val="20"/>
          <w:szCs w:val="20"/>
          <w:color w:val="auto"/>
        </w:rPr>
      </w:pPr>
      <w:r>
        <w:rPr>
          <w:rFonts w:ascii="Times New Roman" w:cs="Times New Roman" w:eastAsia="Times New Roman" w:hAnsi="Times New Roman"/>
          <w:sz w:val="18"/>
          <w:szCs w:val="18"/>
          <w:color w:val="auto"/>
        </w:rPr>
        <w:t>Phantom stock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-127635</wp:posOffset>
            </wp:positionV>
            <wp:extent cx="570230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26035</wp:posOffset>
            </wp:positionV>
            <wp:extent cx="570230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2300" cy="16256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Forfeited</w:t>
      </w:r>
    </w:p>
    <w:p>
      <w:pPr>
        <w:spacing w:after="0" w:line="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December 2022</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Phantom</w:t>
      </w:r>
    </w:p>
    <w:p>
      <w:pPr>
        <w:spacing w:after="0" w:line="36"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Stock Units</w:t>
      </w:r>
    </w:p>
    <w:p>
      <w:pPr>
        <w:spacing w:after="0" w:line="36"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7"/>
          <w:szCs w:val="17"/>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33020</wp:posOffset>
            </wp:positionV>
            <wp:extent cx="9588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176,097</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(173,436 )</w:t>
      </w:r>
    </w:p>
    <w:p>
      <w:pPr>
        <w:spacing w:after="0" w:line="47"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color w:val="auto"/>
        </w:rPr>
        <w:t>(2,661 )</w:t>
      </w:r>
    </w:p>
    <w:p>
      <w:pPr>
        <w:spacing w:after="0" w:line="2"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color w:val="auto"/>
        </w:rPr>
        <w:t xml:space="preserve">- </w:t>
      </w:r>
      <w:r>
        <w:rPr>
          <w:sz w:val="1"/>
          <w:szCs w:val="1"/>
          <w:color w:val="auto"/>
        </w:rPr>
        <w:drawing>
          <wp:inline distT="0" distB="0" distL="0" distR="0">
            <wp:extent cx="51435" cy="1885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1885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-24765</wp:posOffset>
            </wp:positionV>
            <wp:extent cx="9588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5885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-7620</wp:posOffset>
            </wp:positionV>
            <wp:extent cx="9588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7960" w:space="720"/>
            <w:col w:w="2520"/>
          </w:cols>
          <w:pgMar w:left="320" w:top="117" w:right="379" w:bottom="1440" w:gutter="0" w:footer="0" w:header="0"/>
          <w:type w:val="continuous"/>
        </w:sect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Shares purchased, weighted average purchase price, cash received, and the aggregate intrinsic value for employee stock purchase plan purchases during the three and six months ended December 2022 were as follows (in millions, except for shares purchased and weighted average price):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30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88,210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3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92.52</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30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3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$17.4 million and $56.5 million for the three and six months ended December 2022, respectively, represented estimated federal, foreign, and state income taxes. The effective tax rate for the three and six months ended December 2022 diverged from the combined U.S. federal and state statutory tax rate primarily due to the impact of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and non-deductible officer compensation, partially offset by the benefit of foreign income taxed at lower rates, and research credits.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2" w:name="page23"/>
    <w:bookmarkEnd w:id="22"/>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38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provision for income taxes of $2.0 million and $7.9 million for the three and six months ended December 2021, respectively, represented estimated federal, foreign, and state income taxes. The effective tax rate for the three and six months ended December 2021, diverged from the combined U.S. federal and state statutory tax rate, primarily due to foreign income taxed at lower rates, the benefit of research credits and foreign tax credits, partially offset by foreign withholding taxes, non-deductible officer compensation, non-deductible stock-based compensation, and GILTI.</w:t>
      </w:r>
    </w:p>
    <w:p>
      <w:pPr>
        <w:spacing w:after="0" w:line="17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increased $21.4 million during the six months ended December 2022, to $51.2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2022 were $2.7 million; this balance increased by $0.2 million compared to June 2022.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87"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Our major tax jurisdictions are the United States, Hong Kong SAR, Israel, Japan and the United Kingdom. From fiscal 2016 onward, we remain subject to examination by one or more of these jurisdictions.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Customers, and Geographic Information</w:t>
      </w:r>
    </w:p>
    <w:p>
      <w:pPr>
        <w:spacing w:after="0" w:line="121"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We operate in one segment: the development, marketing, and sale of semiconductor products used in electronic devices and products. We generate our revenue from three broad product categories: the IoT product market, the personal computing, or PC, product market, and the Mobile product market. We sell our products to OEMs and to contract manufacturers that provide manufacturing services to OEMs.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within geographic areas based on our customers’ locations for the periods presented was as follows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4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December</w:t>
            </w: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6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131.7</w:t>
            </w:r>
          </w:p>
        </w:tc>
        <w:tc>
          <w:tcPr>
            <w:tcW w:w="2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FF0FC"/>
          </w:tcPr>
          <w:p>
            <w:pPr>
              <w:spacing w:after="0"/>
              <w:rPr>
                <w:sz w:val="20"/>
                <w:szCs w:val="20"/>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FF0FC"/>
          </w:tcPr>
          <w:p>
            <w:pPr>
              <w:spacing w:after="0"/>
              <w:rPr>
                <w:sz w:val="21"/>
                <w:szCs w:val="21"/>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r>
      <w:tr>
        <w:trPr>
          <w:trHeight w:val="272"/>
        </w:trPr>
        <w:tc>
          <w:tcPr>
            <w:tcW w:w="560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353.1</w:t>
            </w:r>
          </w:p>
        </w:tc>
        <w:tc>
          <w:tcPr>
            <w:tcW w:w="2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-24765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from our customers for each product category was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4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December</w:t>
            </w: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6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239.3</w:t>
            </w:r>
          </w:p>
        </w:tc>
        <w:tc>
          <w:tcPr>
            <w:tcW w:w="2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FF0FC"/>
          </w:tcPr>
          <w:p>
            <w:pPr>
              <w:spacing w:after="0"/>
              <w:rPr>
                <w:sz w:val="20"/>
                <w:szCs w:val="20"/>
                <w:color w:val="auto"/>
              </w:rPr>
            </w:pP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20"/>
                <w:szCs w:val="20"/>
                <w:color w:val="auto"/>
              </w:rPr>
            </w:pPr>
          </w:p>
        </w:tc>
      </w:tr>
      <w:tr>
        <w:trPr>
          <w:trHeight w:val="247"/>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8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60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353.1</w:t>
            </w:r>
          </w:p>
        </w:tc>
        <w:tc>
          <w:tcPr>
            <w:tcW w:w="11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-187960</wp:posOffset>
            </wp:positionV>
            <wp:extent cx="7683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7683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from major customers as a percentage of total net revenue for the periods presented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20"/>
                <w:szCs w:val="20"/>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50"/>
        </w:trPr>
        <w:tc>
          <w:tcPr>
            <w:tcW w:w="55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center"/>
              <w:ind w:right="930"/>
              <w:spacing w:after="0"/>
              <w:rPr>
                <w:sz w:val="20"/>
                <w:szCs w:val="20"/>
                <w:color w:val="auto"/>
              </w:rPr>
            </w:pPr>
            <w:r>
              <w:rPr>
                <w:rFonts w:ascii="Times New Roman" w:cs="Times New Roman" w:eastAsia="Times New Roman" w:hAnsi="Times New Roman"/>
                <w:sz w:val="18"/>
                <w:szCs w:val="18"/>
                <w:color w:val="auto"/>
                <w:w w:val="99"/>
              </w:rPr>
              <w:t>December</w:t>
            </w:r>
          </w:p>
        </w:tc>
        <w:tc>
          <w:tcPr>
            <w:tcW w:w="1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73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8"/>
        </w:trPr>
        <w:tc>
          <w:tcPr>
            <w:tcW w:w="5580" w:type="dxa"/>
            <w:vAlign w:val="bottom"/>
          </w:tcPr>
          <w:p>
            <w:pPr>
              <w:spacing w:after="0"/>
              <w:rPr>
                <w:sz w:val="20"/>
                <w:szCs w:val="20"/>
                <w:color w:val="auto"/>
              </w:rPr>
            </w:pPr>
          </w:p>
        </w:tc>
        <w:tc>
          <w:tcPr>
            <w:tcW w:w="10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2022</w:t>
            </w:r>
          </w:p>
        </w:tc>
        <w:tc>
          <w:tcPr>
            <w:tcW w:w="20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20"/>
                <w:szCs w:val="20"/>
                <w:color w:val="auto"/>
              </w:rPr>
            </w:pPr>
          </w:p>
        </w:tc>
        <w:tc>
          <w:tcPr>
            <w:tcW w:w="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2022</w:t>
            </w:r>
          </w:p>
        </w:tc>
        <w:tc>
          <w:tcPr>
            <w:tcW w:w="16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4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tcBorders>
              <w:top w:val="single" w:sz="8" w:color="auto"/>
            </w:tcBorders>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11%</w:t>
            </w:r>
          </w:p>
        </w:tc>
        <w:tc>
          <w:tcPr>
            <w:tcW w:w="4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0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6"/>
              </w:rPr>
              <w:t>12%</w:t>
            </w:r>
          </w:p>
        </w:tc>
        <w:tc>
          <w:tcPr>
            <w:tcW w:w="9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192" w:lineRule="exact"/>
        <w:rPr>
          <w:sz w:val="20"/>
          <w:szCs w:val="20"/>
          <w:color w:val="auto"/>
        </w:rPr>
      </w:pPr>
    </w:p>
    <w:p>
      <w:pPr>
        <w:ind w:right="500" w:firstLine="509"/>
        <w:spacing w:after="0" w:line="260" w:lineRule="auto"/>
        <w:rPr>
          <w:sz w:val="20"/>
          <w:szCs w:val="20"/>
          <w:color w:val="auto"/>
        </w:rPr>
      </w:pPr>
      <w:r>
        <w:rPr>
          <w:rFonts w:ascii="Times New Roman" w:cs="Times New Roman" w:eastAsia="Times New Roman" w:hAnsi="Times New Roman"/>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December</w:t>
            </w:r>
          </w:p>
        </w:tc>
        <w:tc>
          <w:tcPr>
            <w:tcW w:w="160" w:type="dxa"/>
            <w:vAlign w:val="bottom"/>
          </w:tcPr>
          <w:p>
            <w:pPr>
              <w:spacing w:after="0"/>
              <w:rPr>
                <w:sz w:val="20"/>
                <w:szCs w:val="20"/>
                <w:color w:val="auto"/>
              </w:rPr>
            </w:pPr>
          </w:p>
        </w:tc>
        <w:tc>
          <w:tcPr>
            <w:tcW w:w="1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20" w:type="dxa"/>
            <w:vAlign w:val="bottom"/>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65"/>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2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17%</w:t>
            </w:r>
          </w:p>
        </w:tc>
      </w:tr>
      <w:tr>
        <w:trPr>
          <w:trHeight w:val="24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2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15%</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Comprehensive Income</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Our comprehensive income generally consists of unrealized gains or losses on our available-for-sale securities. We recognize foreign currency remeasurement adjustments and foreign currency transaction gains and losses in our condensed consolidated statements of income as the U.S. dollar is the functional currency of our foreign entities.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Activities</w:t>
      </w:r>
    </w:p>
    <w:p>
      <w:pPr>
        <w:spacing w:after="0" w:line="12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In prior years, we initiated various strategic restructuring actions primarily intended to reduce costs, gain synergies from our recent acquisitions and align our business in response to market conditions. Restructuring charges were mainly comprised of severance and other one-time termination benefits and were complete by the end of fiscal year 2022. We recorded restructuring related charges of $5.1 million and $6.5 million for the three and six months ended December 2021, respectively. We did not incur any restructuring related charges during the first half of fiscal year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right="120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for the quarter ended December 24, 2022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IoT product applications market for a substantial portion of our revenue; risks related to the volatility of our net revenue from our solutions for IoT product applications; our dependence on one or more large customers;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25, 2022,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79" w:lineRule="exact"/>
        <w:rPr>
          <w:sz w:val="20"/>
          <w:szCs w:val="20"/>
          <w:color w:val="auto"/>
        </w:rPr>
      </w:pPr>
    </w:p>
    <w:p>
      <w:pPr>
        <w:ind w:right="800" w:firstLine="509"/>
        <w:spacing w:after="0" w:line="281"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Although many of the restrictions and other containment measures implemented by governmental authorities in response to the COVID-19 pandemic have since been lifted or scaled back, ongoing surges of COVID-19 and its variants continue, which may result in a variety of responses in the many geographic locations in which we do business, from no actions taken to the re-imposition of lockdowns and containment measures designed to mitigate or reduce the rapid spread of COVID-19 and its variants.</w:t>
      </w:r>
    </w:p>
    <w:p>
      <w:pPr>
        <w:spacing w:after="0" w:line="74"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The health and wellbeing of our workforce is our highest priority, and a large number of our workforce has been vaccinated. Many of our employees that worked from home at the onset of COVID-19, or during subsequent lockdowns, have returned full-time or on a hybrid basis to our office environment. For some of those employees that have returned to the office, we continue to adhere to return to work protocols, based on guidance from local and global health organizations and applicable laws and regulations.</w:t>
      </w:r>
    </w:p>
    <w:p>
      <w:pPr>
        <w:spacing w:after="0" w:line="74"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To date, we have not incurred significant disruptions to our business or a materially negative impact on our consolidated results of operations and financial condition from the COVID-19 outbreak and continue to believe our business will not be severely impacted as steps continue to be taken globally to mitigate the spread and vaccinate large portions of the population. However, if more infectious COVID-19 variants become resistant to the existing vaccines, we, our customers, and our suppliers could experience renewed and sustained business disruption.</w:t>
      </w:r>
    </w:p>
    <w:p>
      <w:pPr>
        <w:spacing w:after="0" w:line="74"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We will continue to evaluate the impact to our business, consolidated results of operations, and financial condition and may take actions that we deem necessary or appropriate to respond to the ongoing pandemic.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Original Equipment Manufacturers, or OEMs.</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recognize revenue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w:t>
      </w:r>
    </w:p>
    <w:p>
      <w:pPr>
        <w:spacing w:after="0" w:line="6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Many of our customers have manufacturing operations in China, and many of our OEM customers have established design centers in Asia. With our expanding global presence, including offices in China, France, Germany, Hong Kong, India, Israel, Japan,</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5" w:name="page26"/>
    <w:bookmarkEnd w:id="25"/>
    <w:p>
      <w:pPr>
        <w:ind w:right="120"/>
        <w:spacing w:after="0" w:line="281" w:lineRule="auto"/>
        <w:rPr>
          <w:sz w:val="20"/>
          <w:szCs w:val="20"/>
          <w:color w:val="auto"/>
        </w:rPr>
      </w:pPr>
      <w:r>
        <w:rPr>
          <w:rFonts w:ascii="Times New Roman" w:cs="Times New Roman" w:eastAsia="Times New Roman" w:hAnsi="Times New Roman"/>
          <w:sz w:val="18"/>
          <w:szCs w:val="18"/>
          <w:color w:val="auto"/>
        </w:rPr>
        <w:t>Korea, Poland, Switzerland, Taiwan, the U.K., and the U.S., we are well positioned to provide local sales, operational, and engineering support services to our existing customers, as well as potential new customers, on a global basis.</w:t>
      </w:r>
    </w:p>
    <w:p>
      <w:pPr>
        <w:spacing w:after="0" w:line="5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In the past, when supply constraints and capacity shortages have impacted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the provision for excess and obsolete inventories to cost of revenue.</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74"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31" w:lineRule="exact"/>
        <w:rPr>
          <w:sz w:val="20"/>
          <w:szCs w:val="20"/>
          <w:color w:val="auto"/>
        </w:rPr>
      </w:pPr>
    </w:p>
    <w:p>
      <w:pPr>
        <w:ind w:right="860" w:firstLine="509"/>
        <w:spacing w:after="0" w:line="281" w:lineRule="auto"/>
        <w:rPr>
          <w:sz w:val="20"/>
          <w:szCs w:val="20"/>
          <w:color w:val="auto"/>
        </w:rPr>
      </w:pPr>
      <w:r>
        <w:rPr>
          <w:rFonts w:ascii="Times New Roman" w:cs="Times New Roman" w:eastAsia="Times New Roman" w:hAnsi="Times New Roman"/>
          <w:sz w:val="18"/>
          <w:szCs w:val="18"/>
          <w:color w:val="auto"/>
        </w:rPr>
        <w:t>Acquired intangibles amortization, included in operating expenses, consists primarily of amortization of developed technology, customer relationship and tradenames intangible assets recognized under the purchase method for business combinations.</w:t>
      </w:r>
    </w:p>
    <w:p>
      <w:pPr>
        <w:spacing w:after="0" w:line="55"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Restructuring costs primarily reflect severance costs related to the restructuring of our operations to reduce operating expenses and gain efficiencies from our recent acquisitions. These headcount related costs were in cost of revenue, research and development, and selling, general and administrative expenses. See Note 17 Restructuring Activities to the consolidated financial statements contained elsewhere in this Report.</w:t>
      </w:r>
    </w:p>
    <w:p>
      <w:pPr>
        <w:spacing w:after="0" w:line="69"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cash equivalents and short-term investments.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Emza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25, 2022, we acquired all of the outstanding shares of Emza for total purchase consideration of $15.8 million, which was paid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Emza are included in our condensed consolidated financial statements for the periods from October 25,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DSP Group, Inc.</w:t>
      </w:r>
    </w:p>
    <w:p>
      <w:pPr>
        <w:spacing w:after="0" w:line="11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In fiscal 2022, we acquired all of the equity of DSP Group, Inc, or DSPG, for $22.00 per share of common stock, a total purchase consideration of $543.3 million.</w:t>
      </w:r>
    </w:p>
    <w:p>
      <w:pPr>
        <w:spacing w:after="0" w:line="5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We financed the transaction through a combination of cash on hand and Term Loan Facility under our existing senior credit facility. The results of DSPG are included in our condensed consolidated financial statements for the periods from December 3, 2021.</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six months ended December 2022, compared with our critical accounting policies and estimates disclosed in Management’s Discussion and Analysis of Financial Condition and Results of Operations included in our Annual Report on Form 10-K for the fiscal year ended June 25,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Economic Conditions</w:t>
      </w:r>
    </w:p>
    <w:p>
      <w:pPr>
        <w:spacing w:after="0" w:line="22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As many central banks continue to raise interest rates to combat inflation, the potential for global recession also rises. This threat of global recession appears to be driving increased caution in our customer base. During the quarter, we continued to experience reduced demand in some of our product applications as certain customers and channel partners continue to consume their accumulation of inventories, combined with customer requests to delay orders. We are cautiously optimistic, and we continue to believe that the demand slowdown is temporary, but if we do slip into a global recession, the rebound in demand may take longer than we currently anticipate. In addition, although we currently do not believe inflation in the costs of goods and services will have a material impact on our results of operations, it is possible that rising inflation could increase our operating expenses and reduce our net income. Further, rising interest rates have increased our borrowing costs on our variable rate Term Loan Facility, which will continue to drive an increase in interest costs in future accounting periods and potentially limit our borrowing capacity if a future acquisition opportunity requiring financing presents itself.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gridSpan w:val="10"/>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gridSpan w:val="10"/>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Six Months Ended December</w:t>
            </w:r>
          </w:p>
        </w:tc>
        <w:tc>
          <w:tcPr>
            <w:tcW w:w="0" w:type="dxa"/>
            <w:vAlign w:val="bottom"/>
          </w:tcPr>
          <w:p>
            <w:pPr>
              <w:spacing w:after="0"/>
              <w:rPr>
                <w:sz w:val="1"/>
                <w:szCs w:val="1"/>
                <w:color w:val="auto"/>
              </w:rPr>
            </w:pPr>
          </w:p>
        </w:tc>
      </w:tr>
      <w:tr>
        <w:trPr>
          <w:trHeight w:val="240"/>
        </w:trPr>
        <w:tc>
          <w:tcPr>
            <w:tcW w:w="27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(26.2 )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(31.7 %)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(49.6 )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5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(19.0 )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(24.9 %)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(57.2 )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(67.4 )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(16.0 %)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(17.1 %)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4"/>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(4.3 %)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4"/>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(3.3 %)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56"/>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(100.0 %)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8"/>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1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(17.5 %)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(11.6 )</w:t>
            </w:r>
          </w:p>
        </w:tc>
        <w:tc>
          <w:tcPr>
            <w:tcW w:w="18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redemption of convertible</w:t>
            </w:r>
          </w:p>
        </w:tc>
        <w:tc>
          <w:tcPr>
            <w:tcW w:w="140" w:type="dxa"/>
            <w:vAlign w:val="bottom"/>
          </w:tcPr>
          <w:p>
            <w:pPr>
              <w:spacing w:after="0"/>
              <w:rPr>
                <w:sz w:val="19"/>
                <w:szCs w:val="19"/>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(8.1 )</w:t>
            </w:r>
          </w:p>
        </w:tc>
        <w:tc>
          <w:tcPr>
            <w:tcW w:w="18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4"/>
        </w:trPr>
        <w:tc>
          <w:tcPr>
            <w:tcW w:w="270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Income before provision for</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(32.5 )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(45.2 %)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770.0 %</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615.2 %</w:t>
            </w:r>
          </w:p>
        </w:tc>
        <w:tc>
          <w:tcPr>
            <w:tcW w:w="0" w:type="dxa"/>
            <w:vAlign w:val="bottom"/>
          </w:tcPr>
          <w:p>
            <w:pPr>
              <w:spacing w:after="0"/>
              <w:rPr>
                <w:sz w:val="1"/>
                <w:szCs w:val="1"/>
                <w:color w:val="auto"/>
              </w:rPr>
            </w:pPr>
          </w:p>
        </w:tc>
      </w:tr>
      <w:tr>
        <w:trPr>
          <w:trHeight w:val="25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loss</w:t>
            </w:r>
          </w:p>
        </w:tc>
        <w:tc>
          <w:tcPr>
            <w:tcW w:w="14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(0.4 )</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(100.0 %)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(0.9 )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6"/>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-3732530</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-3424555</wp:posOffset>
            </wp:positionV>
            <wp:extent cx="7132320" cy="796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796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-2336800</wp:posOffset>
            </wp:positionV>
            <wp:extent cx="7132320" cy="290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-1574800</wp:posOffset>
            </wp:positionV>
            <wp:extent cx="7132320" cy="7366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7366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49" w:right="239" w:bottom="1440" w:gutter="0" w:footer="0" w:header="0"/>
        </w:sectPr>
      </w:pPr>
    </w:p>
    <w:bookmarkStart w:id="27" w:name="page28"/>
    <w:bookmarkEnd w:id="27"/>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income presented here as a percentage of net revenue for the periods indicated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23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Point</w:t>
            </w:r>
          </w:p>
        </w:tc>
        <w:tc>
          <w:tcPr>
            <w:tcW w:w="20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40" w:type="dxa"/>
            <w:vAlign w:val="bottom"/>
            <w:gridSpan w:val="2"/>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Point</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20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240" w:type="dxa"/>
            <w:vAlign w:val="bottom"/>
            <w:gridSpan w:val="2"/>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32"/>
        </w:trPr>
        <w:tc>
          <w:tcPr>
            <w:tcW w:w="43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IoT product applications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3"/>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PC product applications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19.7 %</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(3.8 %)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15.2 %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21.6 %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Mobile product applications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28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18.1 %</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12.2 %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revenue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Gross margin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(0.6 %)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21.1 %</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4.2 %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22.3 %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22.1 %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2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10.5 %</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10.9 %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10.8 %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2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Acquired intangibles amortization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2.2 %</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0.3 %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46"/>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costs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28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1.2 %</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0.8 %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Operating income</w:t>
            </w: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line="20" w:lineRule="exact"/>
              <w:rPr>
                <w:sz w:val="1"/>
                <w:szCs w:val="1"/>
                <w:color w:val="auto"/>
              </w:rPr>
            </w:pPr>
          </w:p>
        </w:tc>
      </w:tr>
      <w:tr>
        <w:trPr>
          <w:trHeight w:val="207"/>
        </w:trPr>
        <w:tc>
          <w:tcPr>
            <w:tcW w:w="4320" w:type="dxa"/>
            <w:vAlign w:val="bottom"/>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40" w:type="dxa"/>
            <w:vAlign w:val="bottom"/>
            <w:gridSpan w:val="2"/>
            <w:vMerge w:val="continue"/>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(5.4 %)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(1.9 %)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(0.5 %)</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(1.9 %)</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redemption of convertible notes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0.0 %</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0.0 %</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2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17.1 %</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(5.9 %)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17.9 %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0.5 %</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7.1 %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 loss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28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0.1 %</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(0.1 %)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-2251075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-1943100</wp:posOffset>
            </wp:positionV>
            <wp:extent cx="7132320" cy="4451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Net revenue was $353.1 million for the three months ended December 2022, compared with $420.5 million for three months ended December 2021, a decrease of $67.4 million, or 16.0%. Of this net revenue, $239.3 million, or 67.9%, was from IoT product applications, $56.5 million, or 15.9%, was from PC product applications, and $57.3 million, or 16.2%, was from Mobile product applications. Revenue decreased in all of our product applications for the three months ended December 2022. Net revenue from IoT product applications decreased as a result of lower average selling prices (which decreased</w:t>
      </w:r>
    </w:p>
    <w:p>
      <w:pPr>
        <w:spacing w:after="0" w:line="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11.1%) due to product sales mix, partially offset by an increase in units sold (which increased 2.9%). Net revenue from PC product applications decreased due to a decline in units sold (which decreased 30.8%) related to certain end customers' decline in demand and desire to reduce their inventory holdings coupled with a decrease in average selling prices (which decreased 1.3%) due to our product sales mix. Net revenue from Mobile product applications decreased due to a decline in units sold (which decreased 28.3%) as demand broadly softened for our products in the mobile market, partially offset by higher average selling prices (which increased 4.8%).</w:t>
      </w:r>
    </w:p>
    <w:p>
      <w:pPr>
        <w:spacing w:after="0" w:line="8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Net revenue was $801.2 million for the six months ended December 2022, compared with $793.2 million for the six months ended December 2021, an increase of $8.0 million, or 1.0%. Of this net revenue, $582.0 million, or 72.6%, was from IoT product applications, $121.7 million, or 15.2% was from PC product applications, and $97.5 million, or 12.2%, was from Mobile product applications. The increase in net revenue for the six months ended December 2022 was primarily attributable to an increase in net revenue from IoT product applications, partially offset by a decrease in net revenue from PC and Mobile product applications. Net revenue from IoT product applications increased as a result of an increase in units sold (which increased 29.5%) as well as higher average selling prices (which increased 58.4%) due to product sales mix. Net revenue from PC product applications decreased due to a decline in units sold (which decreased 35.5%) partially offset by higher average selling prices (which increased 9.7%) due to our product sales mix. Net revenue from Mobile product applications decreased due to a decline in units sold (which decreased 46.6%) for Mobile product applications and lower average selling prices (which decreased 20.8%) due to our product sales mix.</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Gross margin as a percentage of net revenue was 52.9%, or $186.7 million, for the three months ended December 2022, compared with 53.5%, or $225.1 million, for the three months ended December 2021. The 60-basis point decrease in gross margin for the three months ended December 2022, was due to a decrease in average sales prices across many of our product applications.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margin as a percentage of net revenue was 55.2% or $442.4 million, for the six months ended December 2022, compared with 53.4%,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$423.2 million, for the six months ended December 2021. The 180 basis point increase in gross margin for the six months ended December 2022, was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overall favorable product mix and an increase in average sales prices across many of our product applications.</w:t>
      </w:r>
    </w:p>
    <w:p>
      <w:pPr>
        <w:spacing w:after="0" w:line="98"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the provision for excess and obsolete inventories and losses on inventory purchase obligations (including warranty costs) to cost of revenue.</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5"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increased $0.4 million to $89.3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2022, compared with $88.9 million for the three months ended December 2021. The increase in research and development expenses was primarily driven by an increase in payroll and other employee related costs of $6.3 million, a $2.0 million increase in new product development activities, partially offset by a $6.4 million decrease in variable compensation and a $5.2 million decrease in share-based compensation costs primarily related to a decrease in our stock price associated with cash settled phantom stock awards during the second quarter of fiscal 2023 compared to the same period a year ago.</w:t>
      </w:r>
    </w:p>
    <w:p>
      <w:pPr>
        <w:spacing w:after="0" w:line="80" w:lineRule="exact"/>
        <w:rPr>
          <w:sz w:val="20"/>
          <w:szCs w:val="20"/>
          <w:color w:val="auto"/>
        </w:rPr>
      </w:pPr>
    </w:p>
    <w:p>
      <w:pPr>
        <w:ind w:right="200" w:firstLine="509"/>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increased $3.8 million to $178.8 million for the six months ended December 2022, compared with $175.0 million for the six months ended December 2021. The increase in research and development expenses primarily reflected a $12.2 million increase in payroll related costs, a $3.6 million increase in new product development activities, a $2.9 million increase in software license and maintenance fees, partially offset by a $8.0 million decrease in variable compensation and a $12.0 million decrease in share-based compensation costs primarily related to a decrease in our stock price associated with cash settled phantom stock awards during the first half of fiscal 2023 compared to the same period a year ago.</w:t>
      </w:r>
    </w:p>
    <w:p>
      <w:pPr>
        <w:spacing w:after="0" w:line="6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decreased $1.9 million to $42.4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2022, compared with $44.3 million for the three months ended December 2021. The decrease in selling, general, and administrative expenses primarily reflected a $0.6 million increase in payroll related costs, a $2.2 million loss from foreign currency remeasurement upon modification of an operating lease, partially offset by a $2.8 million decrease in variable compensation and a $1.1 million decrease in share-based compensation costs primarily related to a decrease in our stock price associated with cash settled phantom stock awards during the second quarter of fiscal 2023 compared to the same period a year ago.</w:t>
      </w:r>
    </w:p>
    <w:p>
      <w:pPr>
        <w:spacing w:after="0" w:line="8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increased $1.2 million to $87.1 million for the six months ended December 2022, compared with $85.9 million for the six months ended December 2021. The increase in selling, general, and administrative expenses primarily reflected a $2.8 million increase in payroll related costs, a $2.2 million loss from foreign currency remeasurement upon modification of an operating lease, partially offset by a $4.4 million decrease in variable compensation.</w:t>
      </w:r>
    </w:p>
    <w:p>
      <w:pPr>
        <w:spacing w:after="0" w:line="72"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Acquired Intangibles Amortization</w:t>
      </w:r>
      <w:r>
        <w:rPr>
          <w:rFonts w:ascii="Times New Roman" w:cs="Times New Roman" w:eastAsia="Times New Roman" w:hAnsi="Times New Roman"/>
          <w:sz w:val="18"/>
          <w:szCs w:val="18"/>
          <w:color w:val="auto"/>
        </w:rPr>
        <w:t>. Acquired intangibles amortization reflects the amortization of intangibles acquired through acquisitions.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discussion of acquired intangibles amortization, see Note 8 Acquired Intangibles and Goodwill to the condensed consolidated financial statements contained elsewhere in this Report.</w:t>
      </w:r>
    </w:p>
    <w:p>
      <w:pPr>
        <w:spacing w:after="0" w:line="64"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Expense, Net</w:t>
      </w:r>
      <w:r>
        <w:rPr>
          <w:rFonts w:ascii="Times New Roman" w:cs="Times New Roman" w:eastAsia="Times New Roman" w:hAnsi="Times New Roman"/>
          <w:sz w:val="18"/>
          <w:szCs w:val="18"/>
          <w:color w:val="auto"/>
        </w:rPr>
        <w:t>. Interest and other expense, net, primarily includes interest on our debt, amortization of debt discount and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partially offset by interest income earned on our cash, cash equivalents and short-term investments. Interest and other expense, net, increased by $1.0 million to $6.7 million for the three months ended December 2022, as compared to $5.7 million for the three months ended December 2021.</w:t>
      </w:r>
    </w:p>
    <w:p>
      <w:pPr>
        <w:spacing w:after="0" w:line="6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increase in interest and other expense, net, is primarily due to interest and amortization of debt issuance costs on the $600 million incremental Term Loan Facility executed in December 2021. The second quarter of fiscal 2023 includes a full quarter of interest expense on the $600 million Term Loan Facility whereas during the same period a year ago, the interest expense thereon only included a partial month. Additionally, the interest rate on the Term Loan Facility had increased by 465 basis points by the end of the second quarter of fiscal 2023 compared to the same period a year ago. The increase in interest and other expense, net, was partially offset by a $5.7 million increase in interest income compared to the same period a year ago and is related to a rise in interest rates period-over-period.</w:t>
      </w:r>
    </w:p>
    <w:p>
      <w:pPr>
        <w:spacing w:after="0" w:line="7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Interest and other expense, net, increased $3.4 million to $15.0 million for the six months ended December 2022, as compared to $11.6 million for the six months ended December 2021. The first half of fiscal 2023 includes a period of interest expense on the $600 million Term Loan Facility whereas during the same period a year ago, the interest expense thereon only included a partial month. Additionally, the interest rate on the Term Loan Facility had increased by 465 basis points by the end of the second quarter of fiscal 2023 compared to the same period a year ago. The increase in interest and other expense, net, was partially offset by a $8.8 million increase in interest income compared to the same period a year ago and is related to a rise in interest rates period-over-period.</w:t>
      </w:r>
    </w:p>
    <w:p>
      <w:pPr>
        <w:spacing w:after="0" w:line="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account for income taxes under the asset and liability method. The provision for income taxes recorded in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9" w:name="page30"/>
    <w:bookmarkEnd w:id="29"/>
    <w:p>
      <w:pPr>
        <w:ind w:right="320"/>
        <w:spacing w:after="0" w:line="281" w:lineRule="auto"/>
        <w:rPr>
          <w:sz w:val="20"/>
          <w:szCs w:val="20"/>
          <w:color w:val="auto"/>
        </w:rPr>
      </w:pPr>
      <w:r>
        <w:rPr>
          <w:rFonts w:ascii="Times New Roman" w:cs="Times New Roman" w:eastAsia="Times New Roman" w:hAnsi="Times New Roman"/>
          <w:sz w:val="18"/>
          <w:szCs w:val="18"/>
          <w:color w:val="auto"/>
        </w:rPr>
        <w:t>several factors, including our ability to accurately forecast annual income before provision for income taxes in each of the tax jurisdictions in which we operate.</w:t>
      </w:r>
    </w:p>
    <w:p>
      <w:pPr>
        <w:spacing w:after="0" w:line="5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$17.4 million and $56.5 million for the three and six months ended December 2022, respectively, represented estimated federal, foreign, and state income taxes. The effective tax rate for the three and six months ended December 2022, diverged from the combined U.S. federal and state statutory tax rate primarily due to the impact of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and non-deductible officer compensation, partially offset by the benefit of foreign income taxed at lower rates, and research credits.</w:t>
      </w:r>
    </w:p>
    <w:p>
      <w:pPr>
        <w:spacing w:after="0" w:line="78"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provision for income taxes of $2.0 million and $7.9 million for the three and six months ended December 2021, respectively, represented estimated federal, foreign, and state income taxes. The effective tax rate for the three and six months ended December 2021, diverged from the combined U.S. federal and state statutory tax rate, primarily due to foreign income taxed at lower rates, the benefit of research credits and foreign tax credits, partially offset by foreign withholding taxes, non-deductible officer compensation, non-deductible stock-based compensation, and GILTI.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cash and cash equivalents were $818.8 million as of December 2022, compared with $824.0 million as of June 2022, representing a decrease of $5.2 million. The decrease primarily reflected $49.1 million used for payroll taxes on the delivery of the underlying shares for Restricted Stock Units, or RSUs, Market Stock Units, or MSUs, and Performance Stock Units, or PSUs, $15.5 net cash paid to acquire Emza, $15.3 million for the purchase of property and equipment, $74.5 million for repurchases of our common stock, partially offset by proceeds from maturities of our short-term investments of $11.9 and $128.5 million of net cash provided by operating activities.</w:t>
      </w:r>
    </w:p>
    <w:p>
      <w:pPr>
        <w:spacing w:after="0" w:line="74"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December 2022, $744.0 million of cash, cash equivalents and short-term investments was held by our foreign subsidiaries. If these funds are needed for our operations in the United States, we would be able to repatriate substantially all of these funds without impacting our provision for income taxes.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Operating activities during the six months ended December 2022 generated $128.5 million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$180.7 million net cash generated during the six months ended December 2021. For the six months ended December 2022, the primary operating activities were adjustments for non-cash charges of $141.0 million and a net change in operating assets and liabilities of $99.1 million. The net change in operating assets and liabilities was primarily attributable to a $6.7 million increase in inventories, a $69.3 million decrease in accounts receivable, a $62.1 million decrease in accounts payable, a $54.2 million decrease in accrued compensation and a $53.9 million decrease in income taxes payable and other accrued liabilities.</w:t>
      </w:r>
    </w:p>
    <w:p>
      <w:pPr>
        <w:spacing w:after="0" w:line="80"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During the six months ended December 2022, our days sales outstanding was 65 days compared to 67 days at the same period a year ago. Our annual inventory turns decreased from six to three over the same time period.</w:t>
      </w:r>
    </w:p>
    <w:p>
      <w:pPr>
        <w:spacing w:after="0" w:line="5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Cash used by investing activities during the six months ended December 2022 was $18.8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$524.8 million during the six months ended December 2021. Net cash provided by investing activities for the six months ended December 2022 consisted of $11.9 million proceeds from the maturities of investments, partially offset by $15.5 net cash paid to acquire Emza and $15.3 million for purchases of property and equipment.</w:t>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Cash used in financing activities for the six months ended December 2022 was $115.0 million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$11.7 million provided by financing activities for the six months ended December 2021. Net cash used by financing activities for the six months ended December 2022 consisted of $8.8 million proceeds from issuance of shares, offset by $49.1 million used for payroll taxes on the delivery of the underlying shares for RSUs, MSUs and PSUs, and $74.5 million used to repurchase our common stock.</w:t>
      </w:r>
    </w:p>
    <w:p>
      <w:pPr>
        <w:spacing w:after="0" w:line="7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Common Stock Repurchase Program</w:t>
      </w:r>
      <w:r>
        <w:rPr>
          <w:rFonts w:ascii="Times New Roman" w:cs="Times New Roman" w:eastAsia="Times New Roman" w:hAnsi="Times New Roman"/>
          <w:sz w:val="18"/>
          <w:szCs w:val="18"/>
          <w:color w:val="auto"/>
        </w:rPr>
        <w:t>. As of December 2022, our board has cumulatively authorized $1.8 billion for our common stock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December 2022, we purchased, net of issuances for settlement of our convertible notes, 28,877,798 shares of our common stock in the open market for an aggregate cost of $769.0 million. During the six months ended December 2022, we repurchased 633,546 shares of our common stock. As of December 2022, the remaining available authorization under our common stock repurchase program was $502.9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6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Prior to June 15, 2024, we may redeem the Senior Notes, in whole or in part, at a redemption price of 100% of the principal amount thereof, plus a make-whole premium set forth in the Indenture, plus accrued and unpaid interest, if any, to, but excluding, the redemption date.</w:t>
      </w:r>
    </w:p>
    <w:p>
      <w:pPr>
        <w:spacing w:after="0" w:line="5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We may redeem some or all of the Senior Notes on or after June 15, 2024 at the redemption prices specified below, plus accrued and unpaid interest, if any, to, but excluding, the redemption date:</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60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18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Price</w:t>
            </w:r>
          </w:p>
        </w:tc>
      </w:tr>
      <w:tr>
        <w:trPr>
          <w:trHeight w:val="234"/>
        </w:trPr>
        <w:tc>
          <w:tcPr>
            <w:tcW w:w="6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-453390</wp:posOffset>
            </wp:positionV>
            <wp:extent cx="4991735"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-144780</wp:posOffset>
            </wp:positionV>
            <wp:extent cx="499173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83"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addition, at any time prior to June 15, 2024, we may redeem up to 40% of the aggregate principal amount of the Senior Notes at a redemption price equal to 104% of the principal amount thereof, plus accrued and unpaid interest, if any, to, but excluding, the applicable redemption date with the net cash proceeds from one or more equity offerings by us.</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81"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11, 2021, we entered into a Second Amended and Restated Credit Agreement, or the Credit Agreement, with the lenders party thereto and Wells Fargo Bank, National Association, as administrative agent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ratio (as defined in the Credit Agreement)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color w:val="auto"/>
        </w:rPr>
        <w:t>The Credit Agreement provides for a revolving credit facility in a principal amount of up to $250 million, which includes a $20 million sublimit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and a $25 million sublimit for swingline loans. Under the terms of the Credit Agreement, we may, subject to the satisfaction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request increases in the revolving credit facility commitments in an aggregate principal amount of up to $150 million to the extent existing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lenders agree to provide such increased or additional commitments, as applicable. Future proceeds under the revolving credit facility are available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and general corporate purposes. In March 2021 we used a portion of the proceeds from the Senior Notes described above to repay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million outstanding borrowings on this revolving credit facility. As of December 2022, there was no balance outstanding under the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9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5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that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two financial covenants that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December 2022, we remain in compliance with the restrictive covenants.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74" w:lineRule="exact"/>
        <w:rPr>
          <w:sz w:val="20"/>
          <w:szCs w:val="20"/>
          <w:color w:val="auto"/>
        </w:rPr>
      </w:pPr>
    </w:p>
    <w:p>
      <w:pPr>
        <w:ind w:right="160" w:firstLine="509"/>
        <w:spacing w:after="0" w:line="276" w:lineRule="auto"/>
        <w:rPr>
          <w:sz w:val="20"/>
          <w:szCs w:val="20"/>
          <w:color w:val="auto"/>
        </w:rPr>
      </w:pPr>
      <w:r>
        <w:rPr>
          <w:rFonts w:ascii="Times New Roman" w:cs="Times New Roman" w:eastAsia="Times New Roman" w:hAnsi="Times New Roman"/>
          <w:sz w:val="17"/>
          <w:szCs w:val="17"/>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ind w:right="40" w:firstLine="8"/>
        <w:spacing w:after="0" w:line="252"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0.50%, (ii) the Wells Fargo Bank, National Association prime rate and (iii) the one-month LIBOR plus 1.00%.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82"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June 30, 2023, an excess cash flow sweep, subject to customary step-downs and thresholds.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$100 Million Shelf Registration</w:t>
      </w:r>
      <w:r>
        <w:rPr>
          <w:rFonts w:ascii="Times New Roman" w:cs="Times New Roman" w:eastAsia="Times New Roman" w:hAnsi="Times New Roman"/>
          <w:sz w:val="18"/>
          <w:szCs w:val="18"/>
          <w:color w:val="auto"/>
        </w:rPr>
        <w:t>. We have registered an aggregate of $100.0 million of common stock and preferred stock for issuance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6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Working Capital Needs</w:t>
      </w:r>
      <w:r>
        <w:rPr>
          <w:rFonts w:ascii="Times New Roman" w:cs="Times New Roman" w:eastAsia="Times New Roman" w:hAnsi="Times New Roman"/>
          <w:sz w:val="18"/>
          <w:szCs w:val="18"/>
          <w:color w:val="auto"/>
        </w:rPr>
        <w:t>. We believe our existing cash and cash equivalents, anticipated cash flows from operating activities, anticipated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financing activities, and available credit under our revolving credit facility, will be sufficient to meet our working capital and other cash requirements, including acquisitions, and our debt service obligations for at least the next 12 months. Our future capital requirements will depend on many factors, including our revenue, the continuing or worsening impact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83"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material contractual obligations and commercial commitments as of December 2022 were as follows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4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6"/>
                <w:szCs w:val="16"/>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auto"/>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tcBorders>
              <w:bottom w:val="single" w:sz="8" w:color="CFF0FC"/>
            </w:tcBorders>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Purchase obligations and other commitments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-187960</wp:posOffset>
            </wp:positionV>
            <wp:extent cx="7683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-187960</wp:posOffset>
            </wp:positionV>
            <wp:extent cx="76835"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-187960</wp:posOffset>
            </wp:positionV>
            <wp:extent cx="6858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5" w:lineRule="exact"/>
        <w:rPr>
          <w:sz w:val="20"/>
          <w:szCs w:val="20"/>
          <w:color w:val="auto"/>
        </w:rPr>
      </w:pPr>
    </w:p>
    <w:p>
      <w:pPr>
        <w:ind w:left="1560" w:hanging="534"/>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principal and interest payable through the maturity date of the underlying contractual obligation.</w:t>
      </w:r>
    </w:p>
    <w:p>
      <w:pPr>
        <w:spacing w:after="0" w:line="116" w:lineRule="exact"/>
        <w:rPr>
          <w:rFonts w:ascii="Times New Roman" w:cs="Times New Roman" w:eastAsia="Times New Roman" w:hAnsi="Times New Roman"/>
          <w:sz w:val="18"/>
          <w:szCs w:val="18"/>
          <w:color w:val="auto"/>
        </w:rPr>
      </w:pPr>
    </w:p>
    <w:p>
      <w:pPr>
        <w:ind w:left="520" w:right="220" w:firstLine="506"/>
        <w:spacing w:after="0" w:line="281" w:lineRule="auto"/>
        <w:tabs>
          <w:tab w:leader="none" w:pos="15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and other commitments include payments due for inventory purchase obligations with contract manufacturers, long-term software tool licenses, and other licenses.</w:t>
      </w:r>
    </w:p>
    <w:p>
      <w:pPr>
        <w:spacing w:after="0" w:line="163"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 amounts in the table above exclude gross unrecognized tax benefits related to uncertain tax positions of $51.2 million. As of December 2022, we were unable to make a reasonably reliable estimate of when cash settlement with a taxing authority may occur in connection with our gross unrecognized tax benefit.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60" w:firstLine="509"/>
        <w:spacing w:after="0" w:line="312" w:lineRule="auto"/>
        <w:rPr>
          <w:sz w:val="20"/>
          <w:szCs w:val="20"/>
          <w:color w:val="auto"/>
        </w:rPr>
      </w:pPr>
      <w:r>
        <w:rPr>
          <w:rFonts w:ascii="Times New Roman" w:cs="Times New Roman" w:eastAsia="Times New Roman" w:hAnsi="Times New Roman"/>
          <w:sz w:val="17"/>
          <w:szCs w:val="17"/>
          <w:color w:val="auto"/>
        </w:rPr>
        <w:t>Except as described below, as of December 24, 2022, our market risk related to interest rates on our cash and cash equivalents, and foreign currency exchange risks has not changed materially from the risks disclosed in Item 7A of our Annual Report on Form 10-K for the fiscal year ended June 25,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Debt</w:t>
      </w:r>
    </w:p>
    <w:p>
      <w:pPr>
        <w:spacing w:after="0" w:line="229"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With our outstanding debt, we are exposed to various forms of market risk, including the potential losses arising from adverse changes in interest rates on our outstanding Term Loan Facility, including changes that may result from implementation of new benchmark rates that replace LIBOR. See “Note 12. Debt” for further information. A hypothetical increase in the interest rate by 1% would result in an increase in annual interest expense of approximately $5.9 million based on the outstanding balance of our Term Loan as of December 2022.</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Although many of the restrictions and containment measures implemented by governmental authorities in response to the COVID-19 pandemic have since been lifted or scaled back, some of our employees continue to work from home, or on a hybrid basis. Established business continuity plans were initiated in order to mitigate the impact to our control environment, operating procedures, data, and internal controls. The design of our processes and controls allows for remote execution with accessibility to secure data.</w:t>
      </w:r>
    </w:p>
    <w:p>
      <w:pPr>
        <w:spacing w:after="0" w:line="1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December 24, 2022,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assessed, with the participation of our CEO and CFO, any change in our internal control over financial reporting as of the end of the fiscal quarter covered by this Report.</w:t>
      </w:r>
    </w:p>
    <w:p>
      <w:pPr>
        <w:spacing w:after="0" w:line="163"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period ended December 2022, that have materially affected, or are reasonably likely to materially affect, our internal control over financial reporting.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252525"/>
        </w:rPr>
        <w:t xml:space="preserve">We refer you to the Company’s risk factors set forth in Part I, Item 1A, “Risk Factors,” of our Annual Report on Form 10-K for the fiscal year ended June 25, 2022 for material risks that may affect our business. </w:t>
      </w:r>
      <w:r>
        <w:rPr>
          <w:rFonts w:ascii="Times New Roman" w:cs="Times New Roman" w:eastAsia="Times New Roman" w:hAnsi="Times New Roman"/>
          <w:sz w:val="18"/>
          <w:szCs w:val="18"/>
          <w:color w:val="000000"/>
        </w:rPr>
        <w:t>There have been no material changes from the risk factors previously disclosed.</w:t>
      </w:r>
    </w:p>
    <w:p>
      <w:pPr>
        <w:spacing w:after="0" w:line="347" w:lineRule="exact"/>
        <w:rPr>
          <w:sz w:val="20"/>
          <w:szCs w:val="20"/>
          <w:color w:val="auto"/>
        </w:rPr>
      </w:pPr>
    </w:p>
    <w:p>
      <w:pPr>
        <w:ind w:right="414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of Directors has cumulatively authorized $1.8 billion for our common stock repurchase program, which expires at the end of July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2022, the remaining amount authorized for the repurchase of our common stock was $502.9 million. During the three-month period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2022, repurchases under our common stock repurchase program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Maximum Dollar</w:t>
            </w:r>
          </w:p>
        </w:tc>
        <w:tc>
          <w:tcPr>
            <w:tcW w:w="100" w:type="dxa"/>
            <w:vAlign w:val="bottom"/>
          </w:tcPr>
          <w:p>
            <w:pPr>
              <w:spacing w:after="0"/>
              <w:rPr>
                <w:sz w:val="20"/>
                <w:szCs w:val="20"/>
                <w:color w:val="auto"/>
              </w:rPr>
            </w:pPr>
          </w:p>
        </w:tc>
      </w:tr>
      <w:tr>
        <w:trPr>
          <w:trHeight w:val="238"/>
        </w:trPr>
        <w:tc>
          <w:tcPr>
            <w:tcW w:w="4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Value of Shares</w:t>
            </w:r>
          </w:p>
        </w:tc>
        <w:tc>
          <w:tcPr>
            <w:tcW w:w="100" w:type="dxa"/>
            <w:vAlign w:val="bottom"/>
          </w:tcPr>
          <w:p>
            <w:pPr>
              <w:spacing w:after="0"/>
              <w:rPr>
                <w:sz w:val="20"/>
                <w:szCs w:val="20"/>
                <w:color w:val="auto"/>
              </w:rPr>
            </w:pPr>
          </w:p>
        </w:tc>
      </w:tr>
      <w:tr>
        <w:trPr>
          <w:trHeight w:val="243"/>
        </w:trPr>
        <w:tc>
          <w:tcPr>
            <w:tcW w:w="4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that May Be</w:t>
            </w:r>
          </w:p>
        </w:tc>
        <w:tc>
          <w:tcPr>
            <w:tcW w:w="10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Price</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Paid</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the Future</w:t>
            </w:r>
          </w:p>
        </w:tc>
        <w:tc>
          <w:tcPr>
            <w:tcW w:w="10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Shares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per</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Announced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Under the</w:t>
            </w:r>
          </w:p>
        </w:tc>
        <w:tc>
          <w:tcPr>
            <w:tcW w:w="100" w:type="dxa"/>
            <w:vAlign w:val="bottom"/>
          </w:tcPr>
          <w:p>
            <w:pPr>
              <w:spacing w:after="0"/>
              <w:rPr>
                <w:sz w:val="21"/>
                <w:szCs w:val="21"/>
                <w:color w:val="auto"/>
              </w:rPr>
            </w:pPr>
          </w:p>
        </w:tc>
      </w:tr>
      <w:tr>
        <w:trPr>
          <w:trHeight w:val="25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Program</w:t>
            </w:r>
          </w:p>
        </w:tc>
        <w:tc>
          <w:tcPr>
            <w:tcW w:w="100" w:type="dxa"/>
            <w:vAlign w:val="bottom"/>
          </w:tcPr>
          <w:p>
            <w:pPr>
              <w:spacing w:after="0"/>
              <w:rPr>
                <w:sz w:val="21"/>
                <w:szCs w:val="2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25, 2022 - October 22, 2022</w:t>
            </w:r>
          </w:p>
        </w:tc>
        <w:tc>
          <w:tcPr>
            <w:tcW w:w="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544,964,378</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2022 - November 19, 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525,912,558</w:t>
            </w:r>
          </w:p>
        </w:tc>
        <w:tc>
          <w:tcPr>
            <w:tcW w:w="100" w:type="dxa"/>
            <w:vAlign w:val="bottom"/>
          </w:tcPr>
          <w:p>
            <w:pPr>
              <w:spacing w:after="0"/>
              <w:rPr>
                <w:sz w:val="20"/>
                <w:szCs w:val="20"/>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20, 2022 - December 24, 2022</w:t>
            </w:r>
          </w:p>
        </w:tc>
        <w:tc>
          <w:tcPr>
            <w:tcW w:w="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229,747</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502,860,645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633,546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0"/>
        </w:trPr>
        <w:tc>
          <w:tcPr>
            <w:tcW w:w="4400" w:type="dxa"/>
            <w:vAlign w:val="bottom"/>
          </w:tcPr>
          <w:p>
            <w:pPr>
              <w:spacing w:after="0"/>
              <w:rPr>
                <w:sz w:val="24"/>
                <w:szCs w:val="24"/>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-838200</wp:posOffset>
            </wp:positionV>
            <wp:extent cx="7683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5760" w:type="dxa"/>
            <w:vAlign w:val="bottom"/>
            <w:tcBorders>
              <w:left w:val="single" w:sz="8" w:color="0000FF"/>
            </w:tcBorders>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2"/>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9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bl>
    <w:p>
      <w:pPr>
        <w:spacing w:after="0" w:line="157" w:lineRule="exact"/>
        <w:rPr>
          <w:sz w:val="20"/>
          <w:szCs w:val="20"/>
          <w:color w:val="auto"/>
        </w:rPr>
      </w:pPr>
    </w:p>
    <w:p>
      <w:pPr>
        <w:ind w:left="1160" w:right="180" w:hanging="1139"/>
        <w:spacing w:after="0" w:line="281" w:lineRule="auto"/>
        <w:tabs>
          <w:tab w:leader="none" w:pos="1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378" w:lineRule="exact"/>
        <w:rPr>
          <w:rFonts w:ascii="Times New Roman" w:cs="Times New Roman" w:eastAsia="Times New Roman" w:hAnsi="Times New Roman"/>
          <w:sz w:val="18"/>
          <w:szCs w:val="18"/>
          <w:color w:val="auto"/>
        </w:rPr>
      </w:pPr>
    </w:p>
    <w:p>
      <w:pPr>
        <w:ind w:left="52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14300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SYNAPTICS INCORPORATED</w:t>
            </w:r>
          </w:p>
        </w:tc>
      </w:tr>
      <w:tr>
        <w:trPr>
          <w:trHeight w:val="49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 2023</w:t>
            </w:r>
          </w:p>
        </w:tc>
        <w:tc>
          <w:tcPr>
            <w:tcW w:w="3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E. Hurlston</w:t>
            </w:r>
          </w:p>
        </w:tc>
      </w:tr>
      <w:tr>
        <w:trPr>
          <w:trHeight w:val="204"/>
        </w:trPr>
        <w:tc>
          <w:tcPr>
            <w:tcW w:w="3640" w:type="dxa"/>
            <w:vAlign w:val="bottom"/>
          </w:tcPr>
          <w:p>
            <w:pPr>
              <w:spacing w:after="0"/>
              <w:rPr>
                <w:sz w:val="17"/>
                <w:szCs w:val="17"/>
                <w:color w:val="auto"/>
              </w:rPr>
            </w:pPr>
          </w:p>
        </w:tc>
        <w:tc>
          <w:tcPr>
            <w:tcW w:w="3520" w:type="dxa"/>
            <w:vAlign w:val="bottom"/>
          </w:tcPr>
          <w:p>
            <w:pPr>
              <w:ind w:left="286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Michael E. Hurlston</w:t>
            </w:r>
          </w:p>
        </w:tc>
      </w:tr>
      <w:tr>
        <w:trPr>
          <w:trHeight w:val="234"/>
        </w:trPr>
        <w:tc>
          <w:tcPr>
            <w:tcW w:w="3640" w:type="dxa"/>
            <w:vAlign w:val="bottom"/>
          </w:tcPr>
          <w:p>
            <w:pPr>
              <w:spacing w:after="0"/>
              <w:rPr>
                <w:sz w:val="20"/>
                <w:szCs w:val="20"/>
                <w:color w:val="auto"/>
              </w:rPr>
            </w:pPr>
          </w:p>
        </w:tc>
        <w:tc>
          <w:tcPr>
            <w:tcW w:w="3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1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 2023</w:t>
            </w:r>
          </w:p>
        </w:tc>
        <w:tc>
          <w:tcPr>
            <w:tcW w:w="3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Dean Butler</w:t>
            </w:r>
          </w:p>
        </w:tc>
      </w:tr>
      <w:tr>
        <w:trPr>
          <w:trHeight w:val="204"/>
        </w:trPr>
        <w:tc>
          <w:tcPr>
            <w:tcW w:w="3640" w:type="dxa"/>
            <w:vAlign w:val="bottom"/>
          </w:tcPr>
          <w:p>
            <w:pPr>
              <w:spacing w:after="0"/>
              <w:rPr>
                <w:sz w:val="17"/>
                <w:szCs w:val="17"/>
                <w:color w:val="auto"/>
              </w:rPr>
            </w:pPr>
          </w:p>
        </w:tc>
        <w:tc>
          <w:tcPr>
            <w:tcW w:w="3520" w:type="dxa"/>
            <w:vAlign w:val="bottom"/>
          </w:tcPr>
          <w:p>
            <w:pPr>
              <w:ind w:left="286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Dean Butler</w:t>
            </w:r>
          </w:p>
        </w:tc>
      </w:tr>
      <w:tr>
        <w:trPr>
          <w:trHeight w:val="234"/>
        </w:trPr>
        <w:tc>
          <w:tcPr>
            <w:tcW w:w="3640" w:type="dxa"/>
            <w:vAlign w:val="bottom"/>
          </w:tcPr>
          <w:p>
            <w:pPr>
              <w:spacing w:after="0"/>
              <w:rPr>
                <w:sz w:val="20"/>
                <w:szCs w:val="20"/>
                <w:color w:val="auto"/>
              </w:rPr>
            </w:pPr>
          </w:p>
        </w:tc>
        <w:tc>
          <w:tcPr>
            <w:tcW w:w="3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47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 2023</w:t>
            </w:r>
          </w:p>
        </w:tc>
        <w:tc>
          <w:tcPr>
            <w:tcW w:w="3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Kermit Nolan</w:t>
            </w:r>
          </w:p>
        </w:tc>
      </w:tr>
      <w:tr>
        <w:trPr>
          <w:trHeight w:val="204"/>
        </w:trPr>
        <w:tc>
          <w:tcPr>
            <w:tcW w:w="3640" w:type="dxa"/>
            <w:vAlign w:val="bottom"/>
          </w:tcPr>
          <w:p>
            <w:pPr>
              <w:spacing w:after="0"/>
              <w:rPr>
                <w:sz w:val="17"/>
                <w:szCs w:val="17"/>
                <w:color w:val="auto"/>
              </w:rPr>
            </w:pPr>
          </w:p>
        </w:tc>
        <w:tc>
          <w:tcPr>
            <w:tcW w:w="3520" w:type="dxa"/>
            <w:vAlign w:val="bottom"/>
          </w:tcPr>
          <w:p>
            <w:pPr>
              <w:ind w:left="286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Kermit Nolan</w:t>
            </w:r>
          </w:p>
        </w:tc>
      </w:tr>
      <w:tr>
        <w:trPr>
          <w:trHeight w:val="234"/>
        </w:trPr>
        <w:tc>
          <w:tcPr>
            <w:tcW w:w="3640" w:type="dxa"/>
            <w:vAlign w:val="bottom"/>
          </w:tcPr>
          <w:p>
            <w:pPr>
              <w:spacing w:after="0"/>
              <w:rPr>
                <w:sz w:val="20"/>
                <w:szCs w:val="20"/>
                <w:color w:val="auto"/>
              </w:rPr>
            </w:pPr>
          </w:p>
        </w:tc>
        <w:tc>
          <w:tcPr>
            <w:tcW w:w="3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Chief Accounting Officer</w:t>
            </w:r>
          </w:p>
        </w:tc>
      </w:tr>
      <w:tr>
        <w:trPr>
          <w:trHeight w:val="661"/>
        </w:trPr>
        <w:tc>
          <w:tcPr>
            <w:tcW w:w="3640" w:type="dxa"/>
            <w:vAlign w:val="bottom"/>
          </w:tcPr>
          <w:p>
            <w:pPr>
              <w:spacing w:after="0"/>
              <w:rPr>
                <w:sz w:val="24"/>
                <w:szCs w:val="24"/>
                <w:color w:val="auto"/>
              </w:rPr>
            </w:pPr>
          </w:p>
        </w:tc>
        <w:tc>
          <w:tcPr>
            <w:tcW w:w="3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37</w:t>
            </w:r>
          </w:p>
        </w:tc>
        <w:tc>
          <w:tcPr>
            <w:tcW w:w="40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Michael E. Hurlston,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116" w:lineRule="exact"/>
        <w:rPr>
          <w:rFonts w:ascii="Times New Roman" w:cs="Times New Roman" w:eastAsia="Times New Roman" w:hAnsi="Times New Roman"/>
          <w:sz w:val="18"/>
          <w:szCs w:val="18"/>
          <w:color w:val="auto"/>
        </w:rPr>
      </w:pPr>
    </w:p>
    <w:p>
      <w:pPr>
        <w:ind w:right="60" w:firstLine="517"/>
        <w:spacing w:after="0" w:line="312" w:lineRule="auto"/>
        <w:tabs>
          <w:tab w:leader="none" w:pos="6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1"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80" w:firstLine="517"/>
        <w:spacing w:after="0" w:line="265"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firstLine="506"/>
        <w:spacing w:after="0" w:line="265" w:lineRule="auto"/>
        <w:tabs>
          <w:tab w:leader="none" w:pos="12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200" w:firstLine="506"/>
        <w:spacing w:after="0" w:line="265" w:lineRule="auto"/>
        <w:tabs>
          <w:tab w:leader="none" w:pos="12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20" w:firstLine="506"/>
        <w:spacing w:after="0" w:line="281" w:lineRule="auto"/>
        <w:tabs>
          <w:tab w:leader="none" w:pos="12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280" w:firstLine="506"/>
        <w:spacing w:after="0" w:line="265" w:lineRule="auto"/>
        <w:tabs>
          <w:tab w:leader="none" w:pos="12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40" w:firstLine="517"/>
        <w:spacing w:after="0" w:line="281"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40" w:firstLine="506"/>
        <w:spacing w:after="0" w:line="281" w:lineRule="auto"/>
        <w:tabs>
          <w:tab w:leader="none" w:pos="12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20" w:firstLine="506"/>
        <w:spacing w:after="0" w:line="281" w:lineRule="auto"/>
        <w:tabs>
          <w:tab w:leader="none" w:pos="12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2023</w:t>
      </w:r>
    </w:p>
    <w:p>
      <w:pPr>
        <w:spacing w:after="0" w:line="2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372745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17" w:lineRule="exact"/>
        <w:rPr>
          <w:sz w:val="20"/>
          <w:szCs w:val="20"/>
          <w:color w:val="auto"/>
        </w:rPr>
      </w:pPr>
    </w:p>
    <w:p>
      <w:pPr>
        <w:ind w:left="700" w:hanging="183"/>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116" w:lineRule="exact"/>
        <w:rPr>
          <w:rFonts w:ascii="Times New Roman" w:cs="Times New Roman" w:eastAsia="Times New Roman" w:hAnsi="Times New Roman"/>
          <w:sz w:val="18"/>
          <w:szCs w:val="18"/>
          <w:color w:val="auto"/>
        </w:rPr>
      </w:pPr>
    </w:p>
    <w:p>
      <w:pPr>
        <w:ind w:right="60" w:firstLine="517"/>
        <w:spacing w:after="0" w:line="312" w:lineRule="auto"/>
        <w:tabs>
          <w:tab w:leader="none" w:pos="68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1"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80" w:firstLine="517"/>
        <w:spacing w:after="0" w:line="265"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firstLine="506"/>
        <w:spacing w:after="0" w:line="265" w:lineRule="auto"/>
        <w:tabs>
          <w:tab w:leader="none" w:pos="121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200" w:firstLine="506"/>
        <w:spacing w:after="0" w:line="265" w:lineRule="auto"/>
        <w:tabs>
          <w:tab w:leader="none" w:pos="12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20" w:firstLine="506"/>
        <w:spacing w:after="0" w:line="281" w:lineRule="auto"/>
        <w:tabs>
          <w:tab w:leader="none" w:pos="121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280" w:firstLine="506"/>
        <w:spacing w:after="0" w:line="265" w:lineRule="auto"/>
        <w:tabs>
          <w:tab w:leader="none" w:pos="12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40" w:firstLine="517"/>
        <w:spacing w:after="0" w:line="281"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40" w:firstLine="506"/>
        <w:spacing w:after="0" w:line="281" w:lineRule="auto"/>
        <w:tabs>
          <w:tab w:leader="none" w:pos="121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20" w:firstLine="506"/>
        <w:spacing w:after="0" w:line="281" w:lineRule="auto"/>
        <w:tabs>
          <w:tab w:leader="none" w:pos="12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2023</w:t>
      </w:r>
    </w:p>
    <w:p>
      <w:pPr>
        <w:spacing w:after="0" w:line="2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27305</wp:posOffset>
            </wp:positionV>
            <wp:extent cx="28511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9" w:name="page40"/>
    <w:bookmarkEnd w:id="3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Synaptics Incorporated (the “Company”) for the quarterly period ended December 24, 2022,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74"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right="340" w:firstLine="509"/>
        <w:spacing w:after="0" w:line="288" w:lineRule="auto"/>
        <w:rPr>
          <w:sz w:val="20"/>
          <w:szCs w:val="20"/>
          <w:color w:val="auto"/>
        </w:rPr>
      </w:pPr>
      <w:r>
        <w:rPr>
          <w:rFonts w:ascii="Times New Roman" w:cs="Times New Roman" w:eastAsia="Times New Roman" w:hAnsi="Times New Roman"/>
          <w:sz w:val="17"/>
          <w:szCs w:val="17"/>
          <w:color w:val="auto"/>
        </w:rPr>
        <w:t>In connection with the Quarterly Report on Form 10-Q of Synaptics Incorporated (the “Company”) for the quarterly period ended December 24, 2022,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1"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11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Dean Butler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lvl w:ilvl="1">
      <w:lvlJc w:val="left"/>
      <w:lvlText w:val="%2"/>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2023-02-02T16:13:26Z</dcterms:created>
  <dcterms:modified xsi:type="dcterms:W3CDTF">2023-02-02T16:13:26Z</dcterms:modified>
</cp:coreProperties>
</file>