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117475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30, 2019</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840"/>
        <w:spacing w:after="0"/>
        <w:tabs>
          <w:tab w:leader="none" w:pos="6780" w:val="left"/>
          <w:tab w:leader="none" w:pos="7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SYNAPTICS INCORPORATED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432" w:right="279" w:bottom="1440" w:gutter="0" w:footer="0" w:header="0"/>
        </w:sectPr>
      </w:pPr>
    </w:p>
    <w:p>
      <w:pPr>
        <w:spacing w:after="0" w:line="232"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77-0118518</w:t>
      </w:r>
    </w:p>
    <w:p>
      <w:pPr>
        <w:spacing w:after="0" w:line="31" w:lineRule="exact"/>
        <w:rPr>
          <w:sz w:val="24"/>
          <w:szCs w:val="24"/>
          <w:color w:val="auto"/>
        </w:rPr>
      </w:pPr>
    </w:p>
    <w:p>
      <w:pPr>
        <w:sectPr>
          <w:pgSz w:w="11900" w:h="16838" w:orient="portrait"/>
          <w:cols w:equalWidth="0" w:num="2">
            <w:col w:w="7480" w:space="720"/>
            <w:col w:w="3180"/>
          </w:cols>
          <w:pgMar w:left="240" w:top="432" w:right="279" w:bottom="1440" w:gutter="0" w:footer="0" w:header="0"/>
          <w:type w:val="continuous"/>
        </w:sectPr>
      </w:pPr>
    </w:p>
    <w:p>
      <w:pPr>
        <w:spacing w:after="0" w:line="1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340" w:space="720"/>
            <w:col w:w="3320"/>
          </w:cols>
          <w:pgMar w:left="240" w:top="432"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1251 McKay Drive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Jose, California 95131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904-1100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156845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432" w:right="279" w:bottom="1440" w:gutter="0" w:footer="0" w:header="0"/>
          <w:type w:val="continuous"/>
        </w:sectPr>
      </w:pPr>
    </w:p>
    <w:p>
      <w:pPr>
        <w:spacing w:after="0" w:line="35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74"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190"/>
        </w:trPr>
        <w:tc>
          <w:tcPr>
            <w:tcW w:w="1400" w:type="dxa"/>
            <w:vAlign w:val="bottom"/>
          </w:tcPr>
          <w:p>
            <w:pPr>
              <w:spacing w:after="0"/>
              <w:rPr>
                <w:sz w:val="16"/>
                <w:szCs w:val="16"/>
                <w:color w:val="auto"/>
              </w:rPr>
            </w:pPr>
          </w:p>
        </w:tc>
        <w:tc>
          <w:tcPr>
            <w:tcW w:w="3640" w:type="dxa"/>
            <w:vAlign w:val="bottom"/>
            <w:gridSpan w:val="2"/>
          </w:tcPr>
          <w:p>
            <w:pPr>
              <w:jc w:val="center"/>
              <w:ind w:right="2340"/>
              <w:spacing w:after="0" w:line="190" w:lineRule="exact"/>
              <w:rPr>
                <w:sz w:val="20"/>
                <w:szCs w:val="20"/>
                <w:color w:val="auto"/>
              </w:rPr>
            </w:pPr>
            <w:r>
              <w:rPr>
                <w:rFonts w:ascii="Arial" w:cs="Arial" w:eastAsia="Arial" w:hAnsi="Arial"/>
                <w:sz w:val="18"/>
                <w:szCs w:val="18"/>
                <w:color w:val="auto"/>
                <w:w w:val="90"/>
              </w:rPr>
              <w:t>Title of each class</w:t>
            </w:r>
          </w:p>
        </w:tc>
        <w:tc>
          <w:tcPr>
            <w:tcW w:w="2620" w:type="dxa"/>
            <w:vAlign w:val="bottom"/>
            <w:gridSpan w:val="2"/>
          </w:tcPr>
          <w:p>
            <w:pPr>
              <w:jc w:val="center"/>
              <w:ind w:right="1440"/>
              <w:spacing w:after="0" w:line="190" w:lineRule="exact"/>
              <w:rPr>
                <w:sz w:val="20"/>
                <w:szCs w:val="20"/>
                <w:color w:val="auto"/>
              </w:rPr>
            </w:pPr>
            <w:r>
              <w:rPr>
                <w:rFonts w:ascii="Arial" w:cs="Arial" w:eastAsia="Arial" w:hAnsi="Arial"/>
                <w:sz w:val="18"/>
                <w:szCs w:val="18"/>
                <w:color w:val="auto"/>
                <w:w w:val="93"/>
              </w:rPr>
              <w:t>Trading Symbol</w:t>
            </w:r>
          </w:p>
        </w:tc>
        <w:tc>
          <w:tcPr>
            <w:tcW w:w="3180" w:type="dxa"/>
            <w:vAlign w:val="bottom"/>
          </w:tcPr>
          <w:p>
            <w:pPr>
              <w:jc w:val="center"/>
              <w:spacing w:after="0" w:line="190"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4"/>
        </w:trPr>
        <w:tc>
          <w:tcPr>
            <w:tcW w:w="5040" w:type="dxa"/>
            <w:vAlign w:val="bottom"/>
            <w:gridSpan w:val="3"/>
          </w:tcPr>
          <w:p>
            <w:pPr>
              <w:jc w:val="center"/>
              <w:ind w:right="940"/>
              <w:spacing w:after="0"/>
              <w:rPr>
                <w:sz w:val="20"/>
                <w:szCs w:val="20"/>
                <w:color w:val="auto"/>
              </w:rPr>
            </w:pPr>
            <w:r>
              <w:rPr>
                <w:rFonts w:ascii="Arial" w:cs="Arial" w:eastAsia="Arial" w:hAnsi="Arial"/>
                <w:sz w:val="18"/>
                <w:szCs w:val="18"/>
                <w:color w:val="auto"/>
                <w:w w:val="89"/>
              </w:rPr>
              <w:t>Common Stock, par value $.001 per share</w:t>
            </w:r>
          </w:p>
        </w:tc>
        <w:tc>
          <w:tcPr>
            <w:tcW w:w="2620" w:type="dxa"/>
            <w:vAlign w:val="bottom"/>
            <w:gridSpan w:val="2"/>
          </w:tcPr>
          <w:p>
            <w:pPr>
              <w:jc w:val="center"/>
              <w:ind w:right="1440"/>
              <w:spacing w:after="0"/>
              <w:rPr>
                <w:sz w:val="20"/>
                <w:szCs w:val="20"/>
                <w:color w:val="auto"/>
              </w:rPr>
            </w:pPr>
            <w:r>
              <w:rPr>
                <w:rFonts w:ascii="Arial" w:cs="Arial" w:eastAsia="Arial" w:hAnsi="Arial"/>
                <w:sz w:val="18"/>
                <w:szCs w:val="18"/>
                <w:color w:val="auto"/>
              </w:rPr>
              <w:t>SYNA</w:t>
            </w:r>
          </w:p>
        </w:tc>
        <w:tc>
          <w:tcPr>
            <w:tcW w:w="3180" w:type="dxa"/>
            <w:vAlign w:val="bottom"/>
          </w:tcPr>
          <w:p>
            <w:pPr>
              <w:jc w:val="center"/>
              <w:spacing w:after="0"/>
              <w:rPr>
                <w:sz w:val="20"/>
                <w:szCs w:val="20"/>
                <w:color w:val="auto"/>
              </w:rPr>
            </w:pPr>
            <w:r>
              <w:rPr>
                <w:rFonts w:ascii="Arial" w:cs="Arial" w:eastAsia="Arial" w:hAnsi="Arial"/>
                <w:sz w:val="18"/>
                <w:szCs w:val="18"/>
                <w:color w:val="auto"/>
                <w:w w:val="93"/>
              </w:rPr>
              <w:t>The NASDAQ Global Select Market</w:t>
            </w:r>
          </w:p>
        </w:tc>
      </w:tr>
    </w:tbl>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at May 2, 2019: 34,498,484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2"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30, 2019</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2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20" w:type="dxa"/>
            <w:vAlign w:val="bottom"/>
            <w:gridSpan w:val="18"/>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43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48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Sheets—March 31, 2019 and June 30, 2018</w:t>
              </w:r>
            </w:hyperlink>
          </w:p>
        </w:tc>
        <w:tc>
          <w:tcPr>
            <w:tcW w:w="418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Operations—Three and Nine Months Ended March 31, 2019 and 2018</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Income/(Loss)—Three and Nine Months Ended March 31, 2019 and 2018</w:t>
              </w:r>
            </w:hyperlink>
          </w:p>
        </w:tc>
        <w:tc>
          <w:tcPr>
            <w:tcW w:w="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w:t>
              </w:r>
            </w:hyperlink>
          </w:p>
        </w:tc>
        <w:tc>
          <w:tcPr>
            <w:tcW w:w="540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Flows—Nine Months Ended March 31, 2019 and 2018</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3240" w:type="dxa"/>
            <w:vAlign w:val="bottom"/>
            <w:tcBorders>
              <w:top w:val="single" w:sz="8" w:color="0000EE"/>
            </w:tcBorders>
            <w:gridSpan w:val="7"/>
          </w:tcPr>
          <w:p>
            <w:pPr>
              <w:spacing w:after="0"/>
              <w:rPr>
                <w:sz w:val="24"/>
                <w:szCs w:val="24"/>
                <w:color w:val="auto"/>
              </w:rPr>
            </w:pPr>
          </w:p>
        </w:tc>
        <w:tc>
          <w:tcPr>
            <w:tcW w:w="256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980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334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802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02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846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80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544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980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04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704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ind w:left="260"/>
              <w:spacing w:after="0"/>
              <w:rPr>
                <w:sz w:val="20"/>
                <w:szCs w:val="20"/>
                <w:color w:val="auto"/>
              </w:rPr>
            </w:pPr>
            <w:r>
              <w:rPr>
                <w:rFonts w:ascii="Arial" w:cs="Arial" w:eastAsia="Arial" w:hAnsi="Arial"/>
                <w:sz w:val="18"/>
                <w:szCs w:val="18"/>
                <w:color w:val="auto"/>
              </w:rPr>
              <w:t>Accounts receivable, net of allowances of $2.1 and $1.8 at March 31, 2019 and</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380"/>
              <w:spacing w:after="0"/>
              <w:rPr>
                <w:sz w:val="20"/>
                <w:szCs w:val="20"/>
                <w:color w:val="auto"/>
              </w:rPr>
            </w:pPr>
            <w:r>
              <w:rPr>
                <w:rFonts w:ascii="Arial" w:cs="Arial" w:eastAsia="Arial" w:hAnsi="Arial"/>
                <w:sz w:val="18"/>
                <w:szCs w:val="18"/>
                <w:color w:val="auto"/>
              </w:rPr>
              <w:t>June 30, 2018, respectively</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Property and equipment at cost, net of accumulated depreciation of $137.7</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and $127.4 at March 31, 2019 and June 30, 2018, respectively</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FF0FC"/>
          </w:tcPr>
          <w:p>
            <w:pPr>
              <w:spacing w:after="0"/>
              <w:rPr>
                <w:sz w:val="19"/>
                <w:szCs w:val="19"/>
                <w:color w:val="auto"/>
              </w:rPr>
            </w:pPr>
          </w:p>
        </w:tc>
      </w:tr>
      <w:tr>
        <w:trPr>
          <w:trHeight w:val="263"/>
        </w:trPr>
        <w:tc>
          <w:tcPr>
            <w:tcW w:w="704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Borders>
              <w:bottom w:val="single" w:sz="8" w:color="CFF0FC"/>
            </w:tcBorders>
          </w:tcPr>
          <w:p>
            <w:pPr>
              <w:spacing w:after="0"/>
              <w:rPr>
                <w:sz w:val="22"/>
                <w:szCs w:val="22"/>
                <w:color w:val="auto"/>
              </w:rPr>
            </w:pPr>
          </w:p>
        </w:tc>
      </w:tr>
      <w:tr>
        <w:trPr>
          <w:trHeight w:val="210"/>
        </w:trPr>
        <w:tc>
          <w:tcPr>
            <w:tcW w:w="7040" w:type="dxa"/>
            <w:vAlign w:val="bottom"/>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Acquisition-related liabilities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450.7</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ind w:left="260"/>
              <w:spacing w:after="0"/>
              <w:rPr>
                <w:sz w:val="20"/>
                <w:szCs w:val="20"/>
                <w:color w:val="auto"/>
              </w:rPr>
            </w:pPr>
            <w:r>
              <w:rPr>
                <w:rFonts w:ascii="Arial" w:cs="Arial" w:eastAsia="Arial" w:hAnsi="Arial"/>
                <w:sz w:val="18"/>
                <w:szCs w:val="18"/>
                <w:color w:val="auto"/>
              </w:rPr>
              <w:t>$0.001 par value; 120,000,000 shares authorized,</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40" w:type="dxa"/>
            <w:vAlign w:val="bottom"/>
          </w:tcPr>
          <w:p>
            <w:pPr>
              <w:ind w:left="380"/>
              <w:spacing w:after="0"/>
              <w:rPr>
                <w:sz w:val="20"/>
                <w:szCs w:val="20"/>
                <w:color w:val="auto"/>
              </w:rPr>
            </w:pPr>
            <w:r>
              <w:rPr>
                <w:rFonts w:ascii="Arial" w:cs="Arial" w:eastAsia="Arial" w:hAnsi="Arial"/>
                <w:sz w:val="18"/>
                <w:szCs w:val="18"/>
                <w:color w:val="auto"/>
              </w:rPr>
              <w:t>63,942,166 and 62,889,679 shares issued, and 34,452,290 and 35,249,803 shares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380"/>
              <w:spacing w:after="0"/>
              <w:rPr>
                <w:sz w:val="20"/>
                <w:szCs w:val="20"/>
                <w:color w:val="auto"/>
              </w:rPr>
            </w:pPr>
            <w:r>
              <w:rPr>
                <w:rFonts w:ascii="Arial" w:cs="Arial" w:eastAsia="Arial" w:hAnsi="Arial"/>
                <w:sz w:val="18"/>
                <w:szCs w:val="18"/>
                <w:color w:val="auto"/>
              </w:rPr>
              <w:t>outstanding, at March 31, 2019 and June 30, 2018, respectively</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ind w:left="260"/>
              <w:spacing w:after="0"/>
              <w:rPr>
                <w:sz w:val="20"/>
                <w:szCs w:val="20"/>
                <w:color w:val="auto"/>
              </w:rPr>
            </w:pPr>
            <w:r>
              <w:rPr>
                <w:rFonts w:ascii="Arial" w:cs="Arial" w:eastAsia="Arial" w:hAnsi="Arial"/>
                <w:sz w:val="18"/>
                <w:szCs w:val="18"/>
                <w:color w:val="auto"/>
              </w:rPr>
              <w:t>Treasury stock: 29,489,876 and 27,639,876 common treasury shares at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380"/>
              <w:spacing w:after="0"/>
              <w:rPr>
                <w:sz w:val="20"/>
                <w:szCs w:val="20"/>
                <w:color w:val="auto"/>
              </w:rPr>
            </w:pPr>
            <w:r>
              <w:rPr>
                <w:rFonts w:ascii="Arial" w:cs="Arial" w:eastAsia="Arial" w:hAnsi="Arial"/>
                <w:sz w:val="18"/>
                <w:szCs w:val="18"/>
                <w:color w:val="auto"/>
              </w:rPr>
              <w:t>March 31, 2019 and June 30, 2018, respectively, at cost</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(1,151.2)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(1,073.9)</w:t>
            </w: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729.3</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500"/>
              <w:spacing w:after="0"/>
              <w:rPr>
                <w:sz w:val="20"/>
                <w:szCs w:val="20"/>
                <w:color w:val="auto"/>
              </w:rPr>
            </w:pPr>
            <w:r>
              <w:rPr>
                <w:rFonts w:ascii="Arial" w:cs="Arial" w:eastAsia="Arial" w:hAnsi="Arial"/>
                <w:sz w:val="18"/>
                <w:szCs w:val="18"/>
                <w:color w:val="auto"/>
              </w:rPr>
              <w:t>Operating income/(loss)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net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6000" w:type="dxa"/>
            <w:vAlign w:val="bottom"/>
          </w:tcPr>
          <w:p>
            <w:pPr>
              <w:ind w:left="500"/>
              <w:spacing w:after="0"/>
              <w:rPr>
                <w:sz w:val="20"/>
                <w:szCs w:val="20"/>
                <w:color w:val="auto"/>
              </w:rPr>
            </w:pPr>
            <w:r>
              <w:rPr>
                <w:rFonts w:ascii="Arial" w:cs="Arial" w:eastAsia="Arial" w:hAnsi="Arial"/>
                <w:sz w:val="18"/>
                <w:szCs w:val="18"/>
                <w:color w:val="auto"/>
              </w:rPr>
              <w:t>Income/(loss) before provision for income taxes and</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640"/>
              <w:spacing w:after="0"/>
              <w:rPr>
                <w:sz w:val="20"/>
                <w:szCs w:val="20"/>
                <w:color w:val="auto"/>
              </w:rPr>
            </w:pPr>
            <w:r>
              <w:rPr>
                <w:rFonts w:ascii="Arial" w:cs="Arial" w:eastAsia="Arial" w:hAnsi="Arial"/>
                <w:sz w:val="18"/>
                <w:szCs w:val="18"/>
                <w:color w:val="auto"/>
              </w:rPr>
              <w:t>equity investment loss</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Provision/(benefit) for income taxes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Equity investment loss</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Net income/(loss) per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(0.40)</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income/(loss) per share: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1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1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(13.7)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(122.6)</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net gain on investment</w:t>
            </w:r>
          </w:p>
        </w:tc>
        <w:tc>
          <w:tcPr>
            <w:tcW w:w="1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current period-other comprehensive loss</w:t>
            </w:r>
          </w:p>
        </w:tc>
        <w:tc>
          <w:tcPr>
            <w:tcW w:w="116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income/(loss)</w:t>
            </w:r>
          </w:p>
        </w:tc>
        <w:tc>
          <w:tcPr>
            <w:tcW w:w="11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1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3900" w:type="dxa"/>
            <w:vAlign w:val="bottom"/>
          </w:tcPr>
          <w:p>
            <w:pPr>
              <w:spacing w:after="0"/>
              <w:rPr>
                <w:sz w:val="20"/>
                <w:szCs w:val="20"/>
                <w:color w:val="auto"/>
              </w:rPr>
            </w:pPr>
          </w:p>
        </w:tc>
        <w:tc>
          <w:tcPr>
            <w:tcW w:w="19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Paid-in</w:t>
            </w:r>
          </w:p>
        </w:tc>
        <w:tc>
          <w:tcPr>
            <w:tcW w:w="8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Treasury</w:t>
            </w:r>
          </w:p>
        </w:tc>
        <w:tc>
          <w:tcPr>
            <w:tcW w:w="134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20"/>
                <w:szCs w:val="20"/>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Retained</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23"/>
        </w:trPr>
        <w:tc>
          <w:tcPr>
            <w:tcW w:w="3900" w:type="dxa"/>
            <w:vAlign w:val="bottom"/>
          </w:tcPr>
          <w:p>
            <w:pPr>
              <w:spacing w:after="0"/>
              <w:rPr>
                <w:sz w:val="19"/>
                <w:szCs w:val="19"/>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Stock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19"/>
                <w:szCs w:val="19"/>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62,889,679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(1,073.9)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15"/>
        </w:trPr>
        <w:tc>
          <w:tcPr>
            <w:tcW w:w="390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140,379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63,030,058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7"/>
              </w:rPr>
              <w:t>(1,113.3)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r>
      <w:tr>
        <w:trPr>
          <w:trHeight w:val="215"/>
        </w:trPr>
        <w:tc>
          <w:tcPr>
            <w:tcW w:w="390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773,486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63,803,544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7"/>
              </w:rPr>
              <w:t>(1,151.2)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r>
      <w:tr>
        <w:trPr>
          <w:trHeight w:val="215"/>
        </w:trPr>
        <w:tc>
          <w:tcPr>
            <w:tcW w:w="390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138,622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r>
      <w:tr>
        <w:trPr>
          <w:trHeight w:val="223"/>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63,942,166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(1,151.2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r>
              <w:rPr>
                <w:rFonts w:ascii="Arial" w:cs="Arial" w:eastAsia="Arial" w:hAnsi="Arial"/>
                <w:sz w:val="18"/>
                <w:szCs w:val="18"/>
                <w:u w:val="single" w:color="auto"/>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30"/>
        </w:trPr>
        <w:tc>
          <w:tcPr>
            <w:tcW w:w="3840" w:type="dxa"/>
            <w:vAlign w:val="bottom"/>
          </w:tcPr>
          <w:p>
            <w:pPr>
              <w:spacing w:after="0"/>
              <w:rPr>
                <w:sz w:val="20"/>
                <w:szCs w:val="20"/>
                <w:color w:val="auto"/>
              </w:rPr>
            </w:pPr>
          </w:p>
        </w:tc>
        <w:tc>
          <w:tcPr>
            <w:tcW w:w="19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Paid-in</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Treasury</w:t>
            </w: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Comprehensive</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Retained</w:t>
            </w:r>
          </w:p>
        </w:tc>
        <w:tc>
          <w:tcPr>
            <w:tcW w:w="1060" w:type="dxa"/>
            <w:vAlign w:val="bottom"/>
            <w:gridSpan w:val="3"/>
          </w:tcPr>
          <w:p>
            <w:pPr>
              <w:spacing w:after="0"/>
              <w:rPr>
                <w:sz w:val="20"/>
                <w:szCs w:val="20"/>
                <w:color w:val="auto"/>
              </w:rPr>
            </w:pPr>
            <w:r>
              <w:rPr>
                <w:rFonts w:ascii="Arial" w:cs="Arial" w:eastAsia="Arial" w:hAnsi="Arial"/>
                <w:sz w:val="18"/>
                <w:szCs w:val="18"/>
                <w:color w:val="auto"/>
                <w:w w:val="96"/>
              </w:rPr>
              <w:t>Stockholders'</w:t>
            </w:r>
          </w:p>
        </w:tc>
      </w:tr>
      <w:tr>
        <w:trPr>
          <w:trHeight w:val="223"/>
        </w:trPr>
        <w:tc>
          <w:tcPr>
            <w:tcW w:w="38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Stock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Earnings</w:t>
            </w:r>
          </w:p>
        </w:tc>
        <w:tc>
          <w:tcPr>
            <w:tcW w:w="18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Equity</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Balance at June 30, 2017</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60,579,911</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757.6</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r>
      <w:tr>
        <w:trPr>
          <w:trHeight w:val="215"/>
        </w:trPr>
        <w:tc>
          <w:tcPr>
            <w:tcW w:w="384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84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68,858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acquisition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726,666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treasury stock</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(93.6)</w:t>
            </w: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Convertible debt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Balance at September 30, 2017</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61,375,435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(1,073.9)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745.8</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(82.4)</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(82.4)</w:t>
            </w:r>
          </w:p>
        </w:tc>
      </w:tr>
      <w:tr>
        <w:trPr>
          <w:trHeight w:val="215"/>
        </w:trPr>
        <w:tc>
          <w:tcPr>
            <w:tcW w:w="384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84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557,907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r>
      <w:tr>
        <w:trPr>
          <w:trHeight w:val="230"/>
        </w:trPr>
        <w:tc>
          <w:tcPr>
            <w:tcW w:w="3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80" w:type="dxa"/>
            <w:vAlign w:val="bottom"/>
            <w:tcBorders>
              <w:bottom w:val="single" w:sz="8" w:color="CFF0FC"/>
            </w:tcBorders>
          </w:tcPr>
          <w:p>
            <w:pPr>
              <w:spacing w:after="0"/>
              <w:rPr>
                <w:sz w:val="19"/>
                <w:szCs w:val="19"/>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61,933,342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(1,073.9)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r>
      <w:tr>
        <w:trPr>
          <w:trHeight w:val="215"/>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300,769</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20"/>
                <w:szCs w:val="20"/>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62,234,111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(1,073.9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w w:val="97"/>
              </w:rPr>
              <w:t>Nine Months Ended</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5"/>
                <w:szCs w:val="15"/>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2019</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3"/>
              <w:spacing w:after="0" w:line="169"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1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Net income/(loss)</w:t>
            </w:r>
          </w:p>
        </w:tc>
        <w:tc>
          <w:tcPr>
            <w:tcW w:w="2260" w:type="dxa"/>
            <w:vAlign w:val="bottom"/>
            <w:gridSpan w:val="2"/>
          </w:tcPr>
          <w:p>
            <w:pPr>
              <w:jc w:val="right"/>
              <w:ind w:right="843"/>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23.3</w:t>
            </w:r>
          </w:p>
        </w:tc>
        <w:tc>
          <w:tcPr>
            <w:tcW w:w="160" w:type="dxa"/>
            <w:vAlign w:val="bottom"/>
          </w:tcPr>
          <w:p>
            <w:pPr>
              <w:spacing w:after="0"/>
              <w:rPr>
                <w:sz w:val="15"/>
                <w:szCs w:val="15"/>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(122.6)</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income/(loss) to net cash provided by operating activities: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Share-based compensation costs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48.7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Depreciation and amortization</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Acquired intangibles amortization</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56.1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taxes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(12.4)</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Amortization of convertible debt discount and issuance costs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debt issuance costs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Impairment recovery on investments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Arbitration settlement</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Equity investment loss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Foreign currency remeasurement loss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Changes in operating assets and liabilities, net of acquisitions: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receivable, net</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500"/>
              <w:spacing w:after="0"/>
              <w:rPr>
                <w:sz w:val="20"/>
                <w:szCs w:val="20"/>
                <w:color w:val="auto"/>
              </w:rPr>
            </w:pPr>
            <w:r>
              <w:rPr>
                <w:rFonts w:ascii="Arial" w:cs="Arial" w:eastAsia="Arial" w:hAnsi="Arial"/>
                <w:sz w:val="15"/>
                <w:szCs w:val="15"/>
                <w:color w:val="auto"/>
              </w:rPr>
              <w:t>Inventories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(21.9)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Prepaid expenses and other current assets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(5.1)</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500"/>
              <w:spacing w:after="0"/>
              <w:rPr>
                <w:sz w:val="20"/>
                <w:szCs w:val="20"/>
                <w:color w:val="auto"/>
              </w:rPr>
            </w:pPr>
            <w:r>
              <w:rPr>
                <w:rFonts w:ascii="Arial" w:cs="Arial" w:eastAsia="Arial" w:hAnsi="Arial"/>
                <w:sz w:val="15"/>
                <w:szCs w:val="15"/>
                <w:color w:val="auto"/>
              </w:rPr>
              <w:t>Other assets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(35.8)</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76"/>
        </w:trPr>
        <w:tc>
          <w:tcPr>
            <w:tcW w:w="6600" w:type="dxa"/>
            <w:vAlign w:val="bottom"/>
          </w:tcPr>
          <w:p>
            <w:pPr>
              <w:ind w:left="500"/>
              <w:spacing w:after="0"/>
              <w:rPr>
                <w:sz w:val="20"/>
                <w:szCs w:val="20"/>
                <w:color w:val="auto"/>
              </w:rPr>
            </w:pPr>
            <w:r>
              <w:rPr>
                <w:rFonts w:ascii="Arial" w:cs="Arial" w:eastAsia="Arial" w:hAnsi="Arial"/>
                <w:sz w:val="15"/>
                <w:szCs w:val="15"/>
                <w:color w:val="auto"/>
              </w:rPr>
              <w:t>Accrued compensation</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Acquisition-related liabilities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(6.8)</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00" w:type="dxa"/>
            <w:vAlign w:val="bottom"/>
          </w:tcPr>
          <w:p>
            <w:pPr>
              <w:ind w:left="500"/>
              <w:spacing w:after="0"/>
              <w:rPr>
                <w:sz w:val="20"/>
                <w:szCs w:val="20"/>
                <w:color w:val="auto"/>
              </w:rPr>
            </w:pPr>
            <w:r>
              <w:rPr>
                <w:rFonts w:ascii="Arial" w:cs="Arial" w:eastAsia="Arial" w:hAnsi="Arial"/>
                <w:sz w:val="15"/>
                <w:szCs w:val="15"/>
                <w:color w:val="auto"/>
              </w:rPr>
              <w:t>Income taxes payable</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 accrued liabilities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169"/>
        </w:trPr>
        <w:tc>
          <w:tcPr>
            <w:tcW w:w="660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Net cash provided by operating activities</w:t>
            </w:r>
          </w:p>
        </w:tc>
        <w:tc>
          <w:tcPr>
            <w:tcW w:w="1260" w:type="dxa"/>
            <w:vAlign w:val="bottom"/>
            <w:tcBorders>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110.8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137.1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1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Acquisition of businesses, net of cash and cash equivalents acquired</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(396.4)</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sales of investments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Purchases of property and equipment</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(17.7)</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Purchase of intangible assets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5"/>
                <w:szCs w:val="15"/>
                <w:color w:val="auto"/>
              </w:rPr>
              <w:t>Net cash used in investing activities</w:t>
            </w:r>
          </w:p>
        </w:tc>
        <w:tc>
          <w:tcPr>
            <w:tcW w:w="1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(14.9)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(431.6)</w:t>
            </w:r>
          </w:p>
        </w:tc>
        <w:tc>
          <w:tcPr>
            <w:tcW w:w="0" w:type="dxa"/>
            <w:vAlign w:val="bottom"/>
          </w:tcPr>
          <w:p>
            <w:pPr>
              <w:spacing w:after="0"/>
              <w:rPr>
                <w:sz w:val="1"/>
                <w:szCs w:val="1"/>
                <w:color w:val="auto"/>
              </w:rPr>
            </w:pPr>
          </w:p>
        </w:tc>
      </w:tr>
      <w:tr>
        <w:trPr>
          <w:trHeight w:val="169"/>
        </w:trPr>
        <w:tc>
          <w:tcPr>
            <w:tcW w:w="66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126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Proceeds from issuance of convertible debt, net of issuance costs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Payment of debt</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(220.0)</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Purchases of treasury stock</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(77.3)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(93.6)</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Proceeds from issuance of shares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Payment of debt issuance costs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Payroll taxes for deferred stock and market stock units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(8.9)</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5"/>
                <w:szCs w:val="15"/>
                <w:color w:val="auto"/>
              </w:rPr>
              <w:t>Net cash provided by/(used in) financing activities</w:t>
            </w:r>
          </w:p>
        </w:tc>
        <w:tc>
          <w:tcPr>
            <w:tcW w:w="1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(73.1)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210.0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Effect of exchange rate changes on cash and cash equivalents</w:t>
            </w:r>
          </w:p>
        </w:tc>
        <w:tc>
          <w:tcPr>
            <w:tcW w:w="126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0.1</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line="169" w:lineRule="exact"/>
              <w:rPr>
                <w:sz w:val="20"/>
                <w:szCs w:val="20"/>
                <w:color w:val="auto"/>
              </w:rPr>
            </w:pPr>
            <w:r>
              <w:rPr>
                <w:rFonts w:ascii="Arial" w:cs="Arial" w:eastAsia="Arial" w:hAnsi="Arial"/>
                <w:sz w:val="15"/>
                <w:szCs w:val="15"/>
                <w:color w:val="auto"/>
              </w:rPr>
              <w:t>Net increase/(decrease) in cash and cash equivalents</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(84.4)</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at beginning of period</w:t>
            </w:r>
          </w:p>
        </w:tc>
        <w:tc>
          <w:tcPr>
            <w:tcW w:w="126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301.0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367.8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2260" w:type="dxa"/>
            <w:vAlign w:val="bottom"/>
            <w:gridSpan w:val="2"/>
          </w:tcPr>
          <w:p>
            <w:pPr>
              <w:jc w:val="right"/>
              <w:ind w:right="843"/>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323.8</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283.4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Cash paid for taxes</w:t>
            </w:r>
          </w:p>
        </w:tc>
        <w:tc>
          <w:tcPr>
            <w:tcW w:w="2260" w:type="dxa"/>
            <w:vAlign w:val="bottom"/>
            <w:gridSpan w:val="2"/>
            <w:shd w:val="clear" w:color="auto" w:fill="CFF0FC"/>
          </w:tcPr>
          <w:p>
            <w:pPr>
              <w:jc w:val="right"/>
              <w:ind w:right="843"/>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Cash refund on taxes</w:t>
            </w:r>
          </w:p>
        </w:tc>
        <w:tc>
          <w:tcPr>
            <w:tcW w:w="2260" w:type="dxa"/>
            <w:vAlign w:val="bottom"/>
            <w:gridSpan w:val="2"/>
          </w:tcPr>
          <w:p>
            <w:pPr>
              <w:jc w:val="right"/>
              <w:ind w:right="843"/>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5.2</w:t>
            </w:r>
          </w:p>
        </w:tc>
        <w:tc>
          <w:tcPr>
            <w:tcW w:w="160" w:type="dxa"/>
            <w:vAlign w:val="bottom"/>
          </w:tcPr>
          <w:p>
            <w:pPr>
              <w:spacing w:after="0"/>
              <w:rPr>
                <w:sz w:val="15"/>
                <w:szCs w:val="15"/>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Non-cash investing and financing activities:</w:t>
            </w:r>
          </w:p>
        </w:tc>
        <w:tc>
          <w:tcPr>
            <w:tcW w:w="1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Purchases of property and equipment in current liabilities</w:t>
            </w:r>
          </w:p>
        </w:tc>
        <w:tc>
          <w:tcPr>
            <w:tcW w:w="2260" w:type="dxa"/>
            <w:vAlign w:val="bottom"/>
            <w:gridSpan w:val="2"/>
          </w:tcPr>
          <w:p>
            <w:pPr>
              <w:jc w:val="right"/>
              <w:ind w:right="843"/>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3.4</w:t>
            </w:r>
          </w:p>
        </w:tc>
        <w:tc>
          <w:tcPr>
            <w:tcW w:w="160" w:type="dxa"/>
            <w:vAlign w:val="bottom"/>
          </w:tcPr>
          <w:p>
            <w:pPr>
              <w:spacing w:after="0"/>
              <w:rPr>
                <w:sz w:val="15"/>
                <w:szCs w:val="15"/>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Common stock issued pursuant to acquisition</w:t>
            </w:r>
          </w:p>
        </w:tc>
        <w:tc>
          <w:tcPr>
            <w:tcW w:w="2260" w:type="dxa"/>
            <w:vAlign w:val="bottom"/>
            <w:gridSpan w:val="2"/>
            <w:shd w:val="clear" w:color="auto" w:fill="CFF0FC"/>
          </w:tcPr>
          <w:p>
            <w:pPr>
              <w:jc w:val="right"/>
              <w:ind w:right="843"/>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ind w:left="260" w:right="2740"/>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30, 2018.</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fiscal year is the 52- or 53-week period ending on the last Saturday in June. Our fiscal 2019 is a 52-week period ending June 29, 2019, and our fiscal 2018 was a 53-week period ending on June 30, 2018. The fiscal periods presented in this report are 13-week and 39-week periods for the three and nine months ended March 30, 2019, respectively, and 13-week and 40-week periods for the three and nine months ended March 31, 2018, respectively. For simplicity, the accompanying condensed consolidated financial statements have been shown as ending on calendar quarter end dates as of and for all periods presented, unless otherwise indicated.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operations and resulted in net losses of $0.1 million and $0.7 million in the three and nine months ended March 31, 2019 and net losses of $0.3 million and $0.8 million in the three and nine months ended March 31, 2018, respectively.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Policy</w:t>
      </w:r>
    </w:p>
    <w:p>
      <w:pPr>
        <w:spacing w:after="0" w:line="13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May 2014, the Financial Accounting Standards Board, or FASB, issued an Accounting Standards Update, or ASU, on revenue from contracts with customers, ASU No. 2014-09, Revenue from Contracts with Customers, or the new revenue standard. The new revenue standard outlines a single comprehensive model for entities to use in accounting for revenue arising from contracts with customers.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ind w:right="320" w:firstLine="518"/>
        <w:spacing w:after="0" w:line="272" w:lineRule="auto"/>
        <w:rPr>
          <w:sz w:val="20"/>
          <w:szCs w:val="20"/>
          <w:color w:val="auto"/>
        </w:rPr>
      </w:pPr>
      <w:r>
        <w:rPr>
          <w:rFonts w:ascii="Arial" w:cs="Arial" w:eastAsia="Arial" w:hAnsi="Arial"/>
          <w:sz w:val="17"/>
          <w:szCs w:val="17"/>
          <w:color w:val="auto"/>
        </w:rPr>
        <w:t>We adopted the new revenue standard at the beginning of our fiscal 2019, using the modified retrospective method applied to all contracts not completed as of the adoption date. Results for reporting periods ending after our fiscal 2018 are presented under the new revenue standard, while prior reporting periods are not adjusted and continue to be reported in accordance with the previous revenue standard. Recognition of revenue has remained substantially unchanged under the new revenue standard as compared to the previous revenue standard. Accordingly, there was no adjustment to the fiscal 2019 opening retained earnings. However, due to the adoption of the new revenue standard, we reclassified certain amounts of incentive items to other accrued liabilities in our condensed consolidated balance sheet as of March 31, 2019, and presented them as part of customer obligations, from the contra accounts receivable. Such information is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Condensed Consolidated Balance Sheets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2"/>
              </w:rPr>
              <w:t>As of March 31, 2019</w:t>
            </w: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92"/>
              </w:rPr>
              <w:t>Pro forma as if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center"/>
              <w:ind w:right="190"/>
              <w:spacing w:after="0"/>
              <w:rPr>
                <w:sz w:val="20"/>
                <w:szCs w:val="20"/>
                <w:color w:val="auto"/>
              </w:rPr>
            </w:pPr>
            <w:r>
              <w:rPr>
                <w:rFonts w:ascii="Arial" w:cs="Arial" w:eastAsia="Arial" w:hAnsi="Arial"/>
                <w:sz w:val="18"/>
                <w:szCs w:val="18"/>
                <w:color w:val="auto"/>
                <w:w w:val="90"/>
              </w:rPr>
              <w:t>As reported under</w:t>
            </w:r>
          </w:p>
        </w:tc>
        <w:tc>
          <w:tcPr>
            <w:tcW w:w="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previous standard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jc w:val="center"/>
              <w:ind w:right="190"/>
              <w:spacing w:after="0"/>
              <w:rPr>
                <w:sz w:val="20"/>
                <w:szCs w:val="20"/>
                <w:color w:val="auto"/>
              </w:rPr>
            </w:pPr>
            <w:r>
              <w:rPr>
                <w:rFonts w:ascii="Arial" w:cs="Arial" w:eastAsia="Arial" w:hAnsi="Arial"/>
                <w:sz w:val="18"/>
                <w:szCs w:val="18"/>
                <w:color w:val="auto"/>
                <w:w w:val="86"/>
              </w:rPr>
              <w:t>new standard</w:t>
            </w:r>
          </w:p>
        </w:tc>
        <w:tc>
          <w:tcPr>
            <w:tcW w:w="440" w:type="dxa"/>
            <w:vAlign w:val="bottom"/>
          </w:tcPr>
          <w:p>
            <w:pPr>
              <w:spacing w:after="0"/>
              <w:rPr>
                <w:sz w:val="20"/>
                <w:szCs w:val="20"/>
                <w:color w:val="auto"/>
              </w:rPr>
            </w:pPr>
          </w:p>
        </w:tc>
        <w:tc>
          <w:tcPr>
            <w:tcW w:w="2280" w:type="dxa"/>
            <w:vAlign w:val="bottom"/>
          </w:tcPr>
          <w:p>
            <w:pPr>
              <w:jc w:val="center"/>
              <w:ind w:right="370"/>
              <w:spacing w:after="0"/>
              <w:rPr>
                <w:sz w:val="20"/>
                <w:szCs w:val="20"/>
                <w:color w:val="auto"/>
              </w:rPr>
            </w:pPr>
            <w:r>
              <w:rPr>
                <w:rFonts w:ascii="Arial" w:cs="Arial" w:eastAsia="Arial" w:hAnsi="Arial"/>
                <w:sz w:val="18"/>
                <w:szCs w:val="18"/>
                <w:color w:val="auto"/>
                <w:w w:val="90"/>
              </w:rPr>
              <w:t>Adjustments</w:t>
            </w:r>
          </w:p>
        </w:tc>
        <w:tc>
          <w:tcPr>
            <w:tcW w:w="26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was in effect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54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266.8</w:t>
            </w:r>
          </w:p>
        </w:tc>
        <w:tc>
          <w:tcPr>
            <w:tcW w:w="44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8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(4.8)</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1,468.6</w:t>
            </w:r>
          </w:p>
        </w:tc>
        <w:tc>
          <w:tcPr>
            <w:tcW w:w="440" w:type="dxa"/>
            <w:vAlign w:val="bottom"/>
          </w:tcPr>
          <w:p>
            <w:pPr>
              <w:spacing w:after="0"/>
              <w:rPr>
                <w:sz w:val="19"/>
                <w:szCs w:val="19"/>
                <w:color w:val="auto"/>
              </w:rPr>
            </w:pPr>
          </w:p>
        </w:tc>
        <w:tc>
          <w:tcPr>
            <w:tcW w:w="228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9"/>
                <w:szCs w:val="19"/>
                <w:color w:val="auto"/>
              </w:rPr>
            </w:pPr>
          </w:p>
        </w:tc>
        <w:tc>
          <w:tcPr>
            <w:tcW w:w="228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1,468.6</w:t>
            </w:r>
          </w:p>
        </w:tc>
        <w:tc>
          <w:tcPr>
            <w:tcW w:w="440" w:type="dxa"/>
            <w:vAlign w:val="bottom"/>
            <w:shd w:val="clear" w:color="auto" w:fill="CFF0FC"/>
          </w:tcPr>
          <w:p>
            <w:pPr>
              <w:spacing w:after="0"/>
              <w:rPr>
                <w:sz w:val="19"/>
                <w:szCs w:val="19"/>
                <w:color w:val="auto"/>
              </w:rPr>
            </w:pPr>
          </w:p>
        </w:tc>
        <w:tc>
          <w:tcPr>
            <w:tcW w:w="2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w w:val="95"/>
              </w:rPr>
              <w:t>Condensed Consolidated Statement of Cash Flows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Nine Months Ended March 31, 2019</w:t>
            </w: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92"/>
              </w:rPr>
              <w:t>Pro forma as if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center"/>
              <w:ind w:right="190"/>
              <w:spacing w:after="0"/>
              <w:rPr>
                <w:sz w:val="20"/>
                <w:szCs w:val="20"/>
                <w:color w:val="auto"/>
              </w:rPr>
            </w:pPr>
            <w:r>
              <w:rPr>
                <w:rFonts w:ascii="Arial" w:cs="Arial" w:eastAsia="Arial" w:hAnsi="Arial"/>
                <w:sz w:val="18"/>
                <w:szCs w:val="18"/>
                <w:color w:val="auto"/>
                <w:w w:val="90"/>
              </w:rPr>
              <w:t>As reported under</w:t>
            </w:r>
          </w:p>
        </w:tc>
        <w:tc>
          <w:tcPr>
            <w:tcW w:w="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previous standard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jc w:val="center"/>
              <w:ind w:right="190"/>
              <w:spacing w:after="0"/>
              <w:rPr>
                <w:sz w:val="20"/>
                <w:szCs w:val="20"/>
                <w:color w:val="auto"/>
              </w:rPr>
            </w:pPr>
            <w:r>
              <w:rPr>
                <w:rFonts w:ascii="Arial" w:cs="Arial" w:eastAsia="Arial" w:hAnsi="Arial"/>
                <w:sz w:val="18"/>
                <w:szCs w:val="18"/>
                <w:color w:val="auto"/>
                <w:w w:val="86"/>
              </w:rPr>
              <w:t>new standard</w:t>
            </w:r>
          </w:p>
        </w:tc>
        <w:tc>
          <w:tcPr>
            <w:tcW w:w="440" w:type="dxa"/>
            <w:vAlign w:val="bottom"/>
          </w:tcPr>
          <w:p>
            <w:pPr>
              <w:spacing w:after="0"/>
              <w:rPr>
                <w:sz w:val="20"/>
                <w:szCs w:val="20"/>
                <w:color w:val="auto"/>
              </w:rPr>
            </w:pPr>
          </w:p>
        </w:tc>
        <w:tc>
          <w:tcPr>
            <w:tcW w:w="2280" w:type="dxa"/>
            <w:vAlign w:val="bottom"/>
          </w:tcPr>
          <w:p>
            <w:pPr>
              <w:jc w:val="center"/>
              <w:ind w:right="370"/>
              <w:spacing w:after="0"/>
              <w:rPr>
                <w:sz w:val="20"/>
                <w:szCs w:val="20"/>
                <w:color w:val="auto"/>
              </w:rPr>
            </w:pPr>
            <w:r>
              <w:rPr>
                <w:rFonts w:ascii="Arial" w:cs="Arial" w:eastAsia="Arial" w:hAnsi="Arial"/>
                <w:sz w:val="18"/>
                <w:szCs w:val="18"/>
                <w:color w:val="auto"/>
                <w:w w:val="90"/>
              </w:rPr>
              <w:t>Adjustments</w:t>
            </w:r>
          </w:p>
        </w:tc>
        <w:tc>
          <w:tcPr>
            <w:tcW w:w="26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was in effect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27.5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FF0FC"/>
          </w:tcPr>
          <w:p>
            <w:pPr>
              <w:spacing w:after="0"/>
              <w:rPr>
                <w:sz w:val="19"/>
                <w:szCs w:val="19"/>
                <w:color w:val="auto"/>
              </w:rPr>
            </w:pPr>
          </w:p>
        </w:tc>
        <w:tc>
          <w:tcPr>
            <w:tcW w:w="22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revenue is primarily generated from the sale of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8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right="20" w:firstLine="518"/>
        <w:spacing w:after="0" w:line="287"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new revenue standard and are shown as customer obligations in Note 7 Other Accrued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and recorded as prepaid expenses and other current assets. In limited circumstances, we enter into volume 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69"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Our accounts receivable balance is from contracts with customers and represents our unconditional right to receive consideration from customers. Payments are generally due within three months upon completion of the performance obligation and subsequent invoicing and, therefore, do not include significant financing components. To date, there have been no material impairment losses on accounts receivable. There were no contract assets (i.e., unbilled accounts receivable, deferred commissions) recorded on the condensed consolidated balance sheets in the periods presented. Contract liabilities and refund liabilities were $5.5 million and $42.3 million, respectively, as of March 31, 2019 and $1.1 million and $31.6 million, respectively, as of the beginning of fiscal 2019. Both contract liabilities and refund liabilities are presented as part of customer obligations in Note 7 Other Accrued Liabilities. During the nine months ended March 31, 2019, we recognized $0.3 million in revenue related to contract liabilities outstanding as of the beginning of fiscal 2019.</w:t>
      </w:r>
    </w:p>
    <w:p>
      <w:pPr>
        <w:spacing w:after="0" w:line="16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March 31, 2019, we did not have any remaining unsatisfied performance obligations with an original duration greater than one year. Accordingly, under the optional exception provided by ASC 606-10-50-14,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17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condensed consolidated statements of operations) are expensed when the product is shipped because such commissions are owed after shipment.</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12 Segment, Customers, and Geographical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5"/>
          </w:tcPr>
          <w:p>
            <w:pPr>
              <w:jc w:val="right"/>
              <w:ind w:right="560"/>
              <w:spacing w:after="0"/>
              <w:rPr>
                <w:sz w:val="20"/>
                <w:szCs w:val="20"/>
                <w:color w:val="auto"/>
              </w:rPr>
            </w:pPr>
            <w:r>
              <w:rPr>
                <w:rFonts w:ascii="Arial" w:cs="Arial" w:eastAsia="Arial" w:hAnsi="Arial"/>
                <w:sz w:val="18"/>
                <w:szCs w:val="18"/>
                <w:color w:val="auto"/>
              </w:rPr>
              <w:t>Nine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March 31,</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Net income/(loss)</w:t>
            </w:r>
          </w:p>
        </w:tc>
        <w:tc>
          <w:tcPr>
            <w:tcW w:w="2060" w:type="dxa"/>
            <w:vAlign w:val="bottom"/>
            <w:gridSpan w:val="2"/>
          </w:tcPr>
          <w:p>
            <w:pPr>
              <w:jc w:val="right"/>
              <w:ind w:right="53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(122.6)</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3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1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136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35.0</w:t>
            </w:r>
          </w:p>
        </w:tc>
        <w:tc>
          <w:tcPr>
            <w:tcW w:w="2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Basic</w:t>
            </w:r>
          </w:p>
        </w:tc>
        <w:tc>
          <w:tcPr>
            <w:tcW w:w="2060" w:type="dxa"/>
            <w:vAlign w:val="bottom"/>
            <w:gridSpan w:val="2"/>
          </w:tcPr>
          <w:p>
            <w:pPr>
              <w:jc w:val="right"/>
              <w:ind w:right="53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0.19</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(0.40)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0.67</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0.19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 w:name="page12"/>
    <w:bookmarkEnd w:id="11"/>
    <w:p>
      <w:pPr>
        <w:ind w:right="20" w:firstLine="518"/>
        <w:spacing w:after="0" w:line="259"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deferred stock units, or DSUs, market stock units, or MSUs, performance stock units, or PSUs, and our convertible notes.</w:t>
      </w:r>
    </w:p>
    <w:p>
      <w:pPr>
        <w:spacing w:after="0" w:line="187" w:lineRule="exact"/>
        <w:rPr>
          <w:sz w:val="20"/>
          <w:szCs w:val="20"/>
          <w:color w:val="auto"/>
        </w:rPr>
      </w:pPr>
    </w:p>
    <w:p>
      <w:pPr>
        <w:ind w:right="420" w:firstLine="518"/>
        <w:spacing w:after="0" w:line="257" w:lineRule="auto"/>
        <w:rPr>
          <w:sz w:val="20"/>
          <w:szCs w:val="20"/>
          <w:color w:val="auto"/>
        </w:rPr>
      </w:pPr>
      <w:r>
        <w:rPr>
          <w:rFonts w:ascii="Arial" w:cs="Arial" w:eastAsia="Arial" w:hAnsi="Arial"/>
          <w:sz w:val="18"/>
          <w:szCs w:val="18"/>
          <w:color w:val="auto"/>
        </w:rPr>
        <w:t>Dilutive net income per share amounts do not include the potential weighted average effect of 1,558,936 and 2,818,358 shares of common stock related to certain share-based awards that were outstanding during the three months ended March 31, 2019 and 2018, respectively, and 1,434,049 and 2,427,566 shares of common stock related to certain share-based awards that were outstanding during the nine months ended March 31, 2019, and 2018, respectively. These share-based awards were not included in the computation of diluted net income per share because their effect would have been antidilutive.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Financial assets measured at fair value on a recurring basis by level within the fair value hierarchy, consisted of the following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Level 1</w:t>
            </w: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9"/>
                <w:szCs w:val="19"/>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309.5</w:t>
            </w:r>
          </w:p>
        </w:tc>
        <w:tc>
          <w:tcPr>
            <w:tcW w:w="220" w:type="dxa"/>
            <w:vAlign w:val="bottom"/>
          </w:tcPr>
          <w:p>
            <w:pPr>
              <w:spacing w:after="0"/>
              <w:rPr>
                <w:sz w:val="19"/>
                <w:szCs w:val="19"/>
                <w:color w:val="auto"/>
              </w:rPr>
            </w:pPr>
          </w:p>
        </w:tc>
        <w:tc>
          <w:tcPr>
            <w:tcW w:w="820" w:type="dxa"/>
            <w:vAlign w:val="bottom"/>
          </w:tcPr>
          <w:p>
            <w:pPr>
              <w:jc w:val="right"/>
              <w:ind w:right="656"/>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Auction rate securities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ind w:left="260"/>
              <w:spacing w:after="0"/>
              <w:rPr>
                <w:sz w:val="20"/>
                <w:szCs w:val="20"/>
                <w:color w:val="auto"/>
              </w:rPr>
            </w:pPr>
            <w:r>
              <w:rPr>
                <w:rFonts w:ascii="Arial" w:cs="Arial" w:eastAsia="Arial" w:hAnsi="Arial"/>
                <w:sz w:val="18"/>
                <w:szCs w:val="18"/>
                <w:color w:val="auto"/>
              </w:rPr>
              <w:t>Total available-for-sale securities</w:t>
            </w:r>
          </w:p>
        </w:tc>
        <w:tc>
          <w:tcPr>
            <w:tcW w:w="10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656"/>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In our condensed consolidated balance sheets, as of March 31, 2019 and June 30, 2018, money market balances were included in cash and cash equivalents and as of June 30, 2018, auction rate securities, or ARS investments, were included in non-current other assets.</w:t>
      </w:r>
    </w:p>
    <w:p>
      <w:pPr>
        <w:spacing w:after="0" w:line="147"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During the nine months ended March 31, 2019, we converted our ARS investments to senior surplus notes, under an offering memorandum, which also included a receipt of a small amount of cash and warrants. We sold the senior surplus notes during the nine months ended March 31, 2019, resulting in a gain of $2.8 million. There were no transfers in or out of our Level 1, 2, or 3 assets during the nine months ended March 31, 2019 and 2018.</w:t>
      </w:r>
    </w:p>
    <w:p>
      <w:pPr>
        <w:spacing w:after="0" w:line="147" w:lineRule="exact"/>
        <w:rPr>
          <w:sz w:val="20"/>
          <w:szCs w:val="20"/>
          <w:color w:val="auto"/>
        </w:rPr>
      </w:pPr>
    </w:p>
    <w:p>
      <w:pPr>
        <w:jc w:val="both"/>
        <w:ind w:right="800" w:firstLine="518"/>
        <w:spacing w:after="0" w:line="342" w:lineRule="auto"/>
        <w:rPr>
          <w:sz w:val="20"/>
          <w:szCs w:val="20"/>
          <w:color w:val="auto"/>
        </w:rPr>
      </w:pPr>
      <w:r>
        <w:rPr>
          <w:rFonts w:ascii="Arial" w:cs="Arial" w:eastAsia="Arial" w:hAnsi="Arial"/>
          <w:sz w:val="16"/>
          <w:szCs w:val="16"/>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r>
      <w:tr>
        <w:trPr>
          <w:trHeight w:val="230"/>
        </w:trPr>
        <w:tc>
          <w:tcPr>
            <w:tcW w:w="37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FF0FC"/>
            </w:tcBorders>
          </w:tcPr>
          <w:p>
            <w:pPr>
              <w:spacing w:after="0"/>
              <w:rPr>
                <w:sz w:val="20"/>
                <w:szCs w:val="20"/>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FF0FC"/>
          </w:tcPr>
          <w:p>
            <w:pPr>
              <w:spacing w:after="0"/>
              <w:rPr>
                <w:sz w:val="19"/>
                <w:szCs w:val="19"/>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life, the gross carrying value and the related accumulated amortization of our acquired intangible assets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June 30, 2018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80" w:type="dxa"/>
            <w:vAlign w:val="bottom"/>
          </w:tcPr>
          <w:p>
            <w:pPr>
              <w:spacing w:after="0"/>
              <w:rPr>
                <w:sz w:val="14"/>
                <w:szCs w:val="14"/>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Weighted Average</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March 31, 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0"/>
              </w:rPr>
              <w:t>June 30, 2018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3"/>
              <w:spacing w:after="0" w:line="137" w:lineRule="exact"/>
              <w:rPr>
                <w:sz w:val="20"/>
                <w:szCs w:val="20"/>
                <w:color w:val="auto"/>
              </w:rPr>
            </w:pPr>
            <w:r>
              <w:rPr>
                <w:rFonts w:ascii="Arial" w:cs="Arial" w:eastAsia="Arial" w:hAnsi="Arial"/>
                <w:sz w:val="14"/>
                <w:szCs w:val="14"/>
                <w:color w:val="auto"/>
                <w:w w:val="93"/>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260"/>
              <w:spacing w:after="0" w:line="137" w:lineRule="exact"/>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93"/>
              <w:spacing w:after="0" w:line="137" w:lineRule="exact"/>
              <w:rPr>
                <w:sz w:val="20"/>
                <w:szCs w:val="20"/>
                <w:color w:val="auto"/>
              </w:rPr>
            </w:pPr>
            <w:r>
              <w:rPr>
                <w:rFonts w:ascii="Arial" w:cs="Arial" w:eastAsia="Arial" w:hAnsi="Arial"/>
                <w:sz w:val="14"/>
                <w:szCs w:val="14"/>
                <w:color w:val="auto"/>
                <w:w w:val="96"/>
              </w:rPr>
              <w:t>Net Carrying</w:t>
            </w:r>
          </w:p>
        </w:tc>
        <w:tc>
          <w:tcPr>
            <w:tcW w:w="220" w:type="dxa"/>
            <w:vAlign w:val="bottom"/>
          </w:tcPr>
          <w:p>
            <w:pPr>
              <w:spacing w:after="0"/>
              <w:rPr>
                <w:sz w:val="11"/>
                <w:szCs w:val="11"/>
                <w:color w:val="auto"/>
              </w:rPr>
            </w:pPr>
          </w:p>
        </w:tc>
        <w:tc>
          <w:tcPr>
            <w:tcW w:w="1060" w:type="dxa"/>
            <w:vAlign w:val="bottom"/>
            <w:gridSpan w:val="2"/>
          </w:tcPr>
          <w:p>
            <w:pPr>
              <w:jc w:val="right"/>
              <w:ind w:right="12"/>
              <w:spacing w:after="0" w:line="137" w:lineRule="exact"/>
              <w:rPr>
                <w:sz w:val="20"/>
                <w:szCs w:val="20"/>
                <w:color w:val="auto"/>
              </w:rPr>
            </w:pPr>
            <w:r>
              <w:rPr>
                <w:rFonts w:ascii="Arial" w:cs="Arial" w:eastAsia="Arial" w:hAnsi="Arial"/>
                <w:sz w:val="14"/>
                <w:szCs w:val="14"/>
                <w:color w:val="auto"/>
                <w:w w:val="99"/>
              </w:rPr>
              <w:t>Gross Carrying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60"/>
              <w:spacing w:after="0" w:line="137" w:lineRule="exact"/>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93"/>
              <w:spacing w:after="0" w:line="137" w:lineRule="exact"/>
              <w:rPr>
                <w:sz w:val="20"/>
                <w:szCs w:val="20"/>
                <w:color w:val="auto"/>
              </w:rPr>
            </w:pPr>
            <w:r>
              <w:rPr>
                <w:rFonts w:ascii="Arial" w:cs="Arial" w:eastAsia="Arial" w:hAnsi="Arial"/>
                <w:sz w:val="14"/>
                <w:szCs w:val="14"/>
                <w:color w:val="auto"/>
                <w:w w:val="96"/>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Life in Years</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8"/>
                <w:szCs w:val="18"/>
                <w:color w:val="auto"/>
              </w:rPr>
              <w:t>Audio and video</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440" w:type="dxa"/>
            <w:vAlign w:val="bottom"/>
          </w:tcPr>
          <w:p>
            <w:pPr>
              <w:ind w:left="66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8"/>
                <w:szCs w:val="18"/>
                <w:color w:val="auto"/>
              </w:rPr>
              <w:t>Fingerprint authentication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440" w:type="dxa"/>
            <w:vAlign w:val="bottom"/>
          </w:tcPr>
          <w:p>
            <w:pPr>
              <w:ind w:left="66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Patents</w:t>
            </w:r>
          </w:p>
        </w:tc>
        <w:tc>
          <w:tcPr>
            <w:tcW w:w="1440" w:type="dxa"/>
            <w:vAlign w:val="bottom"/>
          </w:tcPr>
          <w:p>
            <w:pPr>
              <w:ind w:left="66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Backlog</w:t>
            </w:r>
          </w:p>
        </w:tc>
        <w:tc>
          <w:tcPr>
            <w:tcW w:w="1440" w:type="dxa"/>
            <w:vAlign w:val="bottom"/>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development</w:t>
            </w:r>
          </w:p>
        </w:tc>
        <w:tc>
          <w:tcPr>
            <w:tcW w:w="168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2"/>
              </w:rPr>
              <w:t>Not applicable</w:t>
            </w:r>
          </w:p>
        </w:tc>
        <w:tc>
          <w:tcPr>
            <w:tcW w:w="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80" w:type="dxa"/>
            <w:vAlign w:val="bottom"/>
          </w:tcPr>
          <w:p>
            <w:pPr>
              <w:ind w:left="260"/>
              <w:spacing w:after="0"/>
              <w:rPr>
                <w:sz w:val="20"/>
                <w:szCs w:val="20"/>
                <w:color w:val="auto"/>
              </w:rPr>
            </w:pPr>
            <w:r>
              <w:rPr>
                <w:rFonts w:ascii="Arial" w:cs="Arial" w:eastAsia="Arial" w:hAnsi="Arial"/>
                <w:sz w:val="18"/>
                <w:szCs w:val="18"/>
                <w:color w:val="auto"/>
              </w:rPr>
              <w:t>Acquired intangibles,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80"/>
              <w:spacing w:after="0"/>
              <w:rPr>
                <w:sz w:val="20"/>
                <w:szCs w:val="20"/>
                <w:color w:val="auto"/>
              </w:rPr>
            </w:pPr>
            <w:r>
              <w:rPr>
                <w:rFonts w:ascii="Arial" w:cs="Arial" w:eastAsia="Arial" w:hAnsi="Arial"/>
                <w:sz w:val="18"/>
                <w:szCs w:val="18"/>
                <w:color w:val="auto"/>
              </w:rPr>
              <w:t>gross</w:t>
            </w:r>
          </w:p>
        </w:tc>
        <w:tc>
          <w:tcPr>
            <w:tcW w:w="1440" w:type="dxa"/>
            <w:vAlign w:val="bottom"/>
          </w:tcPr>
          <w:p>
            <w:pPr>
              <w:ind w:left="66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163.1</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total amortization expense for the acquired intangible assets was $18.1 million and $18.7 million for the three months ended March 31, 2019 and 2018, respectively, and $56.1 million and $62.0 million for the nine months ended March 31, 2019 and 2018, respectively. During the three months ended March 31, 2019 and 2018, $15.2 million and $17.2 million, respectively, and $47.3 million and $53.4 million for the nine months ended March 31, 2019 and 2018, respectively, of amortization expense was included in our condensed consolidated statements of operations in cost of revenue; the remainder was included in acquired intangibles amortization.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March 31, 2019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Future amortization</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There were no changes in our goodwill balance for the nine months ended March 31, 2019.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Other Accrued Liabilities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Other accrued liabilities consisted of the following (in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9"/>
              </w:rPr>
              <w:t>March 31,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r>
      <w:tr>
        <w:trPr>
          <w:trHeight w:val="230"/>
        </w:trPr>
        <w:tc>
          <w:tcPr>
            <w:tcW w:w="120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FF0FC"/>
            </w:tcBorders>
          </w:tcPr>
          <w:p>
            <w:pPr>
              <w:spacing w:after="0"/>
              <w:rPr>
                <w:sz w:val="20"/>
                <w:szCs w:val="20"/>
                <w:color w:val="auto"/>
              </w:rPr>
            </w:pPr>
          </w:p>
        </w:tc>
      </w:tr>
      <w:tr>
        <w:trPr>
          <w:trHeight w:val="223"/>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Inventory obligations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0" w:type="dxa"/>
            <w:vAlign w:val="bottom"/>
            <w:tcBorders>
              <w:bottom w:val="single" w:sz="8" w:color="CFF0FC"/>
            </w:tcBorders>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customer obligations included $5.5 million of contract liabilities and $42.3 million of refund liabilities as of March 31, 2019, each as defined under revenue recognition guidance in the new revenue standard (see Note 2 Revenue Recognition). We reclassified certain amounts of incentive items to other current liabilities in our condensed consolidated balance sheet as of March 31, 2019, and presented them as part of customer obligations, from the contra accounts receivable due to the adoption of the new revenue standard.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Indemnifications, </w:t>
      </w:r>
      <w:r>
        <w:rPr>
          <w:rFonts w:ascii="Arial" w:cs="Arial" w:eastAsia="Arial" w:hAnsi="Arial"/>
          <w:sz w:val="16"/>
          <w:szCs w:val="16"/>
          <w:b w:val="1"/>
          <w:bCs w:val="1"/>
          <w:color w:val="auto"/>
        </w:rPr>
        <w:t>Contingencies</w:t>
      </w:r>
      <w:r>
        <w:rPr>
          <w:rFonts w:ascii="Arial" w:cs="Arial" w:eastAsia="Arial" w:hAnsi="Arial"/>
          <w:sz w:val="18"/>
          <w:szCs w:val="18"/>
          <w:b w:val="1"/>
          <w:bCs w:val="1"/>
          <w:color w:val="auto"/>
        </w:rPr>
        <w:t xml:space="preserve"> and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Our convertible debt consists of an original $525 million aggregate principal amount of 0.50% convertible senior notes due 2022, or the Notes, which were issued in a private placement transaction. The net proceeds from the Notes, after deducting discounts, were $514.5 million.</w:t>
      </w:r>
    </w:p>
    <w:p>
      <w:pPr>
        <w:spacing w:after="0" w:line="14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252525"/>
        </w:rPr>
        <w:t>The Notes bear interest at a rate of 0.50% per year, which is payable semi-annually in arrears, on June 15 and December 15 of each year.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ind w:right="82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of the Notes are amortized as interest expense using the effective interest method over five years.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252525"/>
        </w:rPr>
        <w:t>The contractual interest expense and amortization of discount on the Notes for the nine months ended March 31, 2019,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9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r>
      <w:tr>
        <w:trPr>
          <w:trHeight w:val="223"/>
        </w:trPr>
        <w:tc>
          <w:tcPr>
            <w:tcW w:w="90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r>
      <w:tr>
        <w:trPr>
          <w:trHeight w:val="230"/>
        </w:trPr>
        <w:tc>
          <w:tcPr>
            <w:tcW w:w="9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FF0FC"/>
            </w:tcBorders>
          </w:tcPr>
          <w:p>
            <w:pPr>
              <w:spacing w:after="0"/>
              <w:rPr>
                <w:sz w:val="19"/>
                <w:szCs w:val="19"/>
                <w:color w:val="auto"/>
              </w:rPr>
            </w:pPr>
          </w:p>
        </w:tc>
      </w:tr>
      <w:tr>
        <w:trPr>
          <w:trHeight w:val="223"/>
        </w:trPr>
        <w:tc>
          <w:tcPr>
            <w:tcW w:w="9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Notes as of March 31, 2019 were $6.1 million and $55.0 million,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20" w:firstLine="518"/>
        <w:spacing w:after="0" w:line="272" w:lineRule="auto"/>
        <w:rPr>
          <w:sz w:val="20"/>
          <w:szCs w:val="20"/>
          <w:color w:val="auto"/>
        </w:rPr>
      </w:pPr>
      <w:r>
        <w:rPr>
          <w:rFonts w:ascii="Arial" w:cs="Arial" w:eastAsia="Arial" w:hAnsi="Arial"/>
          <w:sz w:val="17"/>
          <w:szCs w:val="17"/>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prior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March 31, 2019, there was no balance outstanding under the revolving credit facility.</w:t>
      </w:r>
    </w:p>
    <w:p>
      <w:pPr>
        <w:spacing w:after="0" w:line="17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relating to the revolving credit facility will be amortized over 60 months.</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firstLine="518"/>
        <w:spacing w:after="0" w:line="297" w:lineRule="auto"/>
        <w:rPr>
          <w:sz w:val="20"/>
          <w:szCs w:val="20"/>
          <w:color w:val="auto"/>
        </w:rPr>
      </w:pPr>
      <w:r>
        <w:rPr>
          <w:rFonts w:ascii="Arial" w:cs="Arial" w:eastAsia="Arial" w:hAnsi="Arial"/>
          <w:sz w:val="16"/>
          <w:szCs w:val="16"/>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w:t>
      </w:r>
    </w:p>
    <w:p>
      <w:pPr>
        <w:spacing w:after="0" w:line="15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 As of the end of the fiscal quarter, we were in compliance with the restrictive covenants.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operations were as follows (in millions):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March 31,</w:t>
            </w:r>
          </w:p>
        </w:tc>
        <w:tc>
          <w:tcPr>
            <w:tcW w:w="140" w:type="dxa"/>
            <w:vAlign w:val="bottom"/>
          </w:tcPr>
          <w:p>
            <w:pPr>
              <w:spacing w:after="0"/>
              <w:rPr>
                <w:sz w:val="20"/>
                <w:szCs w:val="20"/>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March 31,</w:t>
            </w:r>
          </w:p>
        </w:tc>
      </w:tr>
      <w:tr>
        <w:trPr>
          <w:trHeight w:val="223"/>
        </w:trPr>
        <w:tc>
          <w:tcPr>
            <w:tcW w:w="40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FF0FC"/>
            </w:tcBorders>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FF0FC"/>
          </w:tcPr>
          <w:p>
            <w:pPr>
              <w:spacing w:after="0"/>
              <w:rPr>
                <w:sz w:val="19"/>
                <w:szCs w:val="19"/>
                <w:color w:val="auto"/>
              </w:rPr>
            </w:pPr>
          </w:p>
        </w:tc>
      </w:tr>
      <w:tr>
        <w:trPr>
          <w:trHeight w:val="263"/>
        </w:trPr>
        <w:tc>
          <w:tcPr>
            <w:tcW w:w="4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60" w:type="dxa"/>
            <w:vAlign w:val="bottom"/>
            <w:tcBorders>
              <w:bottom w:val="single" w:sz="8" w:color="CFF0FC"/>
            </w:tcBorders>
          </w:tcPr>
          <w:p>
            <w:pPr>
              <w:spacing w:after="0"/>
              <w:rPr>
                <w:sz w:val="22"/>
                <w:szCs w:val="22"/>
                <w:color w:val="auto"/>
              </w:rPr>
            </w:pPr>
          </w:p>
        </w:tc>
      </w:tr>
      <w:tr>
        <w:trPr>
          <w:trHeight w:val="210"/>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on share-based compensation</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Stock option activity, including stock options granted, exercised, and forfeited, weighted average exercise prices for stock options outstanding and exercisable, and the aggregate intrinsic value were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1,618,209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(167,663)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(137,323)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1,313,223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2019</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60.09</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March 29, 2019 of $39.75 and excludes the impact of stock options that were not in-the-money.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Deferred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activity, including DSUs granted, delivered, and forfeited, and the balance and aggregate intrinsic value of DSUs were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DSU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1,853,558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1,227,652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(670,770)</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(288,773)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2,121,667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29, 2019 of $39.75.</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shares delivered, 158,868 shares valued at $6.2 million were withheld to meet statutory tax withholding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have granted MSUs to our executive officers and other management members, which are designed to vest in three tranches with the target quantity for each tranche equal to one-third of the total MSU grant. The first tranche vests based on a one-year performance period; the second tranche vests based on a two-year performance period; and the third tranche vests based on a three-year performance period. Performance is measured based on the achievement of a specified level of total stockholder return, or TSR, relative to the TSR of the S&amp;P Semiconductor Select Industry Index, or SPSISC Index, for grants made beginning in fiscal 2018, and relative to the Philadelphia Semiconductor Index, or SOX Index, for grants made prior to fiscal 2018. The potential payout ranges from 0% to 200% of the grant target quantity and is adjusted on a two-to-one ratio based on our TSR performance relative to the SPSISC Index TSR or SOX Index TSR using the following formula: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 ([Synaptics TSR — {SPSISC Index TSR or SOX Index TSR}] x 2))</w:t>
      </w:r>
    </w:p>
    <w:p>
      <w:pPr>
        <w:spacing w:after="0" w:line="225"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7" w:name="page18"/>
    <w:bookmarkEnd w:id="17"/>
    <w:p>
      <w:pPr>
        <w:ind w:right="600" w:firstLine="518"/>
        <w:spacing w:after="0" w:line="277" w:lineRule="auto"/>
        <w:rPr>
          <w:sz w:val="20"/>
          <w:szCs w:val="20"/>
          <w:color w:val="auto"/>
        </w:rPr>
      </w:pPr>
      <w:r>
        <w:rPr>
          <w:rFonts w:ascii="Arial" w:cs="Arial" w:eastAsia="Arial" w:hAnsi="Arial"/>
          <w:sz w:val="18"/>
          <w:szCs w:val="18"/>
          <w:color w:val="auto"/>
        </w:rPr>
        <w:t>During the nine months ended March 31, 2019, MSU activity, including MSUs granted, delivered, and forfeited, and the balance and aggregate intrinsic value of MSUs as of March 31, 2019 was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354,726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163,059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(46,663)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(92,202)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(53,115)</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Balance as of March 31,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325,805</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March 29, 2019 of $39.75. Of the shares delivered, 33,981 shares valued at $1.3 million were withheld to meet statutory tax withholding requirements.</w:t>
      </w:r>
    </w:p>
    <w:p>
      <w:pPr>
        <w:spacing w:after="0" w:line="170"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We value MSUs using the Monte Carlo simulation model on the date of grant and amortize the compensation expense over the three-year performance and service period on a straight-line basis. The unrecognized share-based compensation cost of our outstanding MSUs was approximately $13.0 million as of March 31, 2019, which will be recognized over a weighted average period of approximately 1.2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1"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We have granted PSUs to our executive officers and other management members,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non-GAAP earnings per share. The potential payout ranges from 0% to 200% of the grant target quantity and is adjusted on a linear basis with a payout triggering if our non-GAAP earnings per share equals greater than 65% of the target with a maximum payout achieved at 135% of target.</w:t>
      </w:r>
    </w:p>
    <w:p>
      <w:pPr>
        <w:spacing w:after="0" w:line="15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During the nine months ended March 31, 2019, PSU activity, including PSUs granted, delivered, and forfeited, and the balance and aggregate intrinsic value of PSUs as of March 31, 2019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24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294,541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color w:val="auto"/>
              </w:rPr>
              <w:t>Granted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147,005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3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3700" w:type="dxa"/>
            <w:vAlign w:val="bottom"/>
            <w:gridSpan w:val="3"/>
          </w:tcPr>
          <w:p>
            <w:pPr>
              <w:jc w:val="right"/>
              <w:ind w:right="140"/>
              <w:spacing w:after="0"/>
              <w:rPr>
                <w:sz w:val="20"/>
                <w:szCs w:val="20"/>
                <w:color w:val="auto"/>
              </w:rPr>
            </w:pPr>
            <w:r>
              <w:rPr>
                <w:rFonts w:ascii="Arial" w:cs="Arial" w:eastAsia="Arial" w:hAnsi="Arial"/>
                <w:sz w:val="18"/>
                <w:szCs w:val="18"/>
                <w:color w:val="auto"/>
              </w:rPr>
              <w:t>(92,470)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37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(54,383)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1720"/>
              <w:spacing w:after="0"/>
              <w:rPr>
                <w:sz w:val="20"/>
                <w:szCs w:val="20"/>
                <w:color w:val="auto"/>
              </w:rPr>
            </w:pPr>
            <w:r>
              <w:rPr>
                <w:rFonts w:ascii="Arial" w:cs="Arial" w:eastAsia="Arial" w:hAnsi="Arial"/>
                <w:sz w:val="18"/>
                <w:szCs w:val="18"/>
                <w:color w:val="auto"/>
              </w:rPr>
              <w:t>Balance as of March 31, 2019</w:t>
            </w:r>
          </w:p>
        </w:tc>
        <w:tc>
          <w:tcPr>
            <w:tcW w:w="24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295,758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20" w:type="dxa"/>
            <w:vAlign w:val="bottom"/>
            <w:vMerge w:val="restart"/>
          </w:tcPr>
          <w:p>
            <w:pPr>
              <w:jc w:val="right"/>
              <w:ind w:right="1310"/>
              <w:spacing w:after="0"/>
              <w:rPr>
                <w:sz w:val="20"/>
                <w:szCs w:val="20"/>
                <w:color w:val="auto"/>
              </w:rPr>
            </w:pPr>
            <w:r>
              <w:rPr>
                <w:rFonts w:ascii="Arial" w:cs="Arial" w:eastAsia="Arial" w:hAnsi="Arial"/>
                <w:sz w:val="18"/>
                <w:szCs w:val="18"/>
                <w:color w:val="auto"/>
              </w:rPr>
              <w:t>18</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7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8" w:name="page19"/>
    <w:bookmarkEnd w:id="18"/>
    <w:p>
      <w:pPr>
        <w:ind w:right="42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March 29, 2019 of $39.75. Of the shares delivered, 36,332 shares valued at $1.4 million were withheld to meet statutory tax withholding requirements.</w:t>
      </w:r>
    </w:p>
    <w:p>
      <w:pPr>
        <w:spacing w:after="0" w:line="6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$4.6 million as of March 31, 2019, which will be recognized over a weighted average period of approximately 1.3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480" w:firstLine="518"/>
        <w:spacing w:after="0" w:line="375" w:lineRule="auto"/>
        <w:rPr>
          <w:sz w:val="20"/>
          <w:szCs w:val="20"/>
          <w:color w:val="auto"/>
        </w:rPr>
      </w:pPr>
      <w:r>
        <w:rPr>
          <w:rFonts w:ascii="Arial" w:cs="Arial" w:eastAsia="Arial" w:hAnsi="Arial"/>
          <w:sz w:val="15"/>
          <w:szCs w:val="15"/>
          <w:color w:val="auto"/>
        </w:rPr>
        <w:t>Shares purchased, weighted average purchase price, cash received, and the aggregate intrinsic value for employee stock purchase plan purchases during the nine-month period ended March 31, 2019 were as follows (in millions, except for shares purchased and weighted average purchase price):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ind w:left="520"/>
              <w:spacing w:after="0"/>
              <w:rPr>
                <w:sz w:val="20"/>
                <w:szCs w:val="20"/>
                <w:color w:val="auto"/>
              </w:rPr>
            </w:pPr>
            <w:r>
              <w:rPr>
                <w:rFonts w:ascii="Arial" w:cs="Arial" w:eastAsia="Arial" w:hAnsi="Arial"/>
                <w:sz w:val="18"/>
                <w:szCs w:val="18"/>
                <w:color w:val="auto"/>
              </w:rPr>
              <w:t>.</w:t>
            </w:r>
          </w:p>
        </w:tc>
        <w:tc>
          <w:tcPr>
            <w:tcW w:w="4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4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258,563</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42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31.60</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42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42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On December 22, 2017, the U.S. government enacted comprehensive tax legislation, commonly known as the Tax Cuts and Jobs Act of 2017, or the Act, which significantly reformed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foreign-sourced earnings. U.S. federal tax law requires that taxpayers with a fiscal year that spans the effective date of a tax rate change to calculate a blended tax rate based on the pro rata number of days in the fiscal year before and after the effective date. As our accounting and tax year is the fiscal period ending on the last Saturday in June, our U.S. federal tax rate for fiscal 2018 was a days-weighted blended tax rate of 28.17%. For fiscal 2019 and subsequent tax years, our U.S. federal tax rate is 21%.</w:t>
      </w:r>
    </w:p>
    <w:p>
      <w:pPr>
        <w:spacing w:after="0" w:line="167"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In fiscal 2018, we recognized a provisional tax expense of $41.4 million, related to the tax impact of the Act, of which an expense of $44.1 million relates to the one-time transition tax and a benefit of $2.7 million relates to remeasurement of deferred tax at the new tax rate. The one-time transition tax is based on our post-1986 foreign earnings and profits, or E&amp;P, which we previously excluded from U.S. income taxes as we considered such earnings to be indefinitely reinvested overseas. The one-time transition tax is applied at a 15.5% tax rate on cash assets and an 8% tax rate for other specified assets. We were able to utilize the research credit carryforward, resulting in a net one-time transition tax impact of $11.9 million on the income tax payable. During the quarter ended December 31, 2018, based on additional analysis of technical guidance, we recognized a non-discrete tax expense of $1.4 million, which is included in the annual effective tax rate, and a discrete benefit of $0.2 million, both of which relate to the limitation on deduction of executive officer compensation.</w:t>
      </w:r>
    </w:p>
    <w:p>
      <w:pPr>
        <w:spacing w:after="0" w:line="19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Staff Accounting Bulletin 118 allows companies to record provisional amounts and recognize the effect of the tax law during a measurement period. The measurement period ended in the second quarter of our fiscal 2019. As of March 31, 2019, we have finalized our accounting for the tax impact of the Act and there were no material adjustments recorded to our provisional amounts. However, further technical guidance related to the Act, including final regulations on a broad range of topics, is expected to be issued and, as such, if our interpretation and final accounting are inconsistent with future regulations and guidance, we will recognize the impact as a discrete item in the period that such guidance is issued.</w:t>
      </w:r>
    </w:p>
    <w:p>
      <w:pPr>
        <w:spacing w:after="0" w:line="173"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Global Intangible Low-Tax Income, or GILTI, which is a provision under the Act, imposes a tax on foreign income in excess of a deemed return on tangible assets of foreign corporations. GILTI requires an accounting policy election of either (1) treating taxes due on future U.S. inclusions in taxable income related to GILTI as a current period expense when incurred, or (2) factoring such amounts into the measurement of deferred taxes. We elected to treat GILTI as a period cost and recognize the impact in the period when it is incurred.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ind w:firstLine="476"/>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benefit for income taxes of $15.3 million and $3.9 million for the three months ended March 31, 2019 and 2018, respectively, represented estimated federal, foreign, and state income taxes. The effective tax rate for the three months ended March 31, 2019 diverged from the combined U.S. federal and state statutory tax rate primarily because of foreign withholding taxes, the impact of accounting for qualified stock options, foreign deemed-paid taxes, foreign income taxed at higher tax rates, and GILTI, partially offset by the benefit of research credits, foreign tax credits and foreign-derived intangible income deduction. The effective tax rate for the three months ended March 31, 2018, diverged from the combined U.S. federal and state statutory tax rate, primarily because of the impact of the benefit of research credits and excess share-based compensation deductions, partially offset by foreign withholding taxes, nondeductible amortization, the impact of accounting for qualified stock options, and foreign income taxed at higher tax rates.</w:t>
      </w:r>
    </w:p>
    <w:p>
      <w:pPr>
        <w:spacing w:after="0" w:line="16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benefit for income taxes of $8.1 million and provision for income taxes of $52.6 million for the nine months ended March 31, 2019, and 2018, respectively, represented estimated federal, foreign, and state income taxes. The effective tax rate for the nine months ended March 31, 2019 diverged from the combined U.S. federal and state statutory tax rate primarily because of foreign withholding taxes, the impact of accounting for qualified stock options, foreign deemed-paid taxes, foreign income taxed at higher tax rates and GILTI, partially offset by the benefit of research credits, release of reserves related to uncertain tax positions, the impact of net shortfalls in share-based compensation deduction, foreign tax credits and foreign-derived intangible income deduction. The effective tax rate for the nine months ended March 31, 2018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w:t>
      </w:r>
    </w:p>
    <w:p>
      <w:pPr>
        <w:spacing w:after="0" w:line="18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total liability for gross unrecognized tax benefits related to uncertain tax positions increased $0.5 million during the nine months ended March 31, 2019, to $25.3 million from $24.8 million at June 30, 2018,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March 31, 2019 were $2.7 million; this balance increased by $0.8 million compared to June 30, 2018. We classify interest and penalties as components of income tax expense. It is reasonably possible that the amount of the liability for unrecognized tax benefits may change within the next twelve months and an estimate of the range of possible changes includes an increase in our liability of up to $3.9 million.</w:t>
      </w:r>
    </w:p>
    <w:p>
      <w:pPr>
        <w:spacing w:after="0" w:line="165"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July 2018, the U.S. Ninth Circuit Court of Appeals reversed the 2015 decision of the U.S. Tax Court in Altera Corp. v. Commissioner which found that the Treasury regulations addressing the treatment of stock-based compensation in a cost-sharing arrangement with a related party were invalid. In August 2018, the U.S. Ninth Circuit Court of Appeals withdrew its July 2018 opinion. The reconstituted panel has not issued an opinion on this appeal. As our tax filing position is consistent with the Treasury regulations, we determined no adjustment to our financial statements is required, however, due to the uncertainties with respect to the ultimate resolution, we will continue to monitor developments in this case.</w:t>
      </w:r>
    </w:p>
    <w:p>
      <w:pPr>
        <w:spacing w:after="0" w:line="17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Our major tax jurisdictions are the United States, Hong Kong SAR, and Japan. From fiscal 2013 onward, we remain subject to examination by one or more of these jurisdictions. In August 2018, we received the revenue agent’s report resolving the fiscal 2014 and 2015 examination by the Internal Revenue Service with no material impact on our consolidated financial statements. Our case is pending review by the Joint Committee on Taxation, which we anticipate will conclude in June 2019.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Segment, Customers, and Geographic Information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market, the personal computing, or PC, product market, and the Internet of Things, or IoT, product market. We sell our products to original equipment manufacturers, or OEMs, and to contract manufacturers that provide manufacturing services to OEMs.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7"/>
          </w:tcPr>
          <w:p>
            <w:pPr>
              <w:jc w:val="center"/>
              <w:ind w:right="34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2"/>
              </w:rPr>
              <w:t>March 31,</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center"/>
              <w:ind w:left="45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68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Japan</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6960" w:type="dxa"/>
            <w:vAlign w:val="bottom"/>
            <w:gridSpan w:val="8"/>
          </w:tcPr>
          <w:p>
            <w:pPr>
              <w:jc w:val="right"/>
              <w:spacing w:after="0"/>
              <w:rPr>
                <w:sz w:val="20"/>
                <w:szCs w:val="20"/>
                <w:color w:val="auto"/>
              </w:rPr>
            </w:pPr>
            <w:r>
              <w:rPr>
                <w:rFonts w:ascii="Arial" w:cs="Arial" w:eastAsia="Arial" w:hAnsi="Arial"/>
                <w:sz w:val="18"/>
                <w:szCs w:val="18"/>
                <w:color w:val="auto"/>
                <w:w w:val="91"/>
              </w:rPr>
              <w:t>Net revenue from our customers for each group of similar products was as follows (in millions):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7"/>
          </w:tcPr>
          <w:p>
            <w:pPr>
              <w:jc w:val="center"/>
              <w:ind w:right="34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2"/>
              </w:rPr>
              <w:t>March 31,</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center"/>
              <w:ind w:left="45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68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741.8</w:t>
            </w:r>
          </w:p>
        </w:tc>
        <w:tc>
          <w:tcPr>
            <w:tcW w:w="10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799.5</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6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FF0FC"/>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334.0</w:t>
            </w:r>
          </w:p>
        </w:tc>
        <w:tc>
          <w:tcPr>
            <w:tcW w:w="220" w:type="dxa"/>
            <w:vAlign w:val="bottom"/>
            <w:gridSpan w:val="2"/>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1,177.1</w:t>
            </w:r>
          </w:p>
        </w:tc>
        <w:tc>
          <w:tcPr>
            <w:tcW w:w="240" w:type="dxa"/>
            <w:vAlign w:val="bottom"/>
            <w:gridSpan w:val="3"/>
          </w:tcPr>
          <w:p>
            <w:pPr>
              <w:spacing w:after="0"/>
              <w:rPr>
                <w:sz w:val="19"/>
                <w:szCs w:val="19"/>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44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gridSpan w:val="4"/>
          </w:tcPr>
          <w:p>
            <w:pPr>
              <w:jc w:val="center"/>
              <w:ind w:right="960"/>
              <w:spacing w:after="0"/>
              <w:rPr>
                <w:sz w:val="20"/>
                <w:szCs w:val="20"/>
                <w:color w:val="auto"/>
              </w:rPr>
            </w:pPr>
            <w:r>
              <w:rPr>
                <w:rFonts w:ascii="Arial" w:cs="Arial" w:eastAsia="Arial" w:hAnsi="Arial"/>
                <w:sz w:val="18"/>
                <w:szCs w:val="18"/>
                <w:color w:val="auto"/>
                <w:w w:val="92"/>
              </w:rPr>
              <w:t>March 31,</w:t>
            </w:r>
          </w:p>
        </w:tc>
        <w:tc>
          <w:tcPr>
            <w:tcW w:w="740" w:type="dxa"/>
            <w:vAlign w:val="bottom"/>
          </w:tcPr>
          <w:p>
            <w:pPr>
              <w:spacing w:after="0"/>
              <w:rPr>
                <w:sz w:val="20"/>
                <w:szCs w:val="20"/>
                <w:color w:val="auto"/>
              </w:rPr>
            </w:pPr>
          </w:p>
        </w:tc>
        <w:tc>
          <w:tcPr>
            <w:tcW w:w="170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March 31,</w:t>
            </w:r>
          </w:p>
        </w:tc>
      </w:tr>
      <w:tr>
        <w:trPr>
          <w:trHeight w:val="223"/>
        </w:trPr>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74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89"/>
              </w:rPr>
              <w:t>2019</w:t>
            </w:r>
          </w:p>
        </w:tc>
        <w:tc>
          <w:tcPr>
            <w:tcW w:w="1560" w:type="dxa"/>
            <w:vAlign w:val="bottom"/>
            <w:tcBorders>
              <w:top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89"/>
              </w:rPr>
              <w:t>2019</w:t>
            </w:r>
          </w:p>
        </w:tc>
        <w:tc>
          <w:tcPr>
            <w:tcW w:w="1580" w:type="dxa"/>
            <w:vAlign w:val="bottom"/>
            <w:tcBorders>
              <w:top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740" w:type="dxa"/>
            <w:vAlign w:val="bottom"/>
            <w:tcBorders>
              <w:top w:val="single" w:sz="8" w:color="auto"/>
            </w:tcBorders>
            <w:shd w:val="clear" w:color="auto" w:fill="CFF0FC"/>
          </w:tcPr>
          <w:p>
            <w:pPr>
              <w:jc w:val="center"/>
              <w:ind w:left="210"/>
              <w:spacing w:after="0"/>
              <w:rPr>
                <w:sz w:val="20"/>
                <w:szCs w:val="20"/>
                <w:color w:val="auto"/>
              </w:rPr>
            </w:pPr>
            <w:r>
              <w:rPr>
                <w:rFonts w:ascii="Arial" w:cs="Arial" w:eastAsia="Arial" w:hAnsi="Arial"/>
                <w:sz w:val="18"/>
                <w:szCs w:val="18"/>
                <w:color w:val="auto"/>
                <w:w w:val="88"/>
              </w:rPr>
              <w:t>17%</w:t>
            </w: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17%</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ind w:left="210"/>
              <w:spacing w:after="0"/>
              <w:rPr>
                <w:sz w:val="20"/>
                <w:szCs w:val="20"/>
                <w:color w:val="auto"/>
              </w:rPr>
            </w:pPr>
            <w:r>
              <w:rPr>
                <w:rFonts w:ascii="Arial" w:cs="Arial" w:eastAsia="Arial" w:hAnsi="Arial"/>
                <w:sz w:val="18"/>
                <w:szCs w:val="18"/>
                <w:color w:val="auto"/>
                <w:w w:val="88"/>
              </w:rPr>
              <w:t>18%</w:t>
            </w: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40" w:type="dxa"/>
            <w:vAlign w:val="bottom"/>
          </w:tcPr>
          <w:p>
            <w:pPr>
              <w:jc w:val="center"/>
              <w:ind w:left="210"/>
              <w:spacing w:after="0"/>
              <w:rPr>
                <w:sz w:val="20"/>
                <w:szCs w:val="20"/>
                <w:color w:val="auto"/>
              </w:rPr>
            </w:pPr>
            <w:r>
              <w:rPr>
                <w:rFonts w:ascii="Arial" w:cs="Arial" w:eastAsia="Arial" w:hAnsi="Arial"/>
                <w:sz w:val="18"/>
                <w:szCs w:val="18"/>
                <w:color w:val="auto"/>
                <w:w w:val="88"/>
              </w:rPr>
              <w:t>10%</w:t>
            </w:r>
          </w:p>
        </w:tc>
        <w:tc>
          <w:tcPr>
            <w:tcW w:w="156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11%</w:t>
            </w:r>
          </w:p>
        </w:tc>
        <w:tc>
          <w:tcPr>
            <w:tcW w:w="220" w:type="dxa"/>
            <w:vAlign w:val="bottom"/>
          </w:tcPr>
          <w:p>
            <w:pPr>
              <w:spacing w:after="0"/>
              <w:rPr>
                <w:sz w:val="19"/>
                <w:szCs w:val="19"/>
                <w:color w:val="auto"/>
              </w:rPr>
            </w:pPr>
          </w:p>
        </w:tc>
        <w:tc>
          <w:tcPr>
            <w:tcW w:w="740" w:type="dxa"/>
            <w:vAlign w:val="bottom"/>
          </w:tcPr>
          <w:p>
            <w:pPr>
              <w:jc w:val="center"/>
              <w:ind w:left="21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11%</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7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8"/>
              </w:rPr>
              <w:t>16%</w:t>
            </w:r>
          </w:p>
        </w:tc>
        <w:tc>
          <w:tcPr>
            <w:tcW w:w="1560" w:type="dxa"/>
            <w:vAlign w:val="bottom"/>
            <w:gridSpan w:val="3"/>
            <w:shd w:val="clear" w:color="auto" w:fill="CFF0FC"/>
          </w:tcPr>
          <w:p>
            <w:pPr>
              <w:jc w:val="center"/>
              <w:ind w:left="430"/>
              <w:spacing w:after="0"/>
              <w:rPr>
                <w:sz w:val="20"/>
                <w:szCs w:val="20"/>
                <w:color w:val="auto"/>
              </w:rPr>
            </w:pPr>
            <w:r>
              <w:rPr>
                <w:rFonts w:ascii="Arial" w:cs="Arial" w:eastAsia="Arial" w:hAnsi="Arial"/>
                <w:sz w:val="18"/>
                <w:szCs w:val="18"/>
                <w:color w:val="auto"/>
                <w:w w:val="88"/>
              </w:rPr>
              <w:t>11%</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8"/>
              </w:rPr>
              <w:t>14%</w:t>
            </w:r>
          </w:p>
        </w:tc>
        <w:tc>
          <w:tcPr>
            <w:tcW w:w="1580" w:type="dxa"/>
            <w:vAlign w:val="bottom"/>
            <w:gridSpan w:val="3"/>
            <w:shd w:val="clear" w:color="auto" w:fill="CFF0FC"/>
          </w:tcPr>
          <w:p>
            <w:pPr>
              <w:jc w:val="center"/>
              <w:ind w:left="4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40"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52"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840" w:type="dxa"/>
            <w:vAlign w:val="bottom"/>
            <w:gridSpan w:val="2"/>
          </w:tcPr>
          <w:p>
            <w:pPr>
              <w:ind w:left="420"/>
              <w:spacing w:after="0"/>
              <w:rPr>
                <w:sz w:val="20"/>
                <w:szCs w:val="20"/>
                <w:color w:val="auto"/>
              </w:rPr>
            </w:pPr>
            <w:r>
              <w:rPr>
                <w:rFonts w:ascii="Arial" w:cs="Arial" w:eastAsia="Arial" w:hAnsi="Arial"/>
                <w:sz w:val="18"/>
                <w:szCs w:val="18"/>
                <w:color w:val="auto"/>
              </w:rPr>
              <w:t>March 31,</w:t>
            </w:r>
          </w:p>
        </w:tc>
        <w:tc>
          <w:tcPr>
            <w:tcW w:w="1740" w:type="dxa"/>
            <w:vAlign w:val="bottom"/>
            <w:gridSpan w:val="2"/>
          </w:tcPr>
          <w:p>
            <w:pPr>
              <w:ind w:left="500"/>
              <w:spacing w:after="0"/>
              <w:rPr>
                <w:sz w:val="20"/>
                <w:szCs w:val="20"/>
                <w:color w:val="auto"/>
              </w:rPr>
            </w:pPr>
            <w:r>
              <w:rPr>
                <w:rFonts w:ascii="Arial" w:cs="Arial" w:eastAsia="Arial" w:hAnsi="Arial"/>
                <w:sz w:val="18"/>
                <w:szCs w:val="18"/>
                <w:color w:val="auto"/>
              </w:rPr>
              <w:t>June 30,</w:t>
            </w:r>
          </w:p>
        </w:tc>
      </w:tr>
      <w:tr>
        <w:trPr>
          <w:trHeight w:val="230"/>
        </w:trPr>
        <w:tc>
          <w:tcPr>
            <w:tcW w:w="580" w:type="dxa"/>
            <w:vAlign w:val="bottom"/>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498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4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20%</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19%</w:t>
            </w:r>
          </w:p>
        </w:tc>
        <w:tc>
          <w:tcPr>
            <w:tcW w:w="2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FF0FC"/>
          </w:tcPr>
          <w:p>
            <w:pPr>
              <w:spacing w:after="0"/>
              <w:rPr>
                <w:sz w:val="19"/>
                <w:szCs w:val="19"/>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4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4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Income/(Loss)</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comprehensive income/(loss) generally consists of net income/(loss) plus the effect of unrealized gains and losses on our investments, primarily due to temporary changes in market value of certain of our ARS investments. In addition, we recognize the noncredit portion of other-than-temporary impairment on debt securities in other comprehensive income/(loss). We recognize foreign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currency remeasurement adjustments and foreign currency transaction gains and losses in our condensed consolidated statements of operations as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is the functional currency of our foreign entities.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Activities</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In November 2017, we committed to and initiated a restructuring action intended to streamline and reduce our operating cost structure and capitalize on acquisition synergies. These costs primarily related to severance costs for a reduction in headcount, facility consolidation and related costs. In April 2018, we committed to and initiated a restructuring to close a research and development facility. These costs included employee severance and related benefits and facility closure charges. Restructuring costs related to the November 2017 and April 2018 restructuring activities were recorded to the restructuring costs line item within our condensed consolidated statements of operations and are complete as of March 31, 2019.</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restructuring liability for these fiscal 2018 initiated activities during the nine months ended March 31, 2019 were as follows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Employee Severance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Facility Consolidation</w:t>
            </w: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p>
        </w:tc>
        <w:tc>
          <w:tcPr>
            <w:tcW w:w="1880" w:type="dxa"/>
            <w:vAlign w:val="bottom"/>
          </w:tcPr>
          <w:p>
            <w:pPr>
              <w:jc w:val="right"/>
              <w:ind w:right="257"/>
              <w:spacing w:after="0"/>
              <w:rPr>
                <w:sz w:val="20"/>
                <w:szCs w:val="20"/>
                <w:color w:val="auto"/>
              </w:rPr>
            </w:pPr>
            <w:r>
              <w:rPr>
                <w:rFonts w:ascii="Arial" w:cs="Arial" w:eastAsia="Arial" w:hAnsi="Arial"/>
                <w:sz w:val="18"/>
                <w:szCs w:val="18"/>
                <w:color w:val="auto"/>
              </w:rPr>
              <w:t>and Benefits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and Related Charges</w:t>
            </w:r>
          </w:p>
        </w:tc>
        <w:tc>
          <w:tcPr>
            <w:tcW w:w="500" w:type="dxa"/>
            <w:vAlign w:val="bottom"/>
          </w:tcPr>
          <w:p>
            <w:pPr>
              <w:spacing w:after="0"/>
              <w:rPr>
                <w:sz w:val="20"/>
                <w:szCs w:val="20"/>
                <w:color w:val="auto"/>
              </w:rPr>
            </w:pPr>
          </w:p>
        </w:tc>
        <w:tc>
          <w:tcPr>
            <w:tcW w:w="1800" w:type="dxa"/>
            <w:vAlign w:val="bottom"/>
            <w:gridSpan w:val="2"/>
          </w:tcPr>
          <w:p>
            <w:pPr>
              <w:jc w:val="right"/>
              <w:ind w:right="1040"/>
              <w:spacing w:after="0"/>
              <w:rPr>
                <w:sz w:val="20"/>
                <w:szCs w:val="20"/>
                <w:color w:val="auto"/>
              </w:rPr>
            </w:pPr>
            <w:r>
              <w:rPr>
                <w:rFonts w:ascii="Arial" w:cs="Arial" w:eastAsia="Arial" w:hAnsi="Arial"/>
                <w:sz w:val="18"/>
                <w:szCs w:val="18"/>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880" w:type="dxa"/>
            <w:vAlign w:val="bottom"/>
            <w:tcBorders>
              <w:top w:val="single" w:sz="8" w:color="auto"/>
            </w:tcBorders>
            <w:shd w:val="clear" w:color="auto" w:fill="CFF0FC"/>
          </w:tcPr>
          <w:p>
            <w:pPr>
              <w:jc w:val="right"/>
              <w:ind w:right="171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Accruals</w:t>
            </w:r>
          </w:p>
        </w:tc>
        <w:tc>
          <w:tcPr>
            <w:tcW w:w="18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1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Balance as of March 31, 2019</w:t>
            </w:r>
          </w:p>
        </w:tc>
        <w:tc>
          <w:tcPr>
            <w:tcW w:w="1880" w:type="dxa"/>
            <w:vAlign w:val="bottom"/>
            <w:tcBorders>
              <w:top w:val="single" w:sz="8" w:color="auto"/>
              <w:bottom w:val="single" w:sz="8" w:color="auto"/>
            </w:tcBorders>
          </w:tcPr>
          <w:p>
            <w:pPr>
              <w:jc w:val="right"/>
              <w:ind w:right="171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color w:val="auto"/>
        </w:rPr>
        <w:t>In August 2018, we committed to and initiated a restructuring of our mobile fingerprint optical business. These costs primarily related to severance costs for a reduction in headcount and related costs. Restructuring costs related to the fiscal 2019 restructuring activities were recorded to the restructuring costs line item within our condensed consolidated statements of operations. These activities are complete as of March 31, 2019.</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restructuring liability for the fiscal 2019 initiated activity during the nine months ended March 31, 2019 were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20" w:type="dxa"/>
            <w:vAlign w:val="bottom"/>
            <w:gridSpan w:val="2"/>
          </w:tcPr>
          <w:p>
            <w:pPr>
              <w:jc w:val="right"/>
              <w:ind w:right="1340"/>
              <w:spacing w:after="0"/>
              <w:rPr>
                <w:sz w:val="20"/>
                <w:szCs w:val="20"/>
                <w:color w:val="auto"/>
              </w:rPr>
            </w:pPr>
            <w:r>
              <w:rPr>
                <w:rFonts w:ascii="Arial" w:cs="Arial" w:eastAsia="Arial" w:hAnsi="Arial"/>
                <w:sz w:val="18"/>
                <w:szCs w:val="18"/>
                <w:color w:val="auto"/>
              </w:rPr>
              <w:t>Employee Severance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20" w:type="dxa"/>
            <w:vAlign w:val="bottom"/>
            <w:gridSpan w:val="2"/>
          </w:tcPr>
          <w:p>
            <w:pPr>
              <w:jc w:val="right"/>
              <w:ind w:right="1640"/>
              <w:spacing w:after="0"/>
              <w:rPr>
                <w:sz w:val="20"/>
                <w:szCs w:val="20"/>
                <w:color w:val="auto"/>
              </w:rPr>
            </w:pPr>
            <w:r>
              <w:rPr>
                <w:rFonts w:ascii="Arial" w:cs="Arial" w:eastAsia="Arial" w:hAnsi="Arial"/>
                <w:sz w:val="18"/>
                <w:szCs w:val="18"/>
                <w:color w:val="auto"/>
              </w:rPr>
              <w:t>and Benefits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34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3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Cash payments</w:t>
            </w:r>
          </w:p>
        </w:tc>
        <w:tc>
          <w:tcPr>
            <w:tcW w:w="3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2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2019</w:t>
            </w:r>
          </w:p>
        </w:tc>
        <w:tc>
          <w:tcPr>
            <w:tcW w:w="34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3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460" w:type="dxa"/>
            <w:vAlign w:val="bottom"/>
            <w:vMerge w:val="restart"/>
          </w:tcPr>
          <w:p>
            <w:pPr>
              <w:jc w:val="right"/>
              <w:ind w:right="1470"/>
              <w:spacing w:after="0"/>
              <w:rPr>
                <w:sz w:val="20"/>
                <w:szCs w:val="20"/>
                <w:color w:val="auto"/>
              </w:rPr>
            </w:pPr>
            <w:r>
              <w:rPr>
                <w:rFonts w:ascii="Arial" w:cs="Arial" w:eastAsia="Arial" w:hAnsi="Arial"/>
                <w:sz w:val="18"/>
                <w:szCs w:val="18"/>
                <w:color w:val="auto"/>
              </w:rPr>
              <w:t>22</w:t>
            </w:r>
          </w:p>
        </w:tc>
        <w:tc>
          <w:tcPr>
            <w:tcW w:w="6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2" w:name="page23"/>
    <w:bookmarkEnd w:id="22"/>
    <w:p>
      <w:pPr>
        <w:ind w:right="14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ind w:right="20" w:firstLine="518"/>
        <w:spacing w:after="0" w:line="268" w:lineRule="auto"/>
        <w:rPr>
          <w:sz w:val="20"/>
          <w:szCs w:val="20"/>
          <w:color w:val="auto"/>
        </w:rPr>
      </w:pPr>
      <w:r>
        <w:rPr>
          <w:rFonts w:ascii="Arial" w:cs="Arial" w:eastAsia="Arial" w:hAnsi="Arial"/>
          <w:sz w:val="17"/>
          <w:szCs w:val="17"/>
          <w:color w:val="auto"/>
        </w:rPr>
        <w:t>This Quarterly Report on Form 10-Q for the quarter ended March 30, 2019 (this “Report”) contains forward-looking statements that are subject to the safe harbors created under the Securities Act of 1933, as amended (the “Securities Act”), and the Securities Exchange Act of 1934, as amended (the “Exchange Act”). For ease of presentation, this Report shows reporting periods ending on calendar quarter end dates as of and for all periods presented, unless otherwise indicated.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of our Annual Report on Form 10-K for the fiscal year ended June 30, 2018,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which includes devices with voice, speech and video within smart homes, and other select electronic devices, including devices in automobiles, with our custom human interface solutions. Every solution we deliver either contains or consists of our touch-, display driver-, fingerprint authentication-based-, voice and speech-, and </w:t>
      </w:r>
      <w:r>
        <w:rPr>
          <w:rFonts w:ascii="Arial" w:cs="Arial" w:eastAsia="Arial" w:hAnsi="Arial"/>
          <w:sz w:val="17"/>
          <w:szCs w:val="17"/>
          <w:color w:val="333333"/>
        </w:rPr>
        <w:t>video-</w:t>
      </w:r>
      <w:r>
        <w:rPr>
          <w:rFonts w:ascii="Arial" w:cs="Arial" w:eastAsia="Arial" w:hAnsi="Arial"/>
          <w:sz w:val="17"/>
          <w:szCs w:val="17"/>
          <w:color w:val="auto"/>
        </w:rPr>
        <w:t>semiconductor solutions, which include our chip, customer-specific firmware, and software.</w:t>
      </w:r>
    </w:p>
    <w:p>
      <w:pPr>
        <w:spacing w:after="0" w:line="17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Armenia, China, Denmark, Hong Kong, India, Japan, Korea, Switzerland, Taiwan, and the United States,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generally do not have long-term supply contracts with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jc w:val="both"/>
        <w:ind w:right="400" w:firstLine="518"/>
        <w:spacing w:after="0" w:line="259" w:lineRule="auto"/>
        <w:rPr>
          <w:sz w:val="20"/>
          <w:szCs w:val="20"/>
          <w:color w:val="auto"/>
        </w:rPr>
      </w:pPr>
      <w:r>
        <w:rPr>
          <w:rFonts w:ascii="Arial" w:cs="Arial" w:eastAsia="Arial" w:hAnsi="Arial"/>
          <w:sz w:val="18"/>
          <w:szCs w:val="18"/>
          <w:color w:val="auto"/>
        </w:rPr>
        <w:t>Our research and development expenses include costs for supplies and materials related to product development, as well as the engineering costs incurred to design ASICs and human interface solutions for OEM customers prior to and after their commitment to incorporate those solutions into their products. We continue to commit to the technological and design innovation required to maintain our position in our existing markets, and to adapt our existing technologies or develop new technologies for new markets.</w:t>
      </w:r>
    </w:p>
    <w:p>
      <w:pPr>
        <w:spacing w:after="0" w:line="187"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0"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Restructuring costs primarily reflect severance and facilities consolidation costs related to the restructuring of our operations to reduce operating expenses. These headcount and facilities related costs were in cost of revenue, research and development, and selling, general and administrative expenses.</w:t>
      </w:r>
    </w:p>
    <w:p>
      <w:pPr>
        <w:spacing w:after="0" w:line="124"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Interest and other expense, net, primarily reflects interest expense on our convertible notes as well as the amortization of debt issuance costs and discount on our convertible notes, partially offset by impairment recovery on investments.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three months ended March 31, 2019, compared with our critical accounting policies and estimates disclosed in Management’s Discussion and Analysis of Financial Condition and Results of Operations included in our Annual Report on Form 10-K for the fiscal year ended June 30, 2018, with the exception to the critical accounting policy on revenue recognition. We adopted the Accounting Standards Update on revenue from contracts with customers at the beginning of our fiscal 2019 (see Note 2 Revenue Recognition to the condensed consolidated financial statements contained elsewhere in this Report).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operations for the periods indicated, together with comparative absolute and percentage changes in these amounts, were as follows (in millions, except 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gridSpan w:val="10"/>
          </w:tcPr>
          <w:p>
            <w:pPr>
              <w:jc w:val="right"/>
              <w:ind w:right="1020"/>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20" w:type="dxa"/>
            <w:vAlign w:val="bottom"/>
            <w:gridSpan w:val="8"/>
          </w:tcPr>
          <w:p>
            <w:pPr>
              <w:ind w:left="60"/>
              <w:spacing w:after="0"/>
              <w:rPr>
                <w:sz w:val="20"/>
                <w:szCs w:val="20"/>
                <w:color w:val="auto"/>
              </w:rPr>
            </w:pPr>
            <w:r>
              <w:rPr>
                <w:rFonts w:ascii="Arial" w:cs="Arial" w:eastAsia="Arial" w:hAnsi="Arial"/>
                <w:sz w:val="16"/>
                <w:szCs w:val="16"/>
                <w:b w:val="1"/>
                <w:bCs w:val="1"/>
                <w:color w:val="auto"/>
                <w:w w:val="94"/>
              </w:rPr>
              <w:t>Nine Months Ended March 31,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9"/>
              <w:spacing w:after="0" w:line="212" w:lineRule="exact"/>
              <w:rPr>
                <w:sz w:val="20"/>
                <w:szCs w:val="20"/>
                <w:color w:val="auto"/>
              </w:rPr>
            </w:pPr>
            <w:r>
              <w:rPr>
                <w:rFonts w:ascii="Arial" w:cs="Arial" w:eastAsia="Arial" w:hAnsi="Arial"/>
                <w:sz w:val="15"/>
                <w:szCs w:val="15"/>
                <w:b w:val="1"/>
                <w:bCs w:val="1"/>
                <w:color w:val="auto"/>
                <w:w w:val="87"/>
              </w:rPr>
              <w:t xml:space="preserve">2019 </w:t>
            </w:r>
            <w:r>
              <w:rPr>
                <w:rFonts w:ascii="Arial" w:cs="Arial" w:eastAsia="Arial" w:hAnsi="Arial"/>
                <w:sz w:val="24"/>
                <w:szCs w:val="24"/>
                <w:b w:val="1"/>
                <w:bCs w:val="1"/>
                <w:color w:val="auto"/>
                <w:w w:val="87"/>
                <w:vertAlign w:val="superscript"/>
              </w:rPr>
              <w:t>(1)</w:t>
            </w:r>
          </w:p>
        </w:tc>
        <w:tc>
          <w:tcPr>
            <w:tcW w:w="20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59"/>
              <w:spacing w:after="0" w:line="212" w:lineRule="exact"/>
              <w:rPr>
                <w:sz w:val="20"/>
                <w:szCs w:val="20"/>
                <w:color w:val="auto"/>
              </w:rPr>
            </w:pPr>
            <w:r>
              <w:rPr>
                <w:rFonts w:ascii="Arial" w:cs="Arial" w:eastAsia="Arial" w:hAnsi="Arial"/>
                <w:sz w:val="15"/>
                <w:szCs w:val="15"/>
                <w:b w:val="1"/>
                <w:bCs w:val="1"/>
                <w:color w:val="auto"/>
                <w:w w:val="90"/>
              </w:rPr>
              <w:t>2018</w:t>
            </w:r>
            <w:r>
              <w:rPr>
                <w:rFonts w:ascii="Arial" w:cs="Arial" w:eastAsia="Arial" w:hAnsi="Arial"/>
                <w:sz w:val="24"/>
                <w:szCs w:val="24"/>
                <w:b w:val="1"/>
                <w:bCs w:val="1"/>
                <w:color w:val="auto"/>
                <w:w w:val="90"/>
                <w:vertAlign w:val="superscript"/>
              </w:rPr>
              <w:t>(1)</w:t>
            </w:r>
          </w:p>
        </w:tc>
        <w:tc>
          <w:tcPr>
            <w:tcW w:w="18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 Change</w:t>
            </w:r>
          </w:p>
        </w:tc>
        <w:tc>
          <w:tcPr>
            <w:tcW w:w="180" w:type="dxa"/>
            <w:vAlign w:val="bottom"/>
            <w:tcBorders>
              <w:top w:val="single" w:sz="8" w:color="auto"/>
              <w:bottom w:val="single" w:sz="8" w:color="CFF0FC"/>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Change</w:t>
            </w:r>
          </w:p>
        </w:tc>
        <w:tc>
          <w:tcPr>
            <w:tcW w:w="2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9"/>
              <w:spacing w:after="0" w:line="212" w:lineRule="exact"/>
              <w:rPr>
                <w:sz w:val="20"/>
                <w:szCs w:val="20"/>
                <w:color w:val="auto"/>
              </w:rPr>
            </w:pPr>
            <w:r>
              <w:rPr>
                <w:rFonts w:ascii="Arial" w:cs="Arial" w:eastAsia="Arial" w:hAnsi="Arial"/>
                <w:sz w:val="15"/>
                <w:szCs w:val="15"/>
                <w:b w:val="1"/>
                <w:bCs w:val="1"/>
                <w:color w:val="auto"/>
                <w:w w:val="87"/>
              </w:rPr>
              <w:t xml:space="preserve">2019 </w:t>
            </w:r>
            <w:r>
              <w:rPr>
                <w:rFonts w:ascii="Arial" w:cs="Arial" w:eastAsia="Arial" w:hAnsi="Arial"/>
                <w:sz w:val="24"/>
                <w:szCs w:val="24"/>
                <w:b w:val="1"/>
                <w:bCs w:val="1"/>
                <w:color w:val="auto"/>
                <w:w w:val="87"/>
                <w:vertAlign w:val="superscript"/>
              </w:rPr>
              <w:t>(1)</w:t>
            </w:r>
          </w:p>
        </w:tc>
        <w:tc>
          <w:tcPr>
            <w:tcW w:w="20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9"/>
              <w:spacing w:after="0" w:line="212" w:lineRule="exact"/>
              <w:rPr>
                <w:sz w:val="20"/>
                <w:szCs w:val="20"/>
                <w:color w:val="auto"/>
              </w:rPr>
            </w:pPr>
            <w:r>
              <w:rPr>
                <w:rFonts w:ascii="Arial" w:cs="Arial" w:eastAsia="Arial" w:hAnsi="Arial"/>
                <w:sz w:val="15"/>
                <w:szCs w:val="15"/>
                <w:b w:val="1"/>
                <w:bCs w:val="1"/>
                <w:color w:val="auto"/>
                <w:w w:val="90"/>
              </w:rPr>
              <w:t>2018</w:t>
            </w:r>
            <w:r>
              <w:rPr>
                <w:rFonts w:ascii="Arial" w:cs="Arial" w:eastAsia="Arial" w:hAnsi="Arial"/>
                <w:sz w:val="24"/>
                <w:szCs w:val="24"/>
                <w:b w:val="1"/>
                <w:bCs w:val="1"/>
                <w:color w:val="auto"/>
                <w:w w:val="90"/>
                <w:vertAlign w:val="superscript"/>
              </w:rPr>
              <w:t>(1)</w:t>
            </w:r>
          </w:p>
        </w:tc>
        <w:tc>
          <w:tcPr>
            <w:tcW w:w="18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8"/>
              </w:rPr>
              <w:t>$ Change</w:t>
            </w:r>
          </w:p>
        </w:tc>
        <w:tc>
          <w:tcPr>
            <w:tcW w:w="200" w:type="dxa"/>
            <w:vAlign w:val="bottom"/>
            <w:tcBorders>
              <w:top w:val="single" w:sz="8" w:color="auto"/>
              <w:bottom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98"/>
              </w:rPr>
              <w:t>% Change</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(40.1)</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741.8</w:t>
            </w:r>
          </w:p>
        </w:tc>
        <w:tc>
          <w:tcPr>
            <w:tcW w:w="300" w:type="dxa"/>
            <w:vAlign w:val="bottom"/>
            <w:tcBorders>
              <w:lef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(57.7)</w:t>
            </w:r>
          </w:p>
        </w:tc>
        <w:tc>
          <w:tcPr>
            <w:tcW w:w="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(25.9)</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236.6</w:t>
            </w:r>
          </w:p>
        </w:tc>
        <w:tc>
          <w:tcPr>
            <w:tcW w:w="20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(18.5)</w:t>
            </w:r>
          </w:p>
        </w:tc>
        <w:tc>
          <w:tcPr>
            <w:tcW w:w="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260"/>
              <w:spacing w:after="0"/>
              <w:rPr>
                <w:sz w:val="20"/>
                <w:szCs w:val="20"/>
                <w:color w:val="auto"/>
              </w:rPr>
            </w:pPr>
            <w:r>
              <w:rPr>
                <w:rFonts w:ascii="Arial" w:cs="Arial" w:eastAsia="Arial" w:hAnsi="Arial"/>
                <w:sz w:val="16"/>
                <w:szCs w:val="16"/>
                <w:color w:val="auto"/>
              </w:rPr>
              <w:t>Net revenue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line="20" w:lineRule="exact"/>
              <w:rPr>
                <w:sz w:val="1"/>
                <w:szCs w:val="1"/>
                <w:color w:val="auto"/>
              </w:rPr>
            </w:pPr>
          </w:p>
        </w:tc>
      </w:tr>
      <w:tr>
        <w:trPr>
          <w:trHeight w:val="207"/>
        </w:trPr>
        <w:tc>
          <w:tcPr>
            <w:tcW w:w="3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334.0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394.0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(60.0)</w:t>
            </w: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1,177.1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1,241.8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(64.7)</w:t>
            </w:r>
          </w:p>
        </w:tc>
        <w:tc>
          <w:tcPr>
            <w:tcW w:w="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Borders>
              <w:right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line="20" w:lineRule="exact"/>
              <w:rPr>
                <w:sz w:val="1"/>
                <w:szCs w:val="1"/>
                <w:color w:val="auto"/>
              </w:rPr>
            </w:pPr>
          </w:p>
        </w:tc>
      </w:tr>
      <w:tr>
        <w:trPr>
          <w:trHeight w:val="213"/>
        </w:trPr>
        <w:tc>
          <w:tcPr>
            <w:tcW w:w="3480" w:type="dxa"/>
            <w:vAlign w:val="bottom"/>
            <w:tcBorders>
              <w:right w:val="single" w:sz="8" w:color="CFF0FC"/>
            </w:tcBorders>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122.9</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(6.9)</w:t>
            </w:r>
          </w:p>
        </w:tc>
        <w:tc>
          <w:tcPr>
            <w:tcW w:w="10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406.7</w:t>
            </w:r>
          </w:p>
        </w:tc>
        <w:tc>
          <w:tcPr>
            <w:tcW w:w="20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8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(11.1)</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20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(16.1)</w:t>
            </w:r>
          </w:p>
        </w:tc>
        <w:tc>
          <w:tcPr>
            <w:tcW w:w="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(3.7)</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114.3%</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0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
        </w:trPr>
        <w:tc>
          <w:tcPr>
            <w:tcW w:w="3480" w:type="dxa"/>
            <w:vAlign w:val="bottom"/>
            <w:tcBorders>
              <w:right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Operating income/(loss)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line="20" w:lineRule="exact"/>
              <w:rPr>
                <w:sz w:val="1"/>
                <w:szCs w:val="1"/>
                <w:color w:val="auto"/>
              </w:rPr>
            </w:pPr>
          </w:p>
        </w:tc>
      </w:tr>
      <w:tr>
        <w:trPr>
          <w:trHeight w:val="213"/>
        </w:trPr>
        <w:tc>
          <w:tcPr>
            <w:tcW w:w="3480" w:type="dxa"/>
            <w:vAlign w:val="bottom"/>
            <w:tcBorders>
              <w:right w:val="single" w:sz="8" w:color="CFF0FC"/>
            </w:tcBorders>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80" w:type="dxa"/>
            <w:vAlign w:val="bottom"/>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20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6"/>
                <w:szCs w:val="16"/>
                <w:color w:val="auto"/>
              </w:rPr>
              <w:t>Interest and other expense, net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31.8%</w:t>
            </w:r>
          </w:p>
        </w:tc>
        <w:tc>
          <w:tcPr>
            <w:tcW w:w="0" w:type="dxa"/>
            <w:vAlign w:val="bottom"/>
          </w:tcPr>
          <w:p>
            <w:pPr>
              <w:spacing w:after="0" w:line="20" w:lineRule="exact"/>
              <w:rPr>
                <w:sz w:val="1"/>
                <w:szCs w:val="1"/>
                <w:color w:val="auto"/>
              </w:rPr>
            </w:pPr>
          </w:p>
        </w:tc>
      </w:tr>
      <w:tr>
        <w:trPr>
          <w:trHeight w:val="207"/>
        </w:trPr>
        <w:tc>
          <w:tcPr>
            <w:tcW w:w="3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Borders>
              <w:right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w w:val="94"/>
              </w:rPr>
              <w:t>Income/(loss) before provision for income taxes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line="20" w:lineRule="exact"/>
              <w:rPr>
                <w:sz w:val="1"/>
                <w:szCs w:val="1"/>
                <w:color w:val="auto"/>
              </w:rPr>
            </w:pPr>
          </w:p>
        </w:tc>
      </w:tr>
      <w:tr>
        <w:trPr>
          <w:trHeight w:val="213"/>
        </w:trPr>
        <w:tc>
          <w:tcPr>
            <w:tcW w:w="3480" w:type="dxa"/>
            <w:vAlign w:val="bottom"/>
            <w:tcBorders>
              <w:right w:val="single" w:sz="8" w:color="CFF0FC"/>
            </w:tcBorders>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80" w:type="dxa"/>
            <w:vAlign w:val="bottom"/>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20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6"/>
                <w:szCs w:val="16"/>
                <w:color w:val="auto"/>
              </w:rPr>
              <w:t>Provision/(benefit) for income taxes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(292.3%)</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line="20" w:lineRule="exact"/>
              <w:rPr>
                <w:sz w:val="1"/>
                <w:szCs w:val="1"/>
                <w:color w:val="auto"/>
              </w:rPr>
            </w:pPr>
          </w:p>
        </w:tc>
      </w:tr>
      <w:tr>
        <w:trPr>
          <w:trHeight w:val="207"/>
        </w:trPr>
        <w:tc>
          <w:tcPr>
            <w:tcW w:w="3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(11.4)</w:t>
            </w: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(60.7)</w:t>
            </w:r>
          </w:p>
        </w:tc>
        <w:tc>
          <w:tcPr>
            <w:tcW w:w="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(0.6)</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0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260"/>
              <w:spacing w:after="0"/>
              <w:rPr>
                <w:sz w:val="20"/>
                <w:szCs w:val="20"/>
                <w:color w:val="auto"/>
              </w:rPr>
            </w:pPr>
            <w:r>
              <w:rPr>
                <w:rFonts w:ascii="Arial" w:cs="Arial" w:eastAsia="Arial" w:hAnsi="Arial"/>
                <w:sz w:val="16"/>
                <w:szCs w:val="16"/>
                <w:color w:val="auto"/>
              </w:rPr>
              <w:t>Net income/(loss)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148.9%</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line="20" w:lineRule="exact"/>
              <w:rPr>
                <w:sz w:val="1"/>
                <w:szCs w:val="1"/>
                <w:color w:val="auto"/>
              </w:rPr>
            </w:pPr>
          </w:p>
        </w:tc>
      </w:tr>
      <w:tr>
        <w:trPr>
          <w:trHeight w:val="207"/>
        </w:trPr>
        <w:tc>
          <w:tcPr>
            <w:tcW w:w="34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23.3</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(122.6)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449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0"/>
          <w:szCs w:val="20"/>
          <w:color w:val="auto"/>
        </w:rPr>
      </w:pPr>
    </w:p>
    <w:p>
      <w:pPr>
        <w:ind w:left="1040" w:right="140" w:hanging="519"/>
        <w:spacing w:after="0" w:line="291" w:lineRule="auto"/>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the post-acquisition results of operations from our acquisition of Conexant Systems, LLC, completed on July 25, 2017, or the Conexant Acquisition, and from our acquisition of the multimedia solutions business of Marvell Technology Group Ltd., completed on September 8, 2017, or the Marvell Business Acquisition.</w:t>
      </w:r>
    </w:p>
    <w:p>
      <w:pPr>
        <w:spacing w:after="0" w:line="14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operations presented here as a percentage of net revenue for the periods indicated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Percentage</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Point</w:t>
            </w:r>
          </w:p>
        </w:tc>
        <w:tc>
          <w:tcPr>
            <w:tcW w:w="236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Nine Months Ended</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Point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340" w:type="dxa"/>
            <w:vAlign w:val="bottom"/>
            <w:gridSpan w:val="4"/>
          </w:tcPr>
          <w:p>
            <w:pPr>
              <w:jc w:val="right"/>
              <w:ind w:right="980"/>
              <w:spacing w:after="0"/>
              <w:rPr>
                <w:sz w:val="20"/>
                <w:szCs w:val="20"/>
                <w:color w:val="auto"/>
              </w:rPr>
            </w:pPr>
            <w:r>
              <w:rPr>
                <w:rFonts w:ascii="Arial" w:cs="Arial" w:eastAsia="Arial" w:hAnsi="Arial"/>
                <w:sz w:val="16"/>
                <w:szCs w:val="16"/>
                <w:b w:val="1"/>
                <w:bCs w:val="1"/>
                <w:color w:val="auto"/>
              </w:rPr>
              <w:t>March 31,</w:t>
            </w: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Increase/</w:t>
            </w:r>
          </w:p>
        </w:tc>
        <w:tc>
          <w:tcPr>
            <w:tcW w:w="2360" w:type="dxa"/>
            <w:vAlign w:val="bottom"/>
            <w:gridSpan w:val="4"/>
          </w:tcPr>
          <w:p>
            <w:pPr>
              <w:jc w:val="right"/>
              <w:ind w:right="980"/>
              <w:spacing w:after="0"/>
              <w:rPr>
                <w:sz w:val="20"/>
                <w:szCs w:val="20"/>
                <w:color w:val="auto"/>
              </w:rPr>
            </w:pPr>
            <w:r>
              <w:rPr>
                <w:rFonts w:ascii="Arial" w:cs="Arial" w:eastAsia="Arial" w:hAnsi="Arial"/>
                <w:sz w:val="16"/>
                <w:szCs w:val="16"/>
                <w:b w:val="1"/>
                <w:bCs w:val="1"/>
                <w:color w:val="auto"/>
              </w:rPr>
              <w:t>March 31,</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99"/>
              <w:spacing w:after="0" w:line="216" w:lineRule="exact"/>
              <w:rPr>
                <w:sz w:val="20"/>
                <w:szCs w:val="20"/>
                <w:color w:val="auto"/>
              </w:rPr>
            </w:pPr>
            <w:r>
              <w:rPr>
                <w:rFonts w:ascii="Arial" w:cs="Arial" w:eastAsia="Arial" w:hAnsi="Arial"/>
                <w:sz w:val="15"/>
                <w:szCs w:val="15"/>
                <w:b w:val="1"/>
                <w:bCs w:val="1"/>
                <w:color w:val="auto"/>
              </w:rPr>
              <w:t xml:space="preserve">2019 </w:t>
            </w:r>
            <w:r>
              <w:rPr>
                <w:rFonts w:ascii="Arial" w:cs="Arial" w:eastAsia="Arial" w:hAnsi="Arial"/>
                <w:sz w:val="25"/>
                <w:szCs w:val="25"/>
                <w:b w:val="1"/>
                <w:bCs w:val="1"/>
                <w:color w:val="auto"/>
                <w:vertAlign w:val="superscript"/>
              </w:rPr>
              <w:t>(1)</w:t>
            </w:r>
          </w:p>
        </w:tc>
        <w:tc>
          <w:tcPr>
            <w:tcW w:w="300" w:type="dxa"/>
            <w:vAlign w:val="bottom"/>
            <w:tcBorders>
              <w:top w:val="single" w:sz="8" w:color="auto"/>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9"/>
              <w:spacing w:after="0" w:line="216" w:lineRule="exact"/>
              <w:rPr>
                <w:sz w:val="20"/>
                <w:szCs w:val="20"/>
                <w:color w:val="auto"/>
              </w:rPr>
            </w:pPr>
            <w:r>
              <w:rPr>
                <w:rFonts w:ascii="Arial" w:cs="Arial" w:eastAsia="Arial" w:hAnsi="Arial"/>
                <w:sz w:val="15"/>
                <w:szCs w:val="15"/>
                <w:b w:val="1"/>
                <w:bCs w:val="1"/>
                <w:color w:val="auto"/>
              </w:rPr>
              <w:t>2018</w:t>
            </w:r>
            <w:r>
              <w:rPr>
                <w:rFonts w:ascii="Arial" w:cs="Arial" w:eastAsia="Arial" w:hAnsi="Arial"/>
                <w:sz w:val="25"/>
                <w:szCs w:val="25"/>
                <w:b w:val="1"/>
                <w:bCs w:val="1"/>
                <w:color w:val="auto"/>
                <w:vertAlign w:val="superscript"/>
              </w:rPr>
              <w:t>(1)</w:t>
            </w:r>
          </w:p>
        </w:tc>
        <w:tc>
          <w:tcPr>
            <w:tcW w:w="3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300" w:type="dxa"/>
            <w:vAlign w:val="bottom"/>
            <w:tcBorders>
              <w:bottom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99"/>
              <w:spacing w:after="0" w:line="216" w:lineRule="exact"/>
              <w:rPr>
                <w:sz w:val="20"/>
                <w:szCs w:val="20"/>
                <w:color w:val="auto"/>
              </w:rPr>
            </w:pPr>
            <w:r>
              <w:rPr>
                <w:rFonts w:ascii="Arial" w:cs="Arial" w:eastAsia="Arial" w:hAnsi="Arial"/>
                <w:sz w:val="15"/>
                <w:szCs w:val="15"/>
                <w:b w:val="1"/>
                <w:bCs w:val="1"/>
                <w:color w:val="auto"/>
              </w:rPr>
              <w:t xml:space="preserve">2019 </w:t>
            </w:r>
            <w:r>
              <w:rPr>
                <w:rFonts w:ascii="Arial" w:cs="Arial" w:eastAsia="Arial" w:hAnsi="Arial"/>
                <w:sz w:val="25"/>
                <w:szCs w:val="25"/>
                <w:b w:val="1"/>
                <w:bCs w:val="1"/>
                <w:color w:val="auto"/>
                <w:vertAlign w:val="superscript"/>
              </w:rPr>
              <w:t>(1)</w:t>
            </w:r>
          </w:p>
        </w:tc>
        <w:tc>
          <w:tcPr>
            <w:tcW w:w="320" w:type="dxa"/>
            <w:vAlign w:val="bottom"/>
            <w:tcBorders>
              <w:top w:val="single" w:sz="8" w:color="auto"/>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9"/>
              <w:spacing w:after="0" w:line="216" w:lineRule="exact"/>
              <w:rPr>
                <w:sz w:val="20"/>
                <w:szCs w:val="20"/>
                <w:color w:val="auto"/>
              </w:rPr>
            </w:pPr>
            <w:r>
              <w:rPr>
                <w:rFonts w:ascii="Arial" w:cs="Arial" w:eastAsia="Arial" w:hAnsi="Arial"/>
                <w:sz w:val="15"/>
                <w:szCs w:val="15"/>
                <w:b w:val="1"/>
                <w:bCs w:val="1"/>
                <w:color w:val="auto"/>
              </w:rPr>
              <w:t>2018</w:t>
            </w:r>
            <w:r>
              <w:rPr>
                <w:rFonts w:ascii="Arial" w:cs="Arial" w:eastAsia="Arial" w:hAnsi="Arial"/>
                <w:sz w:val="25"/>
                <w:szCs w:val="25"/>
                <w:b w:val="1"/>
                <w:bCs w:val="1"/>
                <w:color w:val="auto"/>
                <w:vertAlign w:val="superscript"/>
              </w:rPr>
              <w:t>(1)</w:t>
            </w:r>
          </w:p>
        </w:tc>
        <w:tc>
          <w:tcPr>
            <w:tcW w:w="3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61.3%</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62.1%</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(0.8%)</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63.0%</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64.4%</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19.8%</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15.3%</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4.5%</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16.9%</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15.1%</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18.9%</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22.6%</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20.1%</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20.5%</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60"/>
              <w:spacing w:after="0"/>
              <w:rPr>
                <w:sz w:val="20"/>
                <w:szCs w:val="20"/>
                <w:color w:val="auto"/>
              </w:rPr>
            </w:pPr>
            <w:r>
              <w:rPr>
                <w:rFonts w:ascii="Arial" w:cs="Arial" w:eastAsia="Arial" w:hAnsi="Arial"/>
                <w:sz w:val="16"/>
                <w:szCs w:val="16"/>
                <w:color w:val="auto"/>
              </w:rPr>
              <w:t>Net revenue</w:t>
            </w: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0.0%</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line="20" w:lineRule="exact"/>
              <w:rPr>
                <w:sz w:val="1"/>
                <w:szCs w:val="1"/>
                <w:color w:val="auto"/>
              </w:rPr>
            </w:pPr>
          </w:p>
        </w:tc>
      </w:tr>
      <w:tr>
        <w:trPr>
          <w:trHeight w:val="207"/>
        </w:trPr>
        <w:tc>
          <w:tcPr>
            <w:tcW w:w="4420" w:type="dxa"/>
            <w:vAlign w:val="bottom"/>
            <w:vMerge w:val="continue"/>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200" w:type="dxa"/>
            <w:vAlign w:val="bottom"/>
            <w:gridSpan w:val="2"/>
            <w:vMerge w:val="continue"/>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3.5%</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line="20" w:lineRule="exact"/>
              <w:rPr>
                <w:sz w:val="1"/>
                <w:szCs w:val="1"/>
                <w:color w:val="auto"/>
              </w:rPr>
            </w:pPr>
          </w:p>
        </w:tc>
      </w:tr>
      <w:tr>
        <w:trPr>
          <w:trHeight w:val="213"/>
        </w:trPr>
        <w:tc>
          <w:tcPr>
            <w:tcW w:w="44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31.2%</w:t>
            </w:r>
          </w:p>
        </w:tc>
        <w:tc>
          <w:tcPr>
            <w:tcW w:w="1200" w:type="dxa"/>
            <w:vAlign w:val="bottom"/>
            <w:gridSpan w:val="2"/>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34.6%</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28.4%</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color w:val="auto"/>
              </w:rPr>
              <w:t>Operating expenses:</w:t>
            </w: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23.8%</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0.9%</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21.8%</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22.0%</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10.2%</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9.6%</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0.6%</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8.8%</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9.3%</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0.9%</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0.4%</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0.5%</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0.7%</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0.7%</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0.0%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0.6%</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(0.6%)</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0.9%</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0.7%</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Operating income/(loss)</w:t>
            </w: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2.0%</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line="20" w:lineRule="exact"/>
              <w:rPr>
                <w:sz w:val="1"/>
                <w:szCs w:val="1"/>
                <w:color w:val="auto"/>
              </w:rPr>
            </w:pPr>
          </w:p>
        </w:tc>
      </w:tr>
      <w:tr>
        <w:trPr>
          <w:trHeight w:val="213"/>
        </w:trPr>
        <w:tc>
          <w:tcPr>
            <w:tcW w:w="44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1200" w:type="dxa"/>
            <w:vAlign w:val="bottom"/>
            <w:gridSpan w:val="2"/>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(4.3%)</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6"/>
                <w:szCs w:val="16"/>
                <w:color w:val="auto"/>
              </w:rPr>
              <w:t>Interest and other expense, net</w:t>
            </w: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(0.1%)</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line="20" w:lineRule="exact"/>
              <w:rPr>
                <w:sz w:val="1"/>
                <w:szCs w:val="1"/>
                <w:color w:val="auto"/>
              </w:rPr>
            </w:pPr>
          </w:p>
        </w:tc>
      </w:tr>
      <w:tr>
        <w:trPr>
          <w:trHeight w:val="207"/>
        </w:trPr>
        <w:tc>
          <w:tcPr>
            <w:tcW w:w="4420" w:type="dxa"/>
            <w:vAlign w:val="bottom"/>
            <w:vMerge w:val="continue"/>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200" w:type="dxa"/>
            <w:vAlign w:val="bottom"/>
            <w:gridSpan w:val="2"/>
            <w:vMerge w:val="continue"/>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(0.9%)</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Income/(loss) before provision for income taxes</w:t>
            </w: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1.9%</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line="20" w:lineRule="exact"/>
              <w:rPr>
                <w:sz w:val="1"/>
                <w:szCs w:val="1"/>
                <w:color w:val="auto"/>
              </w:rPr>
            </w:pPr>
          </w:p>
        </w:tc>
      </w:tr>
      <w:tr>
        <w:trPr>
          <w:trHeight w:val="213"/>
        </w:trPr>
        <w:tc>
          <w:tcPr>
            <w:tcW w:w="44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(4.3%)</w:t>
            </w:r>
          </w:p>
        </w:tc>
        <w:tc>
          <w:tcPr>
            <w:tcW w:w="1200" w:type="dxa"/>
            <w:vAlign w:val="bottom"/>
            <w:gridSpan w:val="2"/>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Provision/(benefit) for income taxes</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(0.7%)</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4.2%</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(0.2%)</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60"/>
              <w:spacing w:after="0"/>
              <w:rPr>
                <w:sz w:val="20"/>
                <w:szCs w:val="20"/>
                <w:color w:val="auto"/>
              </w:rPr>
            </w:pPr>
            <w:r>
              <w:rPr>
                <w:rFonts w:ascii="Arial" w:cs="Arial" w:eastAsia="Arial" w:hAnsi="Arial"/>
                <w:sz w:val="16"/>
                <w:szCs w:val="16"/>
                <w:color w:val="auto"/>
              </w:rPr>
              <w:t>Net income/(loss)</w:t>
            </w: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5.5%</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line="20" w:lineRule="exact"/>
              <w:rPr>
                <w:sz w:val="1"/>
                <w:szCs w:val="1"/>
                <w:color w:val="auto"/>
              </w:rPr>
            </w:pPr>
          </w:p>
        </w:tc>
      </w:tr>
      <w:tr>
        <w:trPr>
          <w:trHeight w:val="207"/>
        </w:trPr>
        <w:tc>
          <w:tcPr>
            <w:tcW w:w="4420" w:type="dxa"/>
            <w:vAlign w:val="bottom"/>
            <w:vMerge w:val="continue"/>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2.0%</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1200" w:type="dxa"/>
            <w:vAlign w:val="bottom"/>
            <w:gridSpan w:val="2"/>
            <w:vMerge w:val="continue"/>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2.0%</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9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0"/>
          <w:szCs w:val="20"/>
          <w:color w:val="auto"/>
        </w:rPr>
      </w:pPr>
    </w:p>
    <w:p>
      <w:pPr>
        <w:ind w:left="1040" w:right="20" w:hanging="519"/>
        <w:spacing w:after="0" w:line="255" w:lineRule="auto"/>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the post-acquisition results of operations from the Conexant Acquisition, completed on July 25, 2017, and from the Marvell Business Acquisition, completed on September 8,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Net revenue was $334.0 million for the three months ended March 31, 2019, compared with $394.0 million for the three months ended March 31, 2018, a decrease of $60.0 million, or 15.2%. Of this net revenue, $204.7 million, or 61.3%, was from Mobile product applications, $63.1 million, or 18.9%, was from IoT product applications, and $66.2 million, or 19.8%, was from PC product applications. The decrease in net revenue for the three months ended March 31, 2019 was primarily attributable to a decrease in net revenue from Mobile product applications and IoT product applications, partially offset by an increase in net revenue from PC product applications. Net revenue from Mobile product applications decreased as a result of a decline in units sold (which decreased 31.0%), partially offset by higher average selling prices for Mobile product applications (which increased 21.2%). Net revenue from IoT product applications decreased as a result of a decline in units sold (which decreased 24.2%) and lower average selling prices for IoT product applications (which decreased 6.4%). Net revenue from PC product applications increased due to higher average selling prices (which increased 27.3%), partially offset by a decline in units sold for PC product applications (which decreased 13.6%).</w:t>
      </w:r>
    </w:p>
    <w:p>
      <w:pPr>
        <w:spacing w:after="0" w:line="74"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Net revenue was $1,177.1 million for the nine months ended March 31, 2019 compared with $1,241.8 million for the nine months ended March 31, 2018, a decrease of $64.7 million, or 5.2%. Of this net revenue, $741.8 million, or 63.0% was from Mobile product applications, $236.6 million, or 20.1%, was from IoT product applications, and $198.7 million, or 16.9%, was from PC product applications. The decrease in net revenue for the nine months ended March 31, 2019, was attributable to a decrease in net revenue from Mobile product applications and IoT product applications, partially offset by an increase in PC product applications. Net revenue from Mobile product applications decreased as a result of a decline in units sold (which decreased 23.8%), partially offset by higher average selling prices for Mobile product applications (which increased 21.7%). Net revenue from IoT product applications decreased primarily as a result of lower average selling prices (which decreased 8.1%), partially offset by an increase in units sold (which increased 0.9%). Net revenue from PC product applications increased as a result of higher average selling prices (which increased 21.1%), partially offset by a decline in units sold (which decreased 12.4%).</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margin as a percentage of net revenue was 34.7%, or $116.0 million, for the three months ended March 31, 2019, compared with 31.2%,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$122.9 million, for the three months ended March 31, 2018. Gross margin as a percentage of net revenue was 34.6%, or $406.7 million,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2019, compared with 28.4%, or $352.5 million for the nine months ended March 31, 2018. The 350 basis point increase and the 620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 increase in gross margin for the three and nine months ended March 31, 2019, respectively, was primarily due to a reduction of inventory fair value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adjustments recorded in the three and nine months ended March 31, 2018 of $4.1 million and $38.0 million, respectively, associated with the Conexant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the Marvell Business Acquisition; a reduction in acquired intangibles amortization that was charged to cost of revenue by $2.0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$6.1 million during the three and nine months ended March 31, 2019, respectively, as compared to the same periods in fiscal 2018 and a favorable mix,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IoT product applications which have higher gross margins. There were no inventory fair value adjustments recorded in the three and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March 31, 2019.</w:t>
      </w:r>
    </w:p>
    <w:p>
      <w:pPr>
        <w:spacing w:after="0" w:line="21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regularly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decreased $11.1 million to $82.6 million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compared with the three months ended March 31, 2018. The decrease in research and development expenses primarily reflected a $7.9 million decrease in personnel-related costs which was due to a decrease in average headcount for the three months ended March 31, 2019 as compared to the three months ended March 31, 2018, as a result of our restructuring activities to reduce operating costs; a $1.6 million decrease in supplies and project specific costs; and a $0.8 million decrease in travel and related costs.</w:t>
      </w:r>
    </w:p>
    <w:p>
      <w:pPr>
        <w:spacing w:after="0" w:line="80" w:lineRule="exact"/>
        <w:rPr>
          <w:sz w:val="20"/>
          <w:szCs w:val="20"/>
          <w:color w:val="auto"/>
        </w:rPr>
      </w:pPr>
    </w:p>
    <w:p>
      <w:pPr>
        <w:jc w:val="both"/>
        <w:ind w:right="300" w:firstLine="518"/>
        <w:spacing w:after="0" w:line="297" w:lineRule="auto"/>
        <w:rPr>
          <w:sz w:val="20"/>
          <w:szCs w:val="20"/>
          <w:color w:val="auto"/>
        </w:rPr>
      </w:pPr>
      <w:r>
        <w:rPr>
          <w:rFonts w:ascii="Arial" w:cs="Arial" w:eastAsia="Arial" w:hAnsi="Arial"/>
          <w:sz w:val="16"/>
          <w:szCs w:val="16"/>
          <w:color w:val="auto"/>
        </w:rPr>
        <w:t>Research and development expenses decreased $16.1 million to $256.9 million for the nine months ended March 31, 2019, compared with the nine months ended March 31, 2018. The decrease in research and development expenses primarily reflected a $10.4 million decrease in personnel-related costs which was due to a decrease in average headcount for the nine months ended March 31, 2019 as compared to the nine months ended March 31, 2018, as a result of our restructuring activities to reduce operating costs; a $5.8 million decrease in supplies and project specific costs and a $2.1 million decrease in facilities and infrastructure related costs; partially offset by a $6.2 million increase in software licensing and intellectual property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right="120" w:firstLine="518"/>
        <w:spacing w:after="0" w:line="276"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decreased $3.7 million to $34.2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2019, compared with the three months ended March 31, 2018. The decrease in selling, general, and administrative expenses primarily reflected a $2.3 million decrease in professional fees and a $0.5 million decrease in personnel-related costs which was primarily due to a reduction in headcount as a result of our recent restructuring activities to reduce operating costs, partially offset by costs associated with the termination of our former Chief Executive Officer, or CEO, in March 2019, which costs included an accrual of $2.2 million in severance related costs.</w:t>
      </w:r>
    </w:p>
    <w:p>
      <w:pPr>
        <w:spacing w:after="0" w:line="17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Selling, general, and administrative expenses decreased $12.0 million to $103.6 million for the nine months ended March 31, 2019, compared with the nine months ended March 31, 2018. The decrease in selling, general, and administrative expenses reflected a $12.7 million decrease in personnel-related costs, primarily due to a reduction in headcount as a result of our restructuring activities to reduce operating costs which was partially offset by costs associated with the termination of our former CEO in March 2019, which costs included an accrual of $2.2 million in severance related costs; a $3.6 million reduction in professional fees and a $1.6 million, net, reversal of an accrual for payroll deposit penalties, which were previously accrued and have been reversed due to the completion of a payroll tax audit; partially offset by a $1.3 million increase in facilities and infrastructure related costs.</w:t>
      </w:r>
    </w:p>
    <w:p>
      <w:pPr>
        <w:spacing w:after="0" w:line="165"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6 Acquired Intangibles and Goodwill included in the condensed consolidated financial statements contained elsewhere in this Report.</w:t>
      </w:r>
    </w:p>
    <w:p>
      <w:pPr>
        <w:spacing w:after="0" w:line="18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i w:val="1"/>
          <w:iCs w:val="1"/>
          <w:color w:val="auto"/>
        </w:rPr>
        <w:t xml:space="preserve">Restructuring Costs. </w:t>
      </w:r>
      <w:r>
        <w:rPr>
          <w:rFonts w:ascii="Arial" w:cs="Arial" w:eastAsia="Arial" w:hAnsi="Arial"/>
          <w:sz w:val="17"/>
          <w:szCs w:val="17"/>
          <w:color w:val="auto"/>
        </w:rPr>
        <w:t>Restructuring costs of $10.4 million in the nine months ended March 31, 2019 reflect severance costs for restructuring of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to reduce ongoing operating costs which commenced in the first quarter of fiscal 2019. The restructuring activities were complete as of March 31, 2019. See Note 14 Restructuring Activities included in the condensed consolidated financial statements contained elsewhere in this Report.</w:t>
      </w:r>
    </w:p>
    <w:p>
      <w:pPr>
        <w:spacing w:after="0" w:line="166"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Interest and other expense, net primarily includes the amortization of debt discount and issuance costs,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our debt. The $4.9 million decrease in interest and other expense, net to $10.5 million for the nine months ended March 31, 2019, as compared to the nine months ended March 31, 2018, was primarily due to a $2.8 million impairment recovery on investments as well as a $1.0 million reduction of amortization of debt issuance costs for a term loan which was paid down and closed in the prior fiscal year. See Liquidity and Capital Resources included in the next section of this Report.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On December 22, 2017, the U.S. government enacted comprehensive tax legislation, commonly known as the Tax Cuts and Jobs Act of 2017, or the Act, which significantly reformed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foreign-sourced earnings. U.S. federal tax law requires that taxpayers with a fiscal year that spans the effective date of a tax rate change to calculate a blended tax rate based on the pro rata number of days in the fiscal year before and after the effective date. As our accounting and tax year is the fiscal period ending on the last Saturday in June, our U.S. federal tax rate for fiscal 2018 was a days-weighted blended tax rate of 28.17%. For fiscal 2019 and subsequent tax years, our U.S. federal tax rate is 21%.</w:t>
      </w:r>
    </w:p>
    <w:p>
      <w:pPr>
        <w:spacing w:after="0" w:line="16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In fiscal 2018, we recognized a provisional tax expense of $41.4 million, related to the tax impact of the Act, of which an expense of $44.1 million relates to the one-time transition tax and a benefit of $2.7 million relates to remeasurement of deferred tax at the new tax rate. The one-time transition tax was based on our post-1986 foreign earnings and profits, or E&amp;P, which we previously excluded from U.S. income taxes as we considered such earnings to be indefinitely reinvested overseas. The one-time transition tax was applied at a 15.5% tax rate on cash assets and an 8% tax rate for other specified assets. We were able to utilize the research credit carryforward, resulting in a net one-time transition tax impact of $11.9 million on the income tax payable. During our second fiscal quarter ended December 31, 2018, based on additional analysis of technical guidance, we recognized a non-discrete tax expense of $1.4 million, which was included in the annual effective tax rate, and a discrete benefit of $0.2 million, both of which relate to the limitation on deduction of executive officer compensation.</w:t>
      </w:r>
    </w:p>
    <w:p>
      <w:pPr>
        <w:spacing w:after="0" w:line="19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Staff Accounting Bulletin 118 allows companies to record provisional amounts and recognize the effect of the tax law during a measurement period. The measurement period ended in the second quarter of our fiscal 2019. As of March 31, 2019, we have finalized our accounting for the tax impact of the Act and there were no material adjustments recorded in our provisional amounts. However, further technical guidance related to the Act, including final regulations on a broad range of topics, is expected to be issued and, as such, if our interpretation and final accounting are inconsistent with future regulations and guidance, we will recognize the impact as a discrete item in the period that such guidance is issued.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ind w:right="100" w:firstLine="518"/>
        <w:spacing w:after="0" w:line="259" w:lineRule="auto"/>
        <w:rPr>
          <w:sz w:val="20"/>
          <w:szCs w:val="20"/>
          <w:color w:val="auto"/>
        </w:rPr>
      </w:pPr>
      <w:r>
        <w:rPr>
          <w:rFonts w:ascii="Arial" w:cs="Arial" w:eastAsia="Arial" w:hAnsi="Arial"/>
          <w:sz w:val="18"/>
          <w:szCs w:val="18"/>
          <w:color w:val="auto"/>
        </w:rPr>
        <w:t>The Global Intangible Low-Tax Income, or GILTI, which is a provision under the Act, imposes a tax on foreign income in excess of a deemed return on tangible assets of foreign corporations. GILTI requires an accounting policy election of either (1) treating taxes due on future U.S. inclusions in taxable income related to GILTI as a current period expense when incurred or (2) factoring such amounts into the measurement of deferred taxes. We elected to treat GILTI as a current period cost and recognize the impact in the period when it is incurred.</w:t>
      </w:r>
    </w:p>
    <w:p>
      <w:pPr>
        <w:spacing w:after="0" w:line="187" w:lineRule="exact"/>
        <w:rPr>
          <w:sz w:val="20"/>
          <w:szCs w:val="20"/>
          <w:color w:val="auto"/>
        </w:rPr>
      </w:pPr>
    </w:p>
    <w:p>
      <w:pPr>
        <w:ind w:firstLine="476"/>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benefit for income taxes of $15.3 million and $3.9 million for the three months ended March 31, 2019 and 2018, respectively, represented estimated federal, foreign, and state income taxes. The effective tax rate for the three months ended March 31, 2019 diverged from the combined U.S. federal and state statutory tax rate primarily because of foreign withholding taxes, the impact of accounting for qualified stock options, foreign deemed-paid taxes, foreign income taxed at higher tax rates, and GILTI, partially offset by the benefit of research credits, foreign tax credits and foreign-derived intangible income deduction. The effective tax rate for the three months ended March 31, 2018, diverged from the combined U.S. federal and state statutory tax rate, primarily because of the impact of the benefit of research credits and excess share-based compensation deductions, partially offset by foreign withholding taxes, nondeductible amortization, the impact of accounting for qualified stock options, and foreign income taxed at higher tax rates.</w:t>
      </w:r>
    </w:p>
    <w:p>
      <w:pPr>
        <w:spacing w:after="0" w:line="16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benefit for income taxes of $8.1 million and provision for income taxes of $52.6 million for the nine months ended March 31, 2019, and 2018, respectively, represented estimated federal, foreign, and state income taxes. The effective tax rate for the nine months ended March 31, 2019 diverged from the combined U.S. federal and state statutory tax rate primarily because of foreign withholding taxes, the impact of accounting for qualified stock options, foreign deemed paid taxes, foreign income taxed at higher tax rates and GILTI, partially offset by the benefit of research credits, release of reserves related to uncertain tax positions, the impact of net shortfalls in share-based compensation deduction, foreign tax credits and foreign-derived intangible income deduction. The effective tax rate for the nine months ended March 31, 2018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w:t>
      </w:r>
    </w:p>
    <w:p>
      <w:pPr>
        <w:spacing w:after="0" w:line="7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July 2018, the U.S. Ninth Circuit Court of Appeals reversed the 2015 decision of the U.S. Tax Court in Altera Corp. v. Commissioner which found that the Treasury regulations addressing the treatment of stock-based compensation in a cost-sharing arrangement with a related party were invalid. In August 2018, the U.S. Ninth Circuit Court of Appeals withdrew its July 2018 opinion. The reconstituted panel has not issued an opinion on this appeal. As our tax filing position is consistent with the Treasury regulations, we determined no adjustment to our financial statements is required, however, due to the uncertainties with respect to the ultimate resolution, we will continue to monitor developments in this case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cash and cash equivalents were $323.8 million as of March 31, 2019, compared with $301.0 million as of June 30, 2018, an increase of $22.8 million. The increase primarily reflected $110.8 million of net cash provided by operating activities, partially offset by $77.3 million used to repurchase 1,850,000 shares of our common stock and $17.7 million used for the purchase of property and equipment. At this time, we consider earnings of our foreign subsidiaries indefinitely invested overseas and have made no provision for income or withholding taxes, other than the one-time transition tax described above under “Management’s Discussion and Analysis of Financial Condition and Results of Operations—Provision for Income Taxes,” that may result from a future repatriation of those earnings. As of March 31, 2019, $254.9 million of cash and cash equivalents was held by our foreign subsidiaries. If these funds are needed for our operations in the United States, we may be required to accrue and pay certain state and foreign taxes to repatriate these funds.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Cash Flows from Operating Activities. </w:t>
      </w:r>
      <w:r>
        <w:rPr>
          <w:rFonts w:ascii="Arial" w:cs="Arial" w:eastAsia="Arial" w:hAnsi="Arial"/>
          <w:sz w:val="16"/>
          <w:szCs w:val="16"/>
          <w:color w:val="auto"/>
        </w:rPr>
        <w:t>Operating activities during the nine months ended March 31, 2019 generated $110.8 million compared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$137.1 million net cash generated during the nine months ended March 31, 2018. For the nine months ended March 31, 2019, the primary 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adjustments for non-cash charges of $130.2 million, partially offset by a net change in operating assets and liabilities of $42.7 million. The net 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operating assets and liabilities was primarily attributable to a $35.8 million decrease in accounts payable, a $21.9 million increase in inventory, a $6.8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reduction in acquisition related obligations; and a $9.6 million reduction in income taxes payable; partially offset by a $27.5 million decrease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and a $13.6 million increase in other accrued liabilities. From June 30, 2018 to March 31, 2019, our days sales outstanding increased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ind w:right="60"/>
        <w:spacing w:after="0" w:line="271" w:lineRule="auto"/>
        <w:rPr>
          <w:sz w:val="20"/>
          <w:szCs w:val="20"/>
          <w:color w:val="auto"/>
        </w:rPr>
      </w:pPr>
      <w:r>
        <w:rPr>
          <w:rFonts w:ascii="Arial" w:cs="Arial" w:eastAsia="Arial" w:hAnsi="Arial"/>
          <w:sz w:val="17"/>
          <w:szCs w:val="17"/>
          <w:color w:val="auto"/>
        </w:rPr>
        <w:t>from 67 days to 72 days due to a larger percentage of the quarter’s net revenue occurring late in the March 31, 2019 quarter compared with a smaller percentage of the quarter’s net revenue occurring late in the June 30, 2018 quarter. Our annual inventory turns declined from seven to five. For the nine months ended March 31, 2018, the primary operating activities were adjustments for non-cash charges of $176.2 million; a $83.5 million net change in operating assets and liabilities, partially offset by a net loss of $122.6 million. The net change in operating assets and liabilities was primarily attributable to a $102.2 million decrease in inventory; a $20.9 million decrease in prepaid expenses and other current assets; and an $8.2 million decrease in accounts receivable, net; partially offset by a $15.9 million decrease in accounts payable; a $15.4 million decrease in accrued compensation; an $11.1 million decrease in other accrued liabilities and a $7.2 million decrease in other assets. From June 30, 2017 to March 31, 2018, our days sales outstanding increased slightly from 54 days to 59 days. Our annual inventory turns remained flat at nine over this same period.</w:t>
      </w:r>
    </w:p>
    <w:p>
      <w:pPr>
        <w:spacing w:after="0" w:line="17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during the nine months ended March 31, 2019 consisted of $17.7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 partially offset by $2.8 million of proceeds from sales of investments. Cash used in investing activities during the nine months ended March 31, 2018 consisted of $396.4 million used for the acquisition of businesses; $27.5 million for the purchase of property and equipment; and $7.7 million for the purchase of intangible assets.</w:t>
      </w:r>
    </w:p>
    <w:p>
      <w:pPr>
        <w:spacing w:after="0" w:line="18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Net cash used in financing activities for the nine months ended March 31, 2019 was $73.1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$210.0 million provided by financing activities for the nine months ended March 31, 2018. Net cash used in financing activities for the nine months ended March 31, 2019 was primarily related to $77.3 million used to repurchase 1,850,000 shares of our common stock. Net cash provided by financing activities for the nine months ended March 31, 2018 primarily related to $514.5 million of proceeds from the issuance of convertible debt, partially offset by $220.0 million used for the payment of debt, and $93.6 million used to repurchase 1,698,400 shares of our common stock.</w:t>
      </w:r>
    </w:p>
    <w:p>
      <w:pPr>
        <w:spacing w:after="0" w:line="15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auto"/>
        </w:rPr>
        <w:t xml:space="preserve">Common Stock Repurchase Program. </w:t>
      </w:r>
      <w:r>
        <w:rPr>
          <w:rFonts w:ascii="Arial" w:cs="Arial" w:eastAsia="Arial" w:hAnsi="Arial"/>
          <w:sz w:val="18"/>
          <w:szCs w:val="18"/>
          <w:color w:val="auto"/>
        </w:rPr>
        <w:t>As of March 31, 2019, our board has cumulatively authorized $1.3 billion for our common stock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which will expire in July 2019.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March 31, 2019, we purchased 29,489,876 shares of our common stock in the open market for an aggregate cost of $1.2 billion. Treasury shares purchased prior to August 28, 2008 were not subject to the stock split on that date. During the nine months ended March 31, 2019, we repurchased 1,850,000 shares of our common stock for a total cost of $77.3 million. As of March 31, 2019, the remaining available authorization under our common stock repurchase program was $148.8 million.</w:t>
      </w:r>
    </w:p>
    <w:p>
      <w:pPr>
        <w:spacing w:after="0" w:line="30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June 20, 2017, we entered into a purchase agreement, or the Purchase Agreement, with Wells Fargo Securities, LLC, as representative of the initial purchasers named therein,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included proceeds from the Initial Purchasers’ exercise of their option to purchase additional Notes. We received the net proceeds on June 26, 2017, which we used to repurchase shares of our common stock, retire our outstanding bank debt, and provide additional cash resources to fund the Conexant Acquisition and Marvell Business Acquisition.</w:t>
      </w:r>
    </w:p>
    <w:p>
      <w:pPr>
        <w:spacing w:after="0" w:line="179"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has accrued since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right="80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We have a $200.0 million revolving credit facility, which includes a $20 million sublimit for letters of credit and a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sublimit for swingline loans. Under the terms of the revolving credit facility, or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March 31, 2019, there was no balance outstanding under the revolving credit facility.</w:t>
      </w:r>
    </w:p>
    <w:p>
      <w:pPr>
        <w:spacing w:after="0" w:line="173"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are amortizing over 60 months.</w:t>
      </w:r>
    </w:p>
    <w:p>
      <w:pPr>
        <w:spacing w:after="0" w:line="14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w:t>
      </w:r>
    </w:p>
    <w:p>
      <w:pPr>
        <w:spacing w:after="0" w:line="158"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w:t>
      </w:r>
    </w:p>
    <w:p>
      <w:pPr>
        <w:spacing w:after="0" w:line="167"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acquisitions, which shares will generally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4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We believe our existing cash and cash equivalents, anticipated cash flows from operating activities, and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under our revolving credit facility will be sufficient to meet our working capital and other cash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0" w:name="page31"/>
    <w:bookmarkEnd w:id="30"/>
    <w:p>
      <w:pPr>
        <w:ind w:right="80"/>
        <w:spacing w:after="0" w:line="254" w:lineRule="auto"/>
        <w:rPr>
          <w:sz w:val="20"/>
          <w:szCs w:val="20"/>
          <w:color w:val="auto"/>
        </w:rPr>
      </w:pPr>
      <w:r>
        <w:rPr>
          <w:rFonts w:ascii="Arial" w:cs="Arial" w:eastAsia="Arial" w:hAnsi="Arial"/>
          <w:sz w:val="18"/>
          <w:szCs w:val="18"/>
          <w:color w:val="auto"/>
        </w:rPr>
        <w:t>requirements for at least the next 12 months, and our debt service obligations.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19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March 31, 2019 were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Remaining</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in Fiscal</w:t>
            </w:r>
          </w:p>
        </w:tc>
        <w:tc>
          <w:tcPr>
            <w:tcW w:w="12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Fiscal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Fiscal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Fiscal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Fiscal</w:t>
            </w:r>
          </w:p>
        </w:tc>
        <w:tc>
          <w:tcPr>
            <w:tcW w:w="12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Fiscal</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Year 2019</w:t>
            </w:r>
          </w:p>
        </w:tc>
        <w:tc>
          <w:tcPr>
            <w:tcW w:w="1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6"/>
              </w:rPr>
              <w:t>Year 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89"/>
              </w:rPr>
              <w:t>Year 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6"/>
              </w:rPr>
              <w:t>Year 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Year 2023</w:t>
            </w:r>
          </w:p>
        </w:tc>
        <w:tc>
          <w:tcPr>
            <w:tcW w:w="1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89"/>
              </w:rPr>
              <w:t>Year 2024</w:t>
            </w:r>
          </w:p>
        </w:tc>
        <w:tc>
          <w:tcPr>
            <w:tcW w:w="200" w:type="dxa"/>
            <w:vAlign w:val="bottom"/>
          </w:tcPr>
          <w:p>
            <w:pPr>
              <w:spacing w:after="0"/>
              <w:rPr>
                <w:sz w:val="20"/>
                <w:szCs w:val="20"/>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Total</w:t>
            </w:r>
          </w:p>
        </w:tc>
      </w:tr>
      <w:tr>
        <w:trPr>
          <w:trHeight w:val="223"/>
        </w:trPr>
        <w:tc>
          <w:tcPr>
            <w:tcW w:w="2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Leases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r>
      <w:tr>
        <w:trPr>
          <w:trHeight w:val="215"/>
        </w:trPr>
        <w:tc>
          <w:tcPr>
            <w:tcW w:w="2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obligations and</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15"/>
                <w:szCs w:val="15"/>
                <w:color w:val="auto"/>
              </w:rPr>
              <w:t>(2)</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FF0FC"/>
          </w:tcPr>
          <w:p>
            <w:pPr>
              <w:spacing w:after="0"/>
              <w:rPr>
                <w:sz w:val="20"/>
                <w:szCs w:val="20"/>
                <w:color w:val="auto"/>
              </w:rPr>
            </w:pPr>
          </w:p>
        </w:tc>
      </w:tr>
      <w:tr>
        <w:trPr>
          <w:trHeight w:val="230"/>
        </w:trPr>
        <w:tc>
          <w:tcPr>
            <w:tcW w:w="2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15"/>
                <w:szCs w:val="15"/>
                <w:color w:val="auto"/>
              </w:rPr>
              <w:t>(3)</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FF0FC"/>
            </w:tcBorders>
          </w:tcPr>
          <w:p>
            <w:pPr>
              <w:spacing w:after="0"/>
              <w:rPr>
                <w:sz w:val="19"/>
                <w:szCs w:val="19"/>
                <w:color w:val="auto"/>
              </w:rPr>
            </w:pPr>
          </w:p>
        </w:tc>
      </w:tr>
      <w:tr>
        <w:trPr>
          <w:trHeight w:val="223"/>
        </w:trPr>
        <w:tc>
          <w:tcPr>
            <w:tcW w:w="25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9" w:lineRule="exact"/>
        <w:rPr>
          <w:rFonts w:ascii="Arial" w:cs="Arial" w:eastAsia="Arial" w:hAnsi="Arial"/>
          <w:sz w:val="18"/>
          <w:szCs w:val="18"/>
          <w:color w:val="auto"/>
        </w:rPr>
      </w:pPr>
    </w:p>
    <w:p>
      <w:pPr>
        <w:ind w:left="520" w:right="660" w:hanging="512"/>
        <w:spacing w:after="0" w:line="27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ind w:left="520" w:right="38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tax amount for the transition tax liability associated with our deemed repatriation of accumulated foreign earnings as a result of the enactment of the Act into law on December 22, 2017.</w:t>
      </w:r>
    </w:p>
    <w:p>
      <w:pPr>
        <w:spacing w:after="0" w:line="170"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The amounts in the table above exclude unrecognized tax benefits of $25.3 million. As of March 31, 2019, we were unable to make a reasonably reliable estimate of when cash settlement with a taxing authority may occur in connection with our gross unrecognized tax benefit.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February 2016, the Financial Accounting Standards Board established Topic 842, Leases (or Topic 842), by issuing an Accounting Standard Update (or ASU) on Leases. Topic 842 was subsequently amended by several ASUs. The new standard requires organizations that lease assets with lease terms of more than 12 months to recognize assets and liabilities for the rights and obligations created by those leases on their balance sheets. It also requires new qualitative and quantitative disclosures to help investors and other financial statement users better understand the amount, timing, and uncertainty of cash flows arising from leases. The new standard will be effective for us beginning in the first quarter of our fiscal year 2020, with early adoption permitted. The standard is required to be adopted using a modified retrospective approach and allows for the adoption of the standard to be applied at the beginning of the most recent fiscal year or at the beginning of the earliest year presented. We expect to adopt this ASU at the beginning of our fiscal year 2020, on June 30, 2019. The new standard provides a number of optional practical expedients in transition and we expect to elect the package of practical expedients, which permits us not to reassess under the new standard our prior conclusions about lease identification, lease classification and initial direct costs. We also expect to elect the use-of-hindsight practical expedient, however, we do not expect to elect the practical expedient pertaining to land easements as it is not applicable to us. We continue to evaluate the potential impact of adoption of this ASU on our consolidated financial statements and currently expect that our operating lease commitments will be subject to the new standard and recognized as right-of-use assets and operating lease liabilities upon adoption of this standard, which will increase the total assets and total liabilities that are reported relative to such amounts prior to adoption.</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March 31, 2019, our market risk related to interest rates on our cash and cash equivalents, and foreign currency exchange risks has not changed materially from the risks disclosed in Item 7A of our Annual Report on Form 10-K for the fiscal year ended June 30,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Rate Risk</w:t>
      </w:r>
    </w:p>
    <w:p>
      <w:pPr>
        <w:spacing w:after="0" w:line="12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As of March 31, 2019, there was no balance outstanding under our revolving credit facility. 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right="100" w:firstLine="518"/>
        <w:spacing w:after="0" w:line="279"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our Principal Executive Officer, and our Interim Chief Financial Officer, as appropriate, to allow timely decisions regarding required disclosure.</w:t>
      </w:r>
    </w:p>
    <w:p>
      <w:pPr>
        <w:spacing w:after="0" w:line="17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Interim Chief Financial Officer, we evaluated the effectiveness of the design and operation of our disclosure controls and procedures as of the end of the period covered by this Report. Based on this evaluation, our Principal Executive Officer and Interim Chief Financial Officer concluded that our disclosure controls and procedures were effective as of the end of the period covered by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March 31, 2019 that have materially affected, or are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 For further information regarding current legal proceedings, see Note 8 Indemnifications, Contingencies and Legal Proceedings to the condensed consolidated financial statements contained elsewhere in this Report.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252525"/>
        </w:rPr>
        <w:t>There are no material changes to the Company’s risk factors set forth in Part I, Item 1A, “Risk Factors,” of our Annual Report on Form 10-K for the fiscal year ended June 30, 2018.</w:t>
      </w:r>
    </w:p>
    <w:p>
      <w:pPr>
        <w:spacing w:after="0" w:line="356" w:lineRule="exact"/>
        <w:rPr>
          <w:sz w:val="20"/>
          <w:szCs w:val="20"/>
          <w:color w:val="auto"/>
        </w:rPr>
      </w:pPr>
    </w:p>
    <w:p>
      <w:pPr>
        <w:ind w:right="420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ind w:firstLine="518"/>
        <w:spacing w:after="0" w:line="286" w:lineRule="auto"/>
        <w:rPr>
          <w:sz w:val="20"/>
          <w:szCs w:val="20"/>
          <w:color w:val="auto"/>
        </w:rPr>
      </w:pPr>
      <w:r>
        <w:rPr>
          <w:rFonts w:ascii="Arial" w:cs="Arial" w:eastAsia="Arial" w:hAnsi="Arial"/>
          <w:sz w:val="17"/>
          <w:szCs w:val="17"/>
          <w:color w:val="auto"/>
        </w:rPr>
        <w:t>As announced on July 24, 2017, our Board of Directors has cumulatively authorized $1.3 billion for our common stock repurchase program, which expires at the end of July 2019. As of March 31, 2019, the remaining amount authorized for the repurchase of our common stock was $148.8 million. There were no repurchases under our common stock repurchase program during the three-month period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10.1*</w:t>
            </w:r>
          </w:p>
        </w:tc>
        <w:tc>
          <w:tcPr>
            <w:tcW w:w="6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Employment Offer Letter, dated February 7, 2019 between the registrant and Kermit Nolan</w:t>
              </w:r>
            </w:hyperlink>
          </w:p>
        </w:tc>
      </w:tr>
      <w:tr>
        <w:trPr>
          <w:trHeight w:val="399"/>
        </w:trPr>
        <w:tc>
          <w:tcPr>
            <w:tcW w:w="1240" w:type="dxa"/>
            <w:vAlign w:val="bottom"/>
          </w:tcPr>
          <w:p>
            <w:pPr>
              <w:ind w:left="100"/>
              <w:spacing w:after="0"/>
              <w:rPr>
                <w:sz w:val="20"/>
                <w:szCs w:val="20"/>
                <w:color w:val="auto"/>
              </w:rPr>
            </w:pPr>
            <w:r>
              <w:rPr>
                <w:rFonts w:ascii="Arial" w:cs="Arial" w:eastAsia="Arial" w:hAnsi="Arial"/>
                <w:sz w:val="18"/>
                <w:szCs w:val="18"/>
                <w:color w:val="auto"/>
              </w:rPr>
              <w:t>31.1</w:t>
            </w:r>
          </w:p>
        </w:tc>
        <w:tc>
          <w:tcPr>
            <w:tcW w:w="656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Certification of Principal Executive Officer</w:t>
              </w:r>
            </w:hyperlink>
          </w:p>
        </w:tc>
      </w:tr>
      <w:tr>
        <w:trPr>
          <w:trHeight w:val="399"/>
        </w:trPr>
        <w:tc>
          <w:tcPr>
            <w:tcW w:w="1240" w:type="dxa"/>
            <w:vAlign w:val="bottom"/>
          </w:tcPr>
          <w:p>
            <w:pPr>
              <w:ind w:left="100"/>
              <w:spacing w:after="0"/>
              <w:rPr>
                <w:sz w:val="20"/>
                <w:szCs w:val="20"/>
                <w:color w:val="auto"/>
              </w:rPr>
            </w:pPr>
            <w:r>
              <w:rPr>
                <w:rFonts w:ascii="Arial" w:cs="Arial" w:eastAsia="Arial" w:hAnsi="Arial"/>
                <w:sz w:val="18"/>
                <w:szCs w:val="18"/>
                <w:color w:val="auto"/>
              </w:rPr>
              <w:t>31.2</w:t>
            </w:r>
          </w:p>
        </w:tc>
        <w:tc>
          <w:tcPr>
            <w:tcW w:w="3120" w:type="dxa"/>
            <w:vAlign w:val="bottom"/>
            <w:tcBorders>
              <w:top w:val="single" w:sz="8" w:color="0000EE"/>
            </w:tcBorders>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Certification of Chief Financial Officer</w:t>
              </w:r>
            </w:hyperlink>
          </w:p>
        </w:tc>
        <w:tc>
          <w:tcPr>
            <w:tcW w:w="3440" w:type="dxa"/>
            <w:vAlign w:val="bottom"/>
            <w:gridSpan w:val="3"/>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31"/>
        </w:trPr>
        <w:tc>
          <w:tcPr>
            <w:tcW w:w="1240" w:type="dxa"/>
            <w:vAlign w:val="bottom"/>
          </w:tcPr>
          <w:p>
            <w:pPr>
              <w:ind w:left="100"/>
              <w:spacing w:after="0"/>
              <w:rPr>
                <w:sz w:val="20"/>
                <w:szCs w:val="20"/>
                <w:color w:val="auto"/>
              </w:rPr>
            </w:pPr>
            <w:r>
              <w:rPr>
                <w:rFonts w:ascii="Arial" w:cs="Arial" w:eastAsia="Arial" w:hAnsi="Arial"/>
                <w:sz w:val="18"/>
                <w:szCs w:val="18"/>
                <w:color w:val="auto"/>
              </w:rPr>
              <w:t>32.1**</w:t>
            </w:r>
          </w:p>
        </w:tc>
        <w:tc>
          <w:tcPr>
            <w:tcW w:w="41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Section 1350 Certification of Principal Executive Officer</w:t>
              </w:r>
            </w:hyperlink>
          </w:p>
        </w:tc>
        <w:tc>
          <w:tcPr>
            <w:tcW w:w="2440" w:type="dxa"/>
            <w:vAlign w:val="bottom"/>
          </w:tcPr>
          <w:p>
            <w:pPr>
              <w:spacing w:after="0"/>
              <w:rPr>
                <w:sz w:val="24"/>
                <w:szCs w:val="24"/>
                <w:color w:val="auto"/>
              </w:rPr>
            </w:pPr>
          </w:p>
        </w:tc>
      </w:tr>
      <w:tr>
        <w:trPr>
          <w:trHeight w:val="331"/>
        </w:trPr>
        <w:tc>
          <w:tcPr>
            <w:tcW w:w="1240" w:type="dxa"/>
            <w:vAlign w:val="bottom"/>
          </w:tcPr>
          <w:p>
            <w:pPr>
              <w:ind w:left="100"/>
              <w:spacing w:after="0"/>
              <w:rPr>
                <w:sz w:val="20"/>
                <w:szCs w:val="20"/>
                <w:color w:val="auto"/>
              </w:rPr>
            </w:pPr>
            <w:r>
              <w:rPr>
                <w:rFonts w:ascii="Arial" w:cs="Arial" w:eastAsia="Arial" w:hAnsi="Arial"/>
                <w:sz w:val="18"/>
                <w:szCs w:val="18"/>
                <w:color w:val="auto"/>
              </w:rPr>
              <w:t>32.2**</w:t>
            </w:r>
          </w:p>
        </w:tc>
        <w:tc>
          <w:tcPr>
            <w:tcW w:w="38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Section 1350 Certification of Chief Financial Officer</w:t>
              </w:r>
            </w:hyperlink>
          </w:p>
        </w:tc>
        <w:tc>
          <w:tcPr>
            <w:tcW w:w="2740" w:type="dxa"/>
            <w:vAlign w:val="bottom"/>
            <w:gridSpan w:val="2"/>
          </w:tcPr>
          <w:p>
            <w:pPr>
              <w:spacing w:after="0"/>
              <w:rPr>
                <w:sz w:val="24"/>
                <w:szCs w:val="24"/>
                <w:color w:val="auto"/>
              </w:rPr>
            </w:pPr>
          </w:p>
        </w:tc>
      </w:tr>
      <w:tr>
        <w:trPr>
          <w:trHeight w:val="372"/>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656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65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65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65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65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65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49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 contract with management or compensatory plan or arrangement.</w:t>
      </w:r>
    </w:p>
    <w:p>
      <w:pPr>
        <w:spacing w:after="0" w:line="50" w:lineRule="exact"/>
        <w:rPr>
          <w:sz w:val="20"/>
          <w:szCs w:val="20"/>
          <w:color w:val="auto"/>
        </w:rPr>
      </w:pPr>
    </w:p>
    <w:p>
      <w:pPr>
        <w:ind w:left="5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2"/>
          </w:tcPr>
          <w:p>
            <w:pPr>
              <w:ind w:left="3320"/>
              <w:spacing w:after="0"/>
              <w:rPr>
                <w:sz w:val="20"/>
                <w:szCs w:val="20"/>
                <w:color w:val="auto"/>
              </w:rPr>
            </w:pPr>
            <w:r>
              <w:rPr>
                <w:rFonts w:ascii="Arial" w:cs="Arial" w:eastAsia="Arial" w:hAnsi="Arial"/>
                <w:sz w:val="18"/>
                <w:szCs w:val="18"/>
                <w:b w:val="1"/>
                <w:bCs w:val="1"/>
                <w:color w:val="auto"/>
              </w:rPr>
              <w:t>SYNAPTICS INCORPORATED</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May 9, 2019</w:t>
            </w:r>
          </w:p>
        </w:tc>
        <w:tc>
          <w:tcPr>
            <w:tcW w:w="3920" w:type="dxa"/>
            <w:vAlign w:val="bottom"/>
          </w:tcPr>
          <w:p>
            <w:pPr>
              <w:ind w:left="33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Alex Wong</w:t>
            </w:r>
          </w:p>
        </w:tc>
      </w:tr>
      <w:tr>
        <w:trPr>
          <w:trHeight w:val="195"/>
        </w:trPr>
        <w:tc>
          <w:tcPr>
            <w:tcW w:w="3520" w:type="dxa"/>
            <w:vAlign w:val="bottom"/>
          </w:tcPr>
          <w:p>
            <w:pPr>
              <w:spacing w:after="0"/>
              <w:rPr>
                <w:sz w:val="16"/>
                <w:szCs w:val="16"/>
                <w:color w:val="auto"/>
              </w:rPr>
            </w:pPr>
          </w:p>
        </w:tc>
        <w:tc>
          <w:tcPr>
            <w:tcW w:w="3920" w:type="dxa"/>
            <w:vAlign w:val="bottom"/>
          </w:tcPr>
          <w:p>
            <w:pPr>
              <w:ind w:left="33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Alex Wong</w:t>
            </w:r>
          </w:p>
        </w:tc>
      </w:tr>
      <w:tr>
        <w:trPr>
          <w:trHeight w:val="230"/>
        </w:trPr>
        <w:tc>
          <w:tcPr>
            <w:tcW w:w="3520" w:type="dxa"/>
            <w:vAlign w:val="bottom"/>
          </w:tcPr>
          <w:p>
            <w:pPr>
              <w:spacing w:after="0"/>
              <w:rPr>
                <w:sz w:val="20"/>
                <w:szCs w:val="20"/>
                <w:color w:val="auto"/>
              </w:rPr>
            </w:pPr>
          </w:p>
        </w:tc>
        <w:tc>
          <w:tcPr>
            <w:tcW w:w="3920" w:type="dxa"/>
            <w:vAlign w:val="bottom"/>
          </w:tcPr>
          <w:p>
            <w:pPr>
              <w:ind w:left="33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3520" w:type="dxa"/>
            <w:vAlign w:val="bottom"/>
          </w:tcPr>
          <w:p>
            <w:pPr>
              <w:spacing w:after="0"/>
              <w:rPr>
                <w:sz w:val="20"/>
                <w:szCs w:val="20"/>
                <w:color w:val="auto"/>
              </w:rPr>
            </w:pPr>
            <w:r>
              <w:rPr>
                <w:rFonts w:ascii="Arial" w:cs="Arial" w:eastAsia="Arial" w:hAnsi="Arial"/>
                <w:sz w:val="18"/>
                <w:szCs w:val="18"/>
                <w:color w:val="auto"/>
              </w:rPr>
              <w:t>Date: May 9, 2019</w:t>
            </w:r>
          </w:p>
        </w:tc>
        <w:tc>
          <w:tcPr>
            <w:tcW w:w="3920" w:type="dxa"/>
            <w:vAlign w:val="bottom"/>
          </w:tcPr>
          <w:p>
            <w:pPr>
              <w:ind w:left="33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Kermit Nolan</w:t>
            </w:r>
          </w:p>
        </w:tc>
      </w:tr>
      <w:tr>
        <w:trPr>
          <w:trHeight w:val="195"/>
        </w:trPr>
        <w:tc>
          <w:tcPr>
            <w:tcW w:w="3520" w:type="dxa"/>
            <w:vAlign w:val="bottom"/>
          </w:tcPr>
          <w:p>
            <w:pPr>
              <w:spacing w:after="0"/>
              <w:rPr>
                <w:sz w:val="16"/>
                <w:szCs w:val="16"/>
                <w:color w:val="auto"/>
              </w:rPr>
            </w:pPr>
          </w:p>
        </w:tc>
        <w:tc>
          <w:tcPr>
            <w:tcW w:w="3920" w:type="dxa"/>
            <w:vAlign w:val="bottom"/>
          </w:tcPr>
          <w:p>
            <w:pPr>
              <w:ind w:left="33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Kermit Nolan</w:t>
            </w:r>
          </w:p>
        </w:tc>
      </w:tr>
      <w:tr>
        <w:trPr>
          <w:trHeight w:val="216"/>
        </w:trPr>
        <w:tc>
          <w:tcPr>
            <w:tcW w:w="3520" w:type="dxa"/>
            <w:vAlign w:val="bottom"/>
          </w:tcPr>
          <w:p>
            <w:pPr>
              <w:spacing w:after="0"/>
              <w:rPr>
                <w:sz w:val="18"/>
                <w:szCs w:val="18"/>
                <w:color w:val="auto"/>
              </w:rPr>
            </w:pPr>
          </w:p>
        </w:tc>
        <w:tc>
          <w:tcPr>
            <w:tcW w:w="3920" w:type="dxa"/>
            <w:vAlign w:val="bottom"/>
          </w:tcPr>
          <w:p>
            <w:pPr>
              <w:ind w:left="33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7"/>
              </w:rPr>
              <w:t>Corporate Vice President, Chief Accounting Officer</w:t>
            </w:r>
          </w:p>
        </w:tc>
      </w:tr>
      <w:tr>
        <w:trPr>
          <w:trHeight w:val="230"/>
        </w:trPr>
        <w:tc>
          <w:tcPr>
            <w:tcW w:w="3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and Interim Chief Financial Officer</w:t>
            </w:r>
          </w:p>
        </w:tc>
      </w:tr>
      <w:tr>
        <w:trPr>
          <w:trHeight w:val="648"/>
        </w:trPr>
        <w:tc>
          <w:tcPr>
            <w:tcW w:w="3520" w:type="dxa"/>
            <w:vAlign w:val="bottom"/>
          </w:tcPr>
          <w:p>
            <w:pPr>
              <w:spacing w:after="0"/>
              <w:rPr>
                <w:sz w:val="24"/>
                <w:szCs w:val="24"/>
                <w:color w:val="auto"/>
              </w:rPr>
            </w:pPr>
          </w:p>
        </w:tc>
        <w:tc>
          <w:tcPr>
            <w:tcW w:w="3920" w:type="dxa"/>
            <w:vAlign w:val="bottom"/>
          </w:tcPr>
          <w:p>
            <w:pPr>
              <w:ind w:left="2100"/>
              <w:spacing w:after="0"/>
              <w:rPr>
                <w:sz w:val="20"/>
                <w:szCs w:val="20"/>
                <w:color w:val="auto"/>
              </w:rPr>
            </w:pPr>
            <w:r>
              <w:rPr>
                <w:rFonts w:ascii="Arial" w:cs="Arial" w:eastAsia="Arial" w:hAnsi="Arial"/>
                <w:sz w:val="18"/>
                <w:szCs w:val="18"/>
                <w:color w:val="auto"/>
              </w:rPr>
              <w:t>36</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ind w:left="320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166370</wp:posOffset>
            </wp:positionH>
            <wp:positionV relativeFrom="page">
              <wp:posOffset>88900</wp:posOffset>
            </wp:positionV>
            <wp:extent cx="1612265" cy="3517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51790"/>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February 7, 2019</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0"/>
          <w:szCs w:val="20"/>
          <w:color w:val="auto"/>
        </w:rPr>
        <w:t>Kermit Nolan San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Jose, CA</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Dear Kermit:</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color w:val="auto"/>
        </w:rPr>
        <w:t>I am pleased to inform you of your promotion to the position of Corporate Vice President &amp; Chief Accounting Officer and Interim CFO.</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Effective February 7, 2019, your annualized base salary will be $340,000, which is a 25% increase.</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For Synaptics' fiscal year 2019, your annual incentive target will be prorated per the schedule below:</w:t>
      </w:r>
    </w:p>
    <w:p>
      <w:pPr>
        <w:ind w:left="860" w:hanging="798"/>
        <w:spacing w:after="0" w:line="237" w:lineRule="auto"/>
        <w:tabs>
          <w:tab w:leader="none" w:pos="860" w:val="left"/>
        </w:tabs>
        <w:numPr>
          <w:ilvl w:val="0"/>
          <w:numId w:val="10"/>
        </w:numPr>
        <w:rPr>
          <w:rFonts w:ascii="Arial" w:cs="Arial" w:eastAsia="Arial" w:hAnsi="Arial"/>
          <w:sz w:val="22"/>
          <w:szCs w:val="22"/>
          <w:color w:val="auto"/>
        </w:rPr>
      </w:pPr>
      <w:r>
        <w:rPr>
          <w:rFonts w:ascii="Arial" w:cs="Arial" w:eastAsia="Arial" w:hAnsi="Arial"/>
          <w:sz w:val="20"/>
          <w:szCs w:val="20"/>
          <w:color w:val="auto"/>
        </w:rPr>
        <w:t>July 1, 2018 — February 6, 2019: 40% of your base salary</w:t>
      </w:r>
    </w:p>
    <w:p>
      <w:pPr>
        <w:spacing w:after="0" w:line="8" w:lineRule="exact"/>
        <w:rPr>
          <w:rFonts w:ascii="Arial" w:cs="Arial" w:eastAsia="Arial" w:hAnsi="Arial"/>
          <w:sz w:val="22"/>
          <w:szCs w:val="22"/>
          <w:color w:val="auto"/>
        </w:rPr>
      </w:pPr>
    </w:p>
    <w:p>
      <w:pPr>
        <w:ind w:left="860" w:hanging="798"/>
        <w:spacing w:after="0" w:line="222" w:lineRule="auto"/>
        <w:tabs>
          <w:tab w:leader="none" w:pos="860" w:val="left"/>
        </w:tabs>
        <w:numPr>
          <w:ilvl w:val="0"/>
          <w:numId w:val="10"/>
        </w:numPr>
        <w:rPr>
          <w:rFonts w:ascii="Arial" w:cs="Arial" w:eastAsia="Arial" w:hAnsi="Arial"/>
          <w:sz w:val="22"/>
          <w:szCs w:val="22"/>
          <w:color w:val="auto"/>
        </w:rPr>
      </w:pPr>
      <w:r>
        <w:rPr>
          <w:rFonts w:ascii="Arial" w:cs="Arial" w:eastAsia="Arial" w:hAnsi="Arial"/>
          <w:sz w:val="20"/>
          <w:szCs w:val="20"/>
          <w:color w:val="auto"/>
        </w:rPr>
        <w:t>February 7, 2019 —June 29, 2019: 50% of your base salary</w:t>
      </w:r>
    </w:p>
    <w:p>
      <w:pPr>
        <w:spacing w:after="0" w:line="223" w:lineRule="exact"/>
        <w:rPr>
          <w:sz w:val="20"/>
          <w:szCs w:val="20"/>
          <w:color w:val="auto"/>
        </w:rPr>
      </w:pPr>
    </w:p>
    <w:p>
      <w:pPr>
        <w:jc w:val="both"/>
        <w:ind w:left="20" w:firstLine="5"/>
        <w:spacing w:after="0" w:line="260" w:lineRule="auto"/>
        <w:rPr>
          <w:sz w:val="20"/>
          <w:szCs w:val="20"/>
          <w:color w:val="auto"/>
        </w:rPr>
      </w:pPr>
      <w:r>
        <w:rPr>
          <w:rFonts w:ascii="Arial" w:cs="Arial" w:eastAsia="Arial" w:hAnsi="Arial"/>
          <w:sz w:val="20"/>
          <w:szCs w:val="20"/>
          <w:color w:val="auto"/>
        </w:rPr>
        <w:t>Payment of the incentive will be based first on company-wide performance, followed by department and individual goals annually. Payment of any incentive amount is ultimately at the discretion of Synaptics and is not guaranteed.</w:t>
      </w:r>
    </w:p>
    <w:p>
      <w:pPr>
        <w:spacing w:after="0" w:line="177" w:lineRule="exact"/>
        <w:rPr>
          <w:sz w:val="20"/>
          <w:szCs w:val="20"/>
          <w:color w:val="auto"/>
        </w:rPr>
      </w:pPr>
    </w:p>
    <w:p>
      <w:pPr>
        <w:jc w:val="both"/>
        <w:ind w:right="20" w:firstLine="6"/>
        <w:spacing w:after="0" w:line="246" w:lineRule="auto"/>
        <w:rPr>
          <w:sz w:val="20"/>
          <w:szCs w:val="20"/>
          <w:color w:val="auto"/>
        </w:rPr>
      </w:pPr>
      <w:r>
        <w:rPr>
          <w:rFonts w:ascii="Arial" w:cs="Arial" w:eastAsia="Arial" w:hAnsi="Arial"/>
          <w:sz w:val="20"/>
          <w:szCs w:val="20"/>
          <w:color w:val="auto"/>
        </w:rPr>
        <w:t>Subject to the approval of the Compensation Committee of the Board of Directors of the Company or their delegate, you will receive 12,500 Restricted Stock Units (RSUs) in February. Your RSUs shall vest as follows: 1/3 of the RSUs shall vest one year from vest base date, and 1/3 of the RSUs will vest each year thereafter on the anniversary of the delivery date such that your entire award will be fully vested in the calendar quarter of the third anniversary of the grant date.</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 look forward to your continued contributions towards the success of Synaptics.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Sincerely,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 RA Bergman</w:t>
      </w:r>
    </w:p>
    <w:p>
      <w:pPr>
        <w:spacing w:after="0"/>
        <w:rPr>
          <w:sz w:val="20"/>
          <w:szCs w:val="20"/>
          <w:color w:val="auto"/>
        </w:rPr>
      </w:pPr>
      <w:r>
        <w:rPr>
          <w:rFonts w:ascii="Arial" w:cs="Arial" w:eastAsia="Arial" w:hAnsi="Arial"/>
          <w:sz w:val="20"/>
          <w:szCs w:val="20"/>
          <w:color w:val="auto"/>
        </w:rPr>
        <w:t>Rick Bergman</w:t>
      </w:r>
    </w:p>
    <w:p>
      <w:pPr>
        <w:spacing w:after="0"/>
        <w:rPr>
          <w:sz w:val="20"/>
          <w:szCs w:val="20"/>
          <w:color w:val="auto"/>
        </w:rPr>
      </w:pPr>
      <w:r>
        <w:rPr>
          <w:rFonts w:ascii="Arial" w:cs="Arial" w:eastAsia="Arial" w:hAnsi="Arial"/>
          <w:sz w:val="20"/>
          <w:szCs w:val="20"/>
          <w:color w:val="auto"/>
        </w:rPr>
        <w:t>CEO</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This 7</w:t>
      </w:r>
      <w:r>
        <w:rPr>
          <w:rFonts w:ascii="Arial" w:cs="Arial" w:eastAsia="Arial" w:hAnsi="Arial"/>
          <w:sz w:val="16"/>
          <w:szCs w:val="16"/>
          <w:color w:val="auto"/>
        </w:rPr>
        <w:t>th</w:t>
      </w:r>
      <w:r>
        <w:rPr>
          <w:rFonts w:ascii="Arial" w:cs="Arial" w:eastAsia="Arial" w:hAnsi="Arial"/>
          <w:sz w:val="20"/>
          <w:szCs w:val="20"/>
          <w:color w:val="auto"/>
        </w:rPr>
        <w:t xml:space="preserve"> day of February, 2019</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/s/ Kermit Nolan</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Kermit Nolan</w:t>
      </w:r>
    </w:p>
    <w:p>
      <w:pPr>
        <w:spacing w:after="0" w:line="200" w:lineRule="exact"/>
        <w:rPr>
          <w:sz w:val="20"/>
          <w:szCs w:val="20"/>
          <w:color w:val="auto"/>
        </w:rPr>
      </w:pPr>
    </w:p>
    <w:p>
      <w:pPr>
        <w:spacing w:after="0" w:line="202" w:lineRule="exact"/>
        <w:rPr>
          <w:sz w:val="20"/>
          <w:szCs w:val="20"/>
          <w:color w:val="auto"/>
        </w:rPr>
      </w:pPr>
    </w:p>
    <w:p>
      <w:pPr>
        <w:ind w:left="3540"/>
        <w:spacing w:after="0"/>
        <w:rPr>
          <w:sz w:val="20"/>
          <w:szCs w:val="20"/>
          <w:color w:val="auto"/>
        </w:rPr>
      </w:pPr>
      <w:r>
        <w:rPr>
          <w:rFonts w:ascii="Arial" w:cs="Arial" w:eastAsia="Arial" w:hAnsi="Arial"/>
          <w:sz w:val="16"/>
          <w:szCs w:val="16"/>
          <w:u w:val="single" w:color="auto"/>
          <w:color w:val="auto"/>
        </w:rPr>
        <w:t xml:space="preserve">Synaptics Incorporated </w:t>
      </w:r>
      <w:r>
        <w:rPr>
          <w:rFonts w:ascii="Arial" w:cs="Arial" w:eastAsia="Arial" w:hAnsi="Arial"/>
          <w:sz w:val="25"/>
          <w:szCs w:val="25"/>
          <w:u w:val="single" w:color="auto"/>
          <w:color w:val="auto"/>
        </w:rPr>
        <w:t>•</w:t>
      </w:r>
      <w:r>
        <w:rPr>
          <w:rFonts w:ascii="Arial" w:cs="Arial" w:eastAsia="Arial" w:hAnsi="Arial"/>
          <w:sz w:val="16"/>
          <w:szCs w:val="16"/>
          <w:u w:val="single" w:color="auto"/>
          <w:color w:val="auto"/>
        </w:rPr>
        <w:t xml:space="preserve"> 1251 McKay </w:t>
      </w:r>
      <w:r>
        <w:rPr>
          <w:rFonts w:ascii="Arial" w:cs="Arial" w:eastAsia="Arial" w:hAnsi="Arial"/>
          <w:sz w:val="25"/>
          <w:szCs w:val="25"/>
          <w:u w:val="single" w:color="auto"/>
          <w:color w:val="auto"/>
        </w:rPr>
        <w:t>•</w:t>
      </w:r>
      <w:r>
        <w:rPr>
          <w:rFonts w:ascii="Arial" w:cs="Arial" w:eastAsia="Arial" w:hAnsi="Arial"/>
          <w:sz w:val="16"/>
          <w:szCs w:val="16"/>
          <w:u w:val="single" w:color="auto"/>
          <w:color w:val="auto"/>
        </w:rPr>
        <w:t xml:space="preserve"> San Jose, CA 95131 USA</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 xml:space="preserve">Ph: 408-904-1100 </w:t>
      </w:r>
      <w:r>
        <w:rPr>
          <w:rFonts w:ascii="Arial" w:cs="Arial" w:eastAsia="Arial" w:hAnsi="Arial"/>
          <w:sz w:val="25"/>
          <w:szCs w:val="25"/>
          <w:color w:val="auto"/>
        </w:rPr>
        <w:t>•</w:t>
      </w:r>
      <w:r>
        <w:rPr>
          <w:rFonts w:ascii="Arial" w:cs="Arial" w:eastAsia="Arial" w:hAnsi="Arial"/>
          <w:sz w:val="16"/>
          <w:szCs w:val="16"/>
          <w:color w:val="auto"/>
        </w:rPr>
        <w:t xml:space="preserve"> Fax: 408-904-1110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www.synaptics.com</w:t>
      </w:r>
    </w:p>
    <w:p>
      <w:pPr>
        <w:sectPr>
          <w:pgSz w:w="11900" w:h="16838" w:orient="portrait"/>
          <w:cols w:equalWidth="0" w:num="1">
            <w:col w:w="11340"/>
          </w:cols>
          <w:pgMar w:left="240" w:top="495"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Alex Wong, certify that:</w:t>
      </w:r>
    </w:p>
    <w:p>
      <w:pPr>
        <w:spacing w:after="0" w:line="117" w:lineRule="exact"/>
        <w:rPr>
          <w:sz w:val="20"/>
          <w:szCs w:val="20"/>
          <w:color w:val="auto"/>
        </w:rPr>
      </w:pPr>
    </w:p>
    <w:p>
      <w:pPr>
        <w:ind w:left="700" w:hanging="17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Alex Wong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Alex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Kermit Nolan, certify that:</w:t>
      </w:r>
    </w:p>
    <w:p>
      <w:pPr>
        <w:spacing w:after="0" w:line="117" w:lineRule="exact"/>
        <w:rPr>
          <w:sz w:val="20"/>
          <w:szCs w:val="20"/>
          <w:color w:val="auto"/>
        </w:rPr>
      </w:pPr>
    </w:p>
    <w:p>
      <w:pPr>
        <w:ind w:left="700" w:hanging="17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Kermit Nolan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Kermit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Principal Executive Officer</w:t>
      </w:r>
    </w:p>
    <w:p>
      <w:pPr>
        <w:spacing w:after="0" w:line="229"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30, 2019, as filed with the Securities and Exchange Commission on the date hereof (the “Report”), I, Alex Wong, Principal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Alex Wong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Alex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2019</w:t>
      </w:r>
    </w:p>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30, 2019, as filed with the Securities and Exchange Commission on the date hereof (the “Report”), I, Kermit Nolan, Interim Chief Financial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Kermit Nolan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Kermit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2019</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2019-12-28T12:22:39Z</dcterms:created>
  <dcterms:modified xsi:type="dcterms:W3CDTF">2019-12-28T12:22:39Z</dcterms:modified>
</cp:coreProperties>
</file>