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29, 2018</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sectPr>
      </w:pPr>
    </w:p>
    <w:p>
      <w:pPr>
        <w:spacing w:after="0" w:line="273"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480" w:space="720"/>
            <w:col w:w="3180"/>
          </w:cols>
          <w:pgMar w:left="240" w:top="432" w:right="27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40" w:space="720"/>
            <w:col w:w="3320"/>
          </w:cols>
          <w:pgMar w:left="240" w:top="432"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1251 McKay Drive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904-1100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type w:val="continuous"/>
        </w:sectPr>
      </w:pPr>
    </w:p>
    <w:p>
      <w:pPr>
        <w:spacing w:after="0" w:line="273"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February 1, 2019: 34,403,114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DECEMBER 29, 2018</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6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60" w:type="dxa"/>
            <w:vAlign w:val="bottom"/>
            <w:gridSpan w:val="18"/>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6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Sheets—December 31, 2018 and June 30, 2018</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Operations—Three and Six Months Ended December 31, 2018 and 2017</w:t>
              </w:r>
            </w:hyperlink>
          </w:p>
        </w:tc>
        <w:tc>
          <w:tcPr>
            <w:tcW w:w="1560" w:type="dxa"/>
            <w:vAlign w:val="bottom"/>
            <w:gridSpan w:val="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Income/(Loss)—Three and Six Months Ended December 31, 2018 and 2017</w:t>
              </w:r>
            </w:hyperlink>
          </w:p>
        </w:tc>
        <w:tc>
          <w:tcPr>
            <w:tcW w:w="1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Flows—Six Months Ended December 31, 2018 and 2017</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400" w:type="dxa"/>
            <w:vAlign w:val="bottom"/>
            <w:tcBorders>
              <w:top w:val="single" w:sz="8" w:color="0000EE"/>
            </w:tcBorders>
            <w:gridSpan w:val="6"/>
          </w:tcPr>
          <w:p>
            <w:pPr>
              <w:spacing w:after="0"/>
              <w:rPr>
                <w:sz w:val="24"/>
                <w:szCs w:val="24"/>
                <w:color w:val="auto"/>
              </w:rPr>
            </w:pPr>
          </w:p>
        </w:tc>
        <w:tc>
          <w:tcPr>
            <w:tcW w:w="2280" w:type="dxa"/>
            <w:vAlign w:val="bottom"/>
            <w:gridSpan w:val="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4"/>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968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6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8340" w:type="dxa"/>
            <w:vAlign w:val="bottom"/>
            <w:gridSpan w:val="11"/>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968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68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5340" w:type="dxa"/>
            <w:vAlign w:val="bottom"/>
            <w:gridSpan w:val="7"/>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260" w:type="dxa"/>
            <w:vAlign w:val="bottom"/>
            <w:tcBorders>
              <w:bottom w:val="single" w:sz="8" w:color="CFF0FC"/>
            </w:tcBorders>
          </w:tcPr>
          <w:p>
            <w:pPr>
              <w:spacing w:after="0"/>
              <w:rPr>
                <w:sz w:val="20"/>
                <w:szCs w:val="20"/>
                <w:color w:val="auto"/>
              </w:rPr>
            </w:pPr>
          </w:p>
        </w:tc>
        <w:tc>
          <w:tcPr>
            <w:tcW w:w="56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2260" w:type="dxa"/>
            <w:vAlign w:val="bottom"/>
            <w:shd w:val="clear" w:color="auto" w:fill="CFF0FC"/>
          </w:tcPr>
          <w:p>
            <w:pPr>
              <w:spacing w:after="0"/>
              <w:rPr>
                <w:sz w:val="19"/>
                <w:szCs w:val="19"/>
                <w:color w:val="auto"/>
              </w:rPr>
            </w:pPr>
          </w:p>
        </w:tc>
        <w:tc>
          <w:tcPr>
            <w:tcW w:w="5600" w:type="dxa"/>
            <w:vAlign w:val="bottom"/>
            <w:shd w:val="clear" w:color="auto" w:fill="CFF0FC"/>
          </w:tcPr>
          <w:p>
            <w:pPr>
              <w:jc w:val="center"/>
              <w:ind w:right="235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Current Assets:</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Cash and cash equivalents</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FF0FC"/>
          </w:tcPr>
          <w:p>
            <w:pPr>
              <w:spacing w:after="0"/>
              <w:rPr>
                <w:sz w:val="19"/>
                <w:szCs w:val="19"/>
                <w:color w:val="auto"/>
              </w:rPr>
            </w:pPr>
          </w:p>
        </w:tc>
      </w:tr>
      <w:tr>
        <w:trPr>
          <w:trHeight w:val="215"/>
        </w:trPr>
        <w:tc>
          <w:tcPr>
            <w:tcW w:w="8040" w:type="dxa"/>
            <w:vAlign w:val="bottom"/>
            <w:gridSpan w:val="3"/>
          </w:tcPr>
          <w:p>
            <w:pPr>
              <w:ind w:left="260"/>
              <w:spacing w:after="0"/>
              <w:rPr>
                <w:sz w:val="20"/>
                <w:szCs w:val="20"/>
                <w:color w:val="auto"/>
              </w:rPr>
            </w:pPr>
            <w:r>
              <w:rPr>
                <w:rFonts w:ascii="Arial" w:cs="Arial" w:eastAsia="Arial" w:hAnsi="Arial"/>
                <w:sz w:val="18"/>
                <w:szCs w:val="18"/>
                <w:color w:val="auto"/>
              </w:rPr>
              <w:t>Accounts receivable, net of allowances of $2.1 and $1.8 at December 31, 2018 and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gridSpan w:val="3"/>
          </w:tcPr>
          <w:p>
            <w:pPr>
              <w:ind w:left="380"/>
              <w:spacing w:after="0"/>
              <w:rPr>
                <w:sz w:val="20"/>
                <w:szCs w:val="20"/>
                <w:color w:val="auto"/>
              </w:rPr>
            </w:pPr>
            <w:r>
              <w:rPr>
                <w:rFonts w:ascii="Arial" w:cs="Arial" w:eastAsia="Arial" w:hAnsi="Arial"/>
                <w:sz w:val="18"/>
                <w:szCs w:val="18"/>
                <w:color w:val="auto"/>
              </w:rPr>
              <w:t>June 30, 2018, respectively</w:t>
            </w:r>
          </w:p>
        </w:tc>
        <w:tc>
          <w:tcPr>
            <w:tcW w:w="1400" w:type="dxa"/>
            <w:vAlign w:val="bottom"/>
          </w:tcPr>
          <w:p>
            <w:pPr>
              <w:jc w:val="right"/>
              <w:spacing w:after="0"/>
              <w:rPr>
                <w:sz w:val="20"/>
                <w:szCs w:val="20"/>
                <w:color w:val="auto"/>
              </w:rPr>
            </w:pPr>
            <w:r>
              <w:rPr>
                <w:rFonts w:ascii="Arial" w:cs="Arial" w:eastAsia="Arial" w:hAnsi="Arial"/>
                <w:sz w:val="18"/>
                <w:szCs w:val="18"/>
                <w:color w:val="auto"/>
              </w:rPr>
              <w:t>326.0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20"/>
                <w:szCs w:val="20"/>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gridSpan w:val="3"/>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r>
      <w:tr>
        <w:trPr>
          <w:trHeight w:val="223"/>
        </w:trPr>
        <w:tc>
          <w:tcPr>
            <w:tcW w:w="22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5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8040" w:type="dxa"/>
            <w:vAlign w:val="bottom"/>
            <w:gridSpan w:val="3"/>
          </w:tcPr>
          <w:p>
            <w:pPr>
              <w:spacing w:after="0"/>
              <w:rPr>
                <w:sz w:val="20"/>
                <w:szCs w:val="20"/>
                <w:color w:val="auto"/>
              </w:rPr>
            </w:pPr>
            <w:r>
              <w:rPr>
                <w:rFonts w:ascii="Arial" w:cs="Arial" w:eastAsia="Arial" w:hAnsi="Arial"/>
                <w:sz w:val="18"/>
                <w:szCs w:val="18"/>
                <w:color w:val="auto"/>
              </w:rPr>
              <w:t>Property and equipment at cost, net of accumulated depreciation of $130.4</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gridSpan w:val="3"/>
          </w:tcPr>
          <w:p>
            <w:pPr>
              <w:ind w:left="140"/>
              <w:spacing w:after="0"/>
              <w:rPr>
                <w:sz w:val="20"/>
                <w:szCs w:val="20"/>
                <w:color w:val="auto"/>
              </w:rPr>
            </w:pPr>
            <w:r>
              <w:rPr>
                <w:rFonts w:ascii="Arial" w:cs="Arial" w:eastAsia="Arial" w:hAnsi="Arial"/>
                <w:sz w:val="18"/>
                <w:szCs w:val="18"/>
                <w:color w:val="auto"/>
              </w:rPr>
              <w:t>and $127.4 at December 31, 2018 and June 30, 2018, respectively</w:t>
            </w:r>
          </w:p>
        </w:tc>
        <w:tc>
          <w:tcPr>
            <w:tcW w:w="1400" w:type="dxa"/>
            <w:vAlign w:val="bottom"/>
          </w:tcPr>
          <w:p>
            <w:pPr>
              <w:jc w:val="right"/>
              <w:spacing w:after="0"/>
              <w:rPr>
                <w:sz w:val="20"/>
                <w:szCs w:val="20"/>
                <w:color w:val="auto"/>
              </w:rPr>
            </w:pPr>
            <w:r>
              <w:rPr>
                <w:rFonts w:ascii="Arial" w:cs="Arial" w:eastAsia="Arial" w:hAnsi="Arial"/>
                <w:sz w:val="18"/>
                <w:szCs w:val="18"/>
                <w:color w:val="auto"/>
              </w:rPr>
              <w:t>106.0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0"/>
                <w:szCs w:val="20"/>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56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r>
      <w:tr>
        <w:trPr>
          <w:trHeight w:val="263"/>
        </w:trPr>
        <w:tc>
          <w:tcPr>
            <w:tcW w:w="2260" w:type="dxa"/>
            <w:vAlign w:val="bottom"/>
            <w:tcBorders>
              <w:bottom w:val="single" w:sz="8" w:color="CFF0FC"/>
            </w:tcBorders>
          </w:tcPr>
          <w:p>
            <w:pPr>
              <w:spacing w:after="0"/>
              <w:rPr>
                <w:sz w:val="22"/>
                <w:szCs w:val="22"/>
                <w:color w:val="auto"/>
              </w:rPr>
            </w:pPr>
          </w:p>
        </w:tc>
        <w:tc>
          <w:tcPr>
            <w:tcW w:w="56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gridSpan w:val="2"/>
            <w:shd w:val="clear" w:color="auto" w:fill="CFF0FC"/>
          </w:tcPr>
          <w:p>
            <w:pPr>
              <w:jc w:val="center"/>
              <w:ind w:right="9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Current Liabilities:</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gridSpan w:val="3"/>
          </w:tcPr>
          <w:p>
            <w:pPr>
              <w:ind w:left="260"/>
              <w:spacing w:after="0"/>
              <w:rPr>
                <w:sz w:val="20"/>
                <w:szCs w:val="20"/>
                <w:color w:val="auto"/>
              </w:rPr>
            </w:pPr>
            <w:r>
              <w:rPr>
                <w:rFonts w:ascii="Arial" w:cs="Arial" w:eastAsia="Arial" w:hAnsi="Arial"/>
                <w:sz w:val="18"/>
                <w:szCs w:val="18"/>
                <w:color w:val="auto"/>
              </w:rPr>
              <w:t>Acquisition-related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56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FF0FC"/>
          </w:tcPr>
          <w:p>
            <w:pPr>
              <w:spacing w:after="0"/>
              <w:rPr>
                <w:sz w:val="19"/>
                <w:szCs w:val="19"/>
                <w:color w:val="auto"/>
              </w:rPr>
            </w:pPr>
          </w:p>
        </w:tc>
      </w:tr>
      <w:tr>
        <w:trPr>
          <w:trHeight w:val="223"/>
        </w:trPr>
        <w:tc>
          <w:tcPr>
            <w:tcW w:w="2260" w:type="dxa"/>
            <w:vAlign w:val="bottom"/>
          </w:tcPr>
          <w:p>
            <w:pPr>
              <w:ind w:left="500"/>
              <w:spacing w:after="0"/>
              <w:rPr>
                <w:sz w:val="20"/>
                <w:szCs w:val="20"/>
                <w:color w:val="auto"/>
              </w:rPr>
            </w:pPr>
            <w:r>
              <w:rPr>
                <w:rFonts w:ascii="Arial" w:cs="Arial" w:eastAsia="Arial" w:hAnsi="Arial"/>
                <w:sz w:val="18"/>
                <w:szCs w:val="18"/>
                <w:color w:val="auto"/>
                <w:w w:val="99"/>
              </w:rPr>
              <w:t>Total current liabilities</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5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2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Stockholders' Equity:</w:t>
            </w: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8040" w:type="dxa"/>
            <w:vAlign w:val="bottom"/>
            <w:gridSpan w:val="3"/>
          </w:tcPr>
          <w:p>
            <w:pPr>
              <w:ind w:left="260"/>
              <w:spacing w:after="0"/>
              <w:rPr>
                <w:sz w:val="20"/>
                <w:szCs w:val="20"/>
                <w:color w:val="auto"/>
              </w:rPr>
            </w:pPr>
            <w:r>
              <w:rPr>
                <w:rFonts w:ascii="Arial" w:cs="Arial" w:eastAsia="Arial" w:hAnsi="Arial"/>
                <w:sz w:val="18"/>
                <w:szCs w:val="18"/>
                <w:color w:val="auto"/>
              </w:rPr>
              <w:t>$0.001 par value; 120,000,000 shares authorized,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gridSpan w:val="3"/>
          </w:tcPr>
          <w:p>
            <w:pPr>
              <w:ind w:left="380"/>
              <w:spacing w:after="0"/>
              <w:rPr>
                <w:sz w:val="20"/>
                <w:szCs w:val="20"/>
                <w:color w:val="auto"/>
              </w:rPr>
            </w:pPr>
            <w:r>
              <w:rPr>
                <w:rFonts w:ascii="Arial" w:cs="Arial" w:eastAsia="Arial" w:hAnsi="Arial"/>
                <w:sz w:val="18"/>
                <w:szCs w:val="18"/>
                <w:color w:val="auto"/>
              </w:rPr>
              <w:t>63,803,544 and 62,889,679 shares issued, and 34,313,668 and 35,249,803 shares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gridSpan w:val="3"/>
          </w:tcPr>
          <w:p>
            <w:pPr>
              <w:ind w:left="380"/>
              <w:spacing w:after="0"/>
              <w:rPr>
                <w:sz w:val="20"/>
                <w:szCs w:val="20"/>
                <w:color w:val="auto"/>
              </w:rPr>
            </w:pPr>
            <w:r>
              <w:rPr>
                <w:rFonts w:ascii="Arial" w:cs="Arial" w:eastAsia="Arial" w:hAnsi="Arial"/>
                <w:sz w:val="18"/>
                <w:szCs w:val="18"/>
                <w:color w:val="auto"/>
              </w:rPr>
              <w:t>outstanding, at December 31, 2018 and June 30, 2018, respectively</w:t>
            </w: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5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shd w:val="clear" w:color="auto" w:fill="CFF0FC"/>
          </w:tcPr>
          <w:p>
            <w:pPr>
              <w:spacing w:after="0"/>
              <w:rPr>
                <w:sz w:val="19"/>
                <w:szCs w:val="19"/>
                <w:color w:val="auto"/>
              </w:rPr>
            </w:pPr>
          </w:p>
        </w:tc>
      </w:tr>
      <w:tr>
        <w:trPr>
          <w:trHeight w:val="215"/>
        </w:trPr>
        <w:tc>
          <w:tcPr>
            <w:tcW w:w="2260" w:type="dxa"/>
            <w:vAlign w:val="bottom"/>
          </w:tcPr>
          <w:p>
            <w:pPr>
              <w:ind w:left="260"/>
              <w:spacing w:after="0"/>
              <w:rPr>
                <w:sz w:val="20"/>
                <w:szCs w:val="20"/>
                <w:color w:val="auto"/>
              </w:rPr>
            </w:pPr>
            <w:r>
              <w:rPr>
                <w:rFonts w:ascii="Arial" w:cs="Arial" w:eastAsia="Arial" w:hAnsi="Arial"/>
                <w:sz w:val="18"/>
                <w:szCs w:val="18"/>
                <w:color w:val="auto"/>
                <w:w w:val="90"/>
              </w:rPr>
              <w:t>Treasury stock: 29,489,876</w:t>
            </w:r>
          </w:p>
        </w:tc>
        <w:tc>
          <w:tcPr>
            <w:tcW w:w="5780" w:type="dxa"/>
            <w:vAlign w:val="bottom"/>
            <w:gridSpan w:val="2"/>
          </w:tcPr>
          <w:p>
            <w:pPr>
              <w:jc w:val="center"/>
              <w:ind w:right="2510"/>
              <w:spacing w:after="0"/>
              <w:rPr>
                <w:sz w:val="20"/>
                <w:szCs w:val="20"/>
                <w:color w:val="auto"/>
              </w:rPr>
            </w:pPr>
            <w:r>
              <w:rPr>
                <w:rFonts w:ascii="Arial" w:cs="Arial" w:eastAsia="Arial" w:hAnsi="Arial"/>
                <w:sz w:val="18"/>
                <w:szCs w:val="18"/>
                <w:color w:val="auto"/>
                <w:w w:val="89"/>
              </w:rPr>
              <w:t>and 27,639,876 common treasury shares at</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gridSpan w:val="3"/>
          </w:tcPr>
          <w:p>
            <w:pPr>
              <w:ind w:left="380"/>
              <w:spacing w:after="0"/>
              <w:rPr>
                <w:sz w:val="20"/>
                <w:szCs w:val="20"/>
                <w:color w:val="auto"/>
              </w:rPr>
            </w:pPr>
            <w:r>
              <w:rPr>
                <w:rFonts w:ascii="Arial" w:cs="Arial" w:eastAsia="Arial" w:hAnsi="Arial"/>
                <w:sz w:val="18"/>
                <w:szCs w:val="18"/>
                <w:color w:val="auto"/>
              </w:rPr>
              <w:t>December 31, 2018 and June 30, 2018, respectively, at cost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(1,151.2)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(1,073.9)</w:t>
            </w:r>
          </w:p>
        </w:tc>
      </w:tr>
      <w:tr>
        <w:trPr>
          <w:trHeight w:val="230"/>
        </w:trPr>
        <w:tc>
          <w:tcPr>
            <w:tcW w:w="80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5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FF0FC"/>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6000" w:type="dxa"/>
            <w:vAlign w:val="bottom"/>
          </w:tcPr>
          <w:p>
            <w:pPr>
              <w:ind w:left="500"/>
              <w:spacing w:after="0"/>
              <w:rPr>
                <w:sz w:val="20"/>
                <w:szCs w:val="20"/>
                <w:color w:val="auto"/>
              </w:rPr>
            </w:pPr>
            <w:r>
              <w:rPr>
                <w:rFonts w:ascii="Arial" w:cs="Arial" w:eastAsia="Arial" w:hAnsi="Arial"/>
                <w:sz w:val="18"/>
                <w:szCs w:val="18"/>
                <w:color w:val="auto"/>
              </w:rPr>
              <w:t>Income/(loss) before provision for income taxes and</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640"/>
              <w:spacing w:after="0"/>
              <w:rPr>
                <w:sz w:val="20"/>
                <w:szCs w:val="20"/>
                <w:color w:val="auto"/>
              </w:rPr>
            </w:pPr>
            <w:r>
              <w:rPr>
                <w:rFonts w:ascii="Arial" w:cs="Arial" w:eastAsia="Arial" w:hAnsi="Arial"/>
                <w:sz w:val="18"/>
                <w:szCs w:val="18"/>
                <w:color w:val="auto"/>
              </w:rPr>
              <w:t>equity investment loss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Equity investment loss</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(82.4)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net gain on investment</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current period-other comprehensive loss</w:t>
            </w:r>
          </w:p>
        </w:tc>
        <w:tc>
          <w:tcPr>
            <w:tcW w:w="11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1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(82.4)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w w:val="98"/>
              </w:rPr>
              <w:t>Six Months Ended</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5"/>
                <w:szCs w:val="15"/>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b w:val="1"/>
                <w:bCs w:val="1"/>
                <w:color w:val="auto"/>
              </w:rPr>
              <w:t>2018</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Net income/(loss)</w:t>
            </w:r>
          </w:p>
        </w:tc>
        <w:tc>
          <w:tcPr>
            <w:tcW w:w="2280" w:type="dxa"/>
            <w:vAlign w:val="bottom"/>
            <w:gridSpan w:val="2"/>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16.6</w:t>
            </w:r>
          </w:p>
        </w:tc>
        <w:tc>
          <w:tcPr>
            <w:tcW w:w="160" w:type="dxa"/>
            <w:vAlign w:val="bottom"/>
          </w:tcPr>
          <w:p>
            <w:pPr>
              <w:spacing w:after="0"/>
              <w:rPr>
                <w:sz w:val="15"/>
                <w:szCs w:val="15"/>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(108.9)</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income/(loss) to net cash provided by operating activities: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Share-based compensation costs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Acquired intangibles amortization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taxes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Amortization of convertible debt discount and issuance costs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Impairment recovery on investments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Arbitration settlement</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Equity investment loss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remeasurement (gain)/loss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receivable, net</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(31.7)</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(14.5)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Other assets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Accrued compensation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Acquisition-related liabilities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500"/>
              <w:spacing w:after="0"/>
              <w:rPr>
                <w:sz w:val="20"/>
                <w:szCs w:val="20"/>
                <w:color w:val="auto"/>
              </w:rPr>
            </w:pPr>
            <w:r>
              <w:rPr>
                <w:rFonts w:ascii="Arial" w:cs="Arial" w:eastAsia="Arial" w:hAnsi="Arial"/>
                <w:sz w:val="15"/>
                <w:szCs w:val="15"/>
                <w:color w:val="auto"/>
              </w:rPr>
              <w:t>Income taxes payable</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 accrued liabilities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6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63.5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103.2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(395.9)</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sales of investments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Purchases of property and equipment</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Purchase of intangible assets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(423.1)</w:t>
            </w:r>
          </w:p>
        </w:tc>
        <w:tc>
          <w:tcPr>
            <w:tcW w:w="0" w:type="dxa"/>
            <w:vAlign w:val="bottom"/>
          </w:tcPr>
          <w:p>
            <w:pPr>
              <w:spacing w:after="0"/>
              <w:rPr>
                <w:sz w:val="1"/>
                <w:szCs w:val="1"/>
                <w:color w:val="auto"/>
              </w:rPr>
            </w:pPr>
          </w:p>
        </w:tc>
      </w:tr>
      <w:tr>
        <w:trPr>
          <w:trHeight w:val="169"/>
        </w:trPr>
        <w:tc>
          <w:tcPr>
            <w:tcW w:w="66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Proceeds from issuance of convertible debt, net of issuance costs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Payment of debt</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(220.0)</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(77.3)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shares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Payment of debt issuance costs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(7.2)</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5"/>
                <w:szCs w:val="15"/>
                <w:color w:val="auto"/>
              </w:rPr>
              <w:t>Net cash provided by/(used in) financing activities</w:t>
            </w: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5"/>
                <w:szCs w:val="15"/>
                <w:color w:val="auto"/>
              </w:rPr>
              <w:t>Net decrease in cash and cash equivalents</w:t>
            </w:r>
          </w:p>
        </w:tc>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(18.0)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(115.6)</w:t>
            </w: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26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301.0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2280" w:type="dxa"/>
            <w:vAlign w:val="bottom"/>
            <w:gridSpan w:val="2"/>
          </w:tcPr>
          <w:p>
            <w:pPr>
              <w:jc w:val="right"/>
              <w:ind w:right="863"/>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283.0</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280" w:type="dxa"/>
            <w:vAlign w:val="bottom"/>
            <w:gridSpan w:val="2"/>
            <w:shd w:val="clear" w:color="auto" w:fill="CFF0FC"/>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Cash refund on taxes</w:t>
            </w:r>
          </w:p>
        </w:tc>
        <w:tc>
          <w:tcPr>
            <w:tcW w:w="2280" w:type="dxa"/>
            <w:vAlign w:val="bottom"/>
            <w:gridSpan w:val="2"/>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w:t>
            </w:r>
          </w:p>
        </w:tc>
        <w:tc>
          <w:tcPr>
            <w:tcW w:w="160" w:type="dxa"/>
            <w:vAlign w:val="bottom"/>
          </w:tcPr>
          <w:p>
            <w:pPr>
              <w:spacing w:after="0"/>
              <w:rPr>
                <w:sz w:val="15"/>
                <w:szCs w:val="15"/>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280" w:type="dxa"/>
            <w:vAlign w:val="bottom"/>
            <w:gridSpan w:val="2"/>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5"/>
                <w:szCs w:val="15"/>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FF0FC"/>
          </w:tcPr>
          <w:p>
            <w:pPr>
              <w:spacing w:after="0"/>
              <w:rPr>
                <w:sz w:val="20"/>
                <w:szCs w:val="20"/>
                <w:color w:val="auto"/>
              </w:rPr>
            </w:pPr>
            <w:r>
              <w:rPr>
                <w:rFonts w:ascii="Arial" w:cs="Arial" w:eastAsia="Arial" w:hAnsi="Arial"/>
                <w:sz w:val="15"/>
                <w:szCs w:val="15"/>
                <w:color w:val="auto"/>
              </w:rPr>
              <w:t>Common stock issued pursuant to acquisition</w:t>
            </w:r>
          </w:p>
        </w:tc>
        <w:tc>
          <w:tcPr>
            <w:tcW w:w="2280" w:type="dxa"/>
            <w:vAlign w:val="bottom"/>
            <w:gridSpan w:val="2"/>
            <w:shd w:val="clear" w:color="auto" w:fill="CFF0FC"/>
          </w:tcPr>
          <w:p>
            <w:pPr>
              <w:jc w:val="right"/>
              <w:ind w:right="863"/>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74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30, 2018.</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fiscal year is the 52- or 53-week period ending on the last Saturday in June. Our fiscal 2019 is a 52-week period ending June 29, 2019, and our fiscal 2018 was a 53-week period ending on June 30, 2018. The fiscal periods presented in this report are 13-week and 26-week periods for the three and six months ended December 29, 2018, respectively, and 13-week and 27-week periods for the three and six months ended December 30, 2017, respectively. For simplicity, the accompanying condensed consolidated financial statements have been shown as ending on calendar quarter end dates as of and for all periods presented, unless otherwise indicated.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operations and resulted in net losses of $0.2 million and $0.6 million in the three and six months ended December 31, 2018 and net losses of $0.2 million and $0.5 million in the three and six months ended December 31, 2017.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Policy</w:t>
      </w:r>
    </w:p>
    <w:p>
      <w:pPr>
        <w:spacing w:after="0" w:line="13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May 2014, the FASB issued an Accounting Standards Update, or ASU, on revenue from contracts with customers, ASU No. 2014-09, Revenue from Contracts with Customers, or the new revenue standard. The new revenue standard outlines a single comprehensive model for entities to use in accounting for revenue arising from contracts with customers.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80" w:firstLine="518"/>
        <w:spacing w:after="0" w:line="272" w:lineRule="auto"/>
        <w:rPr>
          <w:sz w:val="20"/>
          <w:szCs w:val="20"/>
          <w:color w:val="auto"/>
        </w:rPr>
      </w:pPr>
      <w:r>
        <w:rPr>
          <w:rFonts w:ascii="Arial" w:cs="Arial" w:eastAsia="Arial" w:hAnsi="Arial"/>
          <w:sz w:val="17"/>
          <w:szCs w:val="17"/>
          <w:color w:val="auto"/>
        </w:rPr>
        <w:t>We adopted the new revenue standard at the beginning of our fiscal 2019, using the modified retrospective method applied to all contracts not completed as of the adoption date. Results for reporting periods ending after our fiscal 2018 are presented under the new revenue standard, while prior reporting periods are not adjusted and continue to be reported in accordance with the previous revenue standard. Recognition of revenue has remained substantially unchanged under the new revenue standard as that under the previous revenue standard. Accordingly, there was no adjustment to the fiscal 2019 opening retained earnings. However, we reclassified certain amounts of incentive items to other accrued liabilities in our condensed consolidated balance sheet as of December 31, 2018, and presented them as part of customer obligations, from the contra accounts receivable due to the adoption of the new revenue standard. Such information is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Balance Sheets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1"/>
              </w:rPr>
              <w:t>As of December 31, 2018</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2"/>
              </w:rPr>
              <w:t>Pro forma as if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jc w:val="center"/>
              <w:ind w:right="350"/>
              <w:spacing w:after="0"/>
              <w:rPr>
                <w:sz w:val="20"/>
                <w:szCs w:val="20"/>
                <w:color w:val="auto"/>
              </w:rPr>
            </w:pPr>
            <w:r>
              <w:rPr>
                <w:rFonts w:ascii="Arial" w:cs="Arial" w:eastAsia="Arial" w:hAnsi="Arial"/>
                <w:sz w:val="18"/>
                <w:szCs w:val="18"/>
                <w:color w:val="auto"/>
                <w:w w:val="90"/>
              </w:rPr>
              <w:t>As reported under</w:t>
            </w: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previous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jc w:val="center"/>
              <w:ind w:right="350"/>
              <w:spacing w:after="0"/>
              <w:rPr>
                <w:sz w:val="20"/>
                <w:szCs w:val="20"/>
                <w:color w:val="auto"/>
              </w:rPr>
            </w:pPr>
            <w:r>
              <w:rPr>
                <w:rFonts w:ascii="Arial" w:cs="Arial" w:eastAsia="Arial" w:hAnsi="Arial"/>
                <w:sz w:val="18"/>
                <w:szCs w:val="18"/>
                <w:color w:val="auto"/>
                <w:w w:val="86"/>
              </w:rPr>
              <w:t>new standard</w:t>
            </w:r>
          </w:p>
        </w:tc>
        <w:tc>
          <w:tcPr>
            <w:tcW w:w="220" w:type="dxa"/>
            <w:vAlign w:val="bottom"/>
          </w:tcPr>
          <w:p>
            <w:pPr>
              <w:spacing w:after="0"/>
              <w:rPr>
                <w:sz w:val="20"/>
                <w:szCs w:val="20"/>
                <w:color w:val="auto"/>
              </w:rPr>
            </w:pPr>
          </w:p>
        </w:tc>
        <w:tc>
          <w:tcPr>
            <w:tcW w:w="2340" w:type="dxa"/>
            <w:vAlign w:val="bottom"/>
          </w:tcPr>
          <w:p>
            <w:pPr>
              <w:jc w:val="center"/>
              <w:ind w:right="31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was in effect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326.0</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(5.1)</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1,499.6</w:t>
            </w:r>
          </w:p>
        </w:tc>
        <w:tc>
          <w:tcPr>
            <w:tcW w:w="220" w:type="dxa"/>
            <w:vAlign w:val="bottom"/>
          </w:tcPr>
          <w:p>
            <w:pPr>
              <w:spacing w:after="0"/>
              <w:rPr>
                <w:sz w:val="19"/>
                <w:szCs w:val="19"/>
                <w:color w:val="auto"/>
              </w:rPr>
            </w:pP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91.9</w:t>
            </w:r>
          </w:p>
        </w:tc>
        <w:tc>
          <w:tcPr>
            <w:tcW w:w="220" w:type="dxa"/>
            <w:vAlign w:val="bottom"/>
          </w:tcPr>
          <w:p>
            <w:pPr>
              <w:spacing w:after="0"/>
              <w:rPr>
                <w:sz w:val="19"/>
                <w:szCs w:val="19"/>
                <w:color w:val="auto"/>
              </w:rPr>
            </w:pP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1,499.6</w:t>
            </w:r>
          </w:p>
        </w:tc>
        <w:tc>
          <w:tcPr>
            <w:tcW w:w="220" w:type="dxa"/>
            <w:vAlign w:val="bottom"/>
            <w:shd w:val="clear" w:color="auto" w:fill="CFF0FC"/>
          </w:tcPr>
          <w:p>
            <w:pPr>
              <w:spacing w:after="0"/>
              <w:rPr>
                <w:sz w:val="19"/>
                <w:szCs w:val="19"/>
                <w:color w:val="auto"/>
              </w:rPr>
            </w:pPr>
          </w:p>
        </w:tc>
        <w:tc>
          <w:tcPr>
            <w:tcW w:w="2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w w:val="95"/>
              </w:rPr>
              <w:t>Condensed Consolidated Statement of Cash Flows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4"/>
          </w:tcPr>
          <w:p>
            <w:pPr>
              <w:jc w:val="center"/>
              <w:ind w:left="1550"/>
              <w:spacing w:after="0"/>
              <w:rPr>
                <w:sz w:val="20"/>
                <w:szCs w:val="20"/>
                <w:color w:val="auto"/>
              </w:rPr>
            </w:pPr>
            <w:r>
              <w:rPr>
                <w:rFonts w:ascii="Arial" w:cs="Arial" w:eastAsia="Arial" w:hAnsi="Arial"/>
                <w:sz w:val="18"/>
                <w:szCs w:val="18"/>
                <w:color w:val="auto"/>
                <w:w w:val="90"/>
              </w:rPr>
              <w:t>Six Months Ended December 31, 2018</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2"/>
              </w:rPr>
              <w:t>Pro forma as if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jc w:val="center"/>
              <w:ind w:right="350"/>
              <w:spacing w:after="0"/>
              <w:rPr>
                <w:sz w:val="20"/>
                <w:szCs w:val="20"/>
                <w:color w:val="auto"/>
              </w:rPr>
            </w:pPr>
            <w:r>
              <w:rPr>
                <w:rFonts w:ascii="Arial" w:cs="Arial" w:eastAsia="Arial" w:hAnsi="Arial"/>
                <w:sz w:val="18"/>
                <w:szCs w:val="18"/>
                <w:color w:val="auto"/>
                <w:w w:val="90"/>
              </w:rPr>
              <w:t>As reported under</w:t>
            </w: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previous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jc w:val="center"/>
              <w:ind w:right="350"/>
              <w:spacing w:after="0"/>
              <w:rPr>
                <w:sz w:val="20"/>
                <w:szCs w:val="20"/>
                <w:color w:val="auto"/>
              </w:rPr>
            </w:pPr>
            <w:r>
              <w:rPr>
                <w:rFonts w:ascii="Arial" w:cs="Arial" w:eastAsia="Arial" w:hAnsi="Arial"/>
                <w:sz w:val="18"/>
                <w:szCs w:val="18"/>
                <w:color w:val="auto"/>
                <w:w w:val="86"/>
              </w:rPr>
              <w:t>new standard</w:t>
            </w:r>
          </w:p>
        </w:tc>
        <w:tc>
          <w:tcPr>
            <w:tcW w:w="220" w:type="dxa"/>
            <w:vAlign w:val="bottom"/>
          </w:tcPr>
          <w:p>
            <w:pPr>
              <w:spacing w:after="0"/>
              <w:rPr>
                <w:sz w:val="20"/>
                <w:szCs w:val="20"/>
                <w:color w:val="auto"/>
              </w:rPr>
            </w:pPr>
          </w:p>
        </w:tc>
        <w:tc>
          <w:tcPr>
            <w:tcW w:w="2340" w:type="dxa"/>
            <w:vAlign w:val="bottom"/>
          </w:tcPr>
          <w:p>
            <w:pPr>
              <w:jc w:val="center"/>
              <w:ind w:right="31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was in effect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2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20" w:firstLine="518"/>
        <w:spacing w:after="0" w:line="269" w:lineRule="auto"/>
        <w:rPr>
          <w:sz w:val="20"/>
          <w:szCs w:val="20"/>
          <w:color w:val="auto"/>
        </w:rPr>
      </w:pPr>
      <w:r>
        <w:rPr>
          <w:rFonts w:ascii="Arial" w:cs="Arial" w:eastAsia="Arial" w:hAnsi="Arial"/>
          <w:sz w:val="17"/>
          <w:szCs w:val="17"/>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in Note 7 Other Accrued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In limited circumstances we enter into volume 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8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upon completion of the performance obligation and subsequent invoicing and, therefore, do not include significant financing components. To date, there have been no material impairment losses on accounts receivable. There were no contract assets (i.e., unbilled accounts receivable, deferred commissions) recorded on the condensed consolidated balance sheets in the periods presented. Contract liabilities and refund liabilities were $6.4 million and $39.9 million, respectively, as of December 31, 2018 and $1.1 million and $31.6 million, respectively, as of the beginning of fiscal 2019. Both contract liabilities and refund liabilities are presented as part of customer obligations in Note 7 Other Accrued Liabilities. During the six months ended December 31, 2018, we recognized $0.3 million in revenue related to contract liabilities outstanding as of the beginning of fiscal 2019.</w:t>
      </w:r>
    </w:p>
    <w:p>
      <w:pPr>
        <w:spacing w:after="0" w:line="16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December 31, 2018, we did not have any remaining unsatisfied performance obligations with an original duration greater than one year. Accordingly, under the optional exception provided by ASC 606-10-50-14,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condensed consolidated statements of operations) are expensed when the product is shipped because such commissions are owed after shipment.</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8"/>
                <w:szCs w:val="18"/>
                <w:color w:val="auto"/>
              </w:rPr>
              <w:t>Six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gridSpan w:val="4"/>
          </w:tcPr>
          <w:p>
            <w:pPr>
              <w:jc w:val="right"/>
              <w:ind w:right="185"/>
              <w:spacing w:after="0"/>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color w:val="auto"/>
              </w:rPr>
              <w:t>December 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13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204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12.8</w:t>
            </w:r>
          </w:p>
        </w:tc>
        <w:tc>
          <w:tcPr>
            <w:tcW w:w="8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(82.4)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34.5</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34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35.1</w:t>
            </w:r>
          </w:p>
        </w:tc>
        <w:tc>
          <w:tcPr>
            <w:tcW w:w="2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204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0.37</w:t>
            </w:r>
          </w:p>
        </w:tc>
        <w:tc>
          <w:tcPr>
            <w:tcW w:w="8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(2.42)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0.48</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0.36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(2.42)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p>
      <w:pPr>
        <w:jc w:val="both"/>
        <w:ind w:right="20"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Dilutive net income per share amounts do not include the potential weighted average effect of 1,736,456 and 3,334,776 shares of common stock related to certain share-based awards that were outstanding during the three months ended December 31, 2018 and 2017, respectively, and 1,426,365 and 3,020,056 shares of common stock related to certain share-based awards that were outstanding during the six months ended December 31, 2018, and 2017, respectively. These share-based awards were not included in the computation of diluted net income per share because their effect would have been antidilutive.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Financial assets measured at fair value on a recurring basis by level within the fair value hierarchy, consisted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Level 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Auction rate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ind w:left="260"/>
              <w:spacing w:after="0"/>
              <w:rPr>
                <w:sz w:val="20"/>
                <w:szCs w:val="20"/>
                <w:color w:val="auto"/>
              </w:rPr>
            </w:pPr>
            <w:r>
              <w:rPr>
                <w:rFonts w:ascii="Arial" w:cs="Arial" w:eastAsia="Arial" w:hAnsi="Arial"/>
                <w:sz w:val="18"/>
                <w:szCs w:val="18"/>
                <w:color w:val="auto"/>
              </w:rPr>
              <w:t>Total available-for-sale securities</w:t>
            </w:r>
          </w:p>
        </w:tc>
        <w:tc>
          <w:tcPr>
            <w:tcW w:w="1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In our condensed consolidated balance sheets, as of December 31, 2018 and June 30, 2018, money market balances were included in cash and cash equivalents and as of June 30, 2018, auction rate securities, or ARS investments, were included in non-current other assets.</w:t>
      </w:r>
    </w:p>
    <w:p>
      <w:pPr>
        <w:spacing w:after="0" w:line="14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During the six months ended December 31, 2018 we converted our ARS investments to senior surplus notes, under an offering memorandum, which also included a receipt of a small amount of cash and warrants. We sold the senior surplus notes during the six months ended December 31, 2018, resulting in a gain of $2.8 million. There were no transfers in or out of our Level 1, 2, or 3 assets during the six months ended December 31, 2018 and 2017.</w:t>
      </w:r>
    </w:p>
    <w:p>
      <w:pPr>
        <w:spacing w:after="0" w:line="147" w:lineRule="exact"/>
        <w:rPr>
          <w:sz w:val="20"/>
          <w:szCs w:val="20"/>
          <w:color w:val="auto"/>
        </w:rPr>
      </w:pPr>
    </w:p>
    <w:p>
      <w:pPr>
        <w:jc w:val="both"/>
        <w:ind w:right="80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37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life, the gross carrying value and the related accumulated amortization of our acquired intangible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June 30, 2018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Weighted Average</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w w:val="99"/>
              </w:rPr>
              <w:t>December 31,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0"/>
              </w:rPr>
              <w:t>June 30, 2018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3"/>
              <w:spacing w:after="0" w:line="137" w:lineRule="exact"/>
              <w:rPr>
                <w:sz w:val="20"/>
                <w:szCs w:val="20"/>
                <w:color w:val="auto"/>
              </w:rPr>
            </w:pPr>
            <w:r>
              <w:rPr>
                <w:rFonts w:ascii="Arial" w:cs="Arial" w:eastAsia="Arial" w:hAnsi="Arial"/>
                <w:sz w:val="14"/>
                <w:szCs w:val="14"/>
                <w:color w:val="auto"/>
                <w:w w:val="93"/>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3"/>
              <w:spacing w:after="0" w:line="137" w:lineRule="exact"/>
              <w:rPr>
                <w:sz w:val="20"/>
                <w:szCs w:val="20"/>
                <w:color w:val="auto"/>
              </w:rPr>
            </w:pPr>
            <w:r>
              <w:rPr>
                <w:rFonts w:ascii="Arial" w:cs="Arial" w:eastAsia="Arial" w:hAnsi="Arial"/>
                <w:sz w:val="14"/>
                <w:szCs w:val="14"/>
                <w:color w:val="auto"/>
                <w:w w:val="96"/>
              </w:rPr>
              <w:t>Net Carrying</w:t>
            </w:r>
          </w:p>
        </w:tc>
        <w:tc>
          <w:tcPr>
            <w:tcW w:w="220" w:type="dxa"/>
            <w:vAlign w:val="bottom"/>
          </w:tcPr>
          <w:p>
            <w:pPr>
              <w:spacing w:after="0"/>
              <w:rPr>
                <w:sz w:val="11"/>
                <w:szCs w:val="11"/>
                <w:color w:val="auto"/>
              </w:rPr>
            </w:pPr>
          </w:p>
        </w:tc>
        <w:tc>
          <w:tcPr>
            <w:tcW w:w="1060" w:type="dxa"/>
            <w:vAlign w:val="bottom"/>
            <w:gridSpan w:val="2"/>
          </w:tcPr>
          <w:p>
            <w:pPr>
              <w:jc w:val="right"/>
              <w:ind w:right="12"/>
              <w:spacing w:after="0" w:line="137" w:lineRule="exact"/>
              <w:rPr>
                <w:sz w:val="20"/>
                <w:szCs w:val="20"/>
                <w:color w:val="auto"/>
              </w:rPr>
            </w:pPr>
            <w:r>
              <w:rPr>
                <w:rFonts w:ascii="Arial" w:cs="Arial" w:eastAsia="Arial" w:hAnsi="Arial"/>
                <w:sz w:val="14"/>
                <w:szCs w:val="14"/>
                <w:color w:val="auto"/>
                <w:w w:val="99"/>
              </w:rPr>
              <w:t>Gross 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93"/>
              <w:spacing w:after="0" w:line="137"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Audio and video</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440" w:type="dxa"/>
            <w:vAlign w:val="bottom"/>
          </w:tcPr>
          <w:p>
            <w:pPr>
              <w:ind w:left="6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Fingerprint authentication</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technology</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ind w:left="6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Tradename</w:t>
            </w:r>
          </w:p>
        </w:tc>
        <w:tc>
          <w:tcPr>
            <w:tcW w:w="1440" w:type="dxa"/>
            <w:vAlign w:val="bottom"/>
          </w:tcPr>
          <w:p>
            <w:pPr>
              <w:ind w:left="66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Backlog</w:t>
            </w:r>
          </w:p>
        </w:tc>
        <w:tc>
          <w:tcPr>
            <w:tcW w:w="1440" w:type="dxa"/>
            <w:vAlign w:val="bottom"/>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development</w:t>
            </w:r>
          </w:p>
        </w:tc>
        <w:tc>
          <w:tcPr>
            <w:tcW w:w="16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2"/>
              </w:rPr>
              <w:t>Not applicable</w:t>
            </w:r>
          </w:p>
        </w:tc>
        <w:tc>
          <w:tcPr>
            <w:tcW w:w="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260"/>
              <w:spacing w:after="0"/>
              <w:rPr>
                <w:sz w:val="20"/>
                <w:szCs w:val="20"/>
                <w:color w:val="auto"/>
              </w:rPr>
            </w:pPr>
            <w:r>
              <w:rPr>
                <w:rFonts w:ascii="Arial" w:cs="Arial" w:eastAsia="Arial" w:hAnsi="Arial"/>
                <w:sz w:val="18"/>
                <w:szCs w:val="18"/>
                <w:color w:val="auto"/>
              </w:rPr>
              <w:t>Acquired intangibles,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80"/>
              <w:spacing w:after="0"/>
              <w:rPr>
                <w:sz w:val="20"/>
                <w:szCs w:val="20"/>
                <w:color w:val="auto"/>
              </w:rPr>
            </w:pPr>
            <w:r>
              <w:rPr>
                <w:rFonts w:ascii="Arial" w:cs="Arial" w:eastAsia="Arial" w:hAnsi="Arial"/>
                <w:sz w:val="18"/>
                <w:szCs w:val="18"/>
                <w:color w:val="auto"/>
              </w:rPr>
              <w:t>gross</w:t>
            </w:r>
          </w:p>
        </w:tc>
        <w:tc>
          <w:tcPr>
            <w:tcW w:w="1440" w:type="dxa"/>
            <w:vAlign w:val="bottom"/>
          </w:tcPr>
          <w:p>
            <w:pPr>
              <w:ind w:left="6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181.2</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total amortization expense for the acquired intangible assets was $18.0 million and $23.2 million for the three months ended December 31, 2018 and 2017, respectively, and $38.0 million and $43.3 million for the six months ended December 31, 2018 and 2017, respectively. During the three months ended December 31, 2018 and 2017, $15.1 million and $20.3 million, respectively, and $32.1 million and $36.2 million for the six months ended December 31, 2018 and 2017, respectively, of amortization expense was included in our condensed consolidated statements of operations in cost of revenue; the remainder was included in acquired intangibles amortization.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December 31, 2018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 be determined</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were no changes in our goodwill balance for the six months ended December 31, 2018.</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Other Accrued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Customer obligations include $6.4 million of contract liabilities and $39.9 million of refund liabilities as of December 31, 2018, as defined under revenue recognition guidance of the new revenue standard (see Note 2 Revenue Recognition). We reclassified certain amounts of incentive items to other current liabilities in our condensed consolidated balance sheet as of December 31, 2018, and presented them as part of customer obligations, from the contra accounts receivable due to the adoption of the new revenue standard.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Indemnifications, </w:t>
      </w:r>
      <w:r>
        <w:rPr>
          <w:rFonts w:ascii="Arial" w:cs="Arial" w:eastAsia="Arial" w:hAnsi="Arial"/>
          <w:sz w:val="16"/>
          <w:szCs w:val="16"/>
          <w:b w:val="1"/>
          <w:bCs w:val="1"/>
          <w:color w:val="auto"/>
        </w:rPr>
        <w:t>Contingencies</w:t>
      </w:r>
      <w:r>
        <w:rPr>
          <w:rFonts w:ascii="Arial" w:cs="Arial" w:eastAsia="Arial" w:hAnsi="Arial"/>
          <w:sz w:val="18"/>
          <w:szCs w:val="18"/>
          <w:b w:val="1"/>
          <w:bCs w:val="1"/>
          <w:color w:val="auto"/>
        </w:rPr>
        <w:t xml:space="preserve">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Sensors, Inc., or Validity, to secure our rights under the Agreement and Plan of Reorganization between us and Validity (the “Validity Agreement”). In April 2017, we agreed to settle this case with Amkor on undisclosed terms that include each party licensing and assigning certain intellectual property rights, and cash payments. Settlement costs incurred in connection with this litigation were recorded in our condensed consolidated financial statements in fiscal 2017 and all but an immaterial amount was paid during our fiscal 2017. Pursuant to the Validity Agreement, we offset costs, damages and settlements incurred in connection with our defense and resolution of the complaint with Amkor against the contingent consideration earnout balance of $8.7 million as of June 30, 2018. In September 2018, we entered into a final order settling the indemnification claim against the former stockholders and option holders of Validity under which we retained $1.9 million of the earnout balance and paid the remainder of $6.8 million in October 2018.</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ind w:right="60" w:firstLine="518"/>
        <w:spacing w:after="0" w:line="257"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The contractual interest expense and amortization of discount on the Notes for the six months ended December 31, 2018,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Six Months Ended</w:t>
            </w:r>
          </w:p>
        </w:tc>
      </w:tr>
      <w:tr>
        <w:trPr>
          <w:trHeight w:val="230"/>
        </w:trPr>
        <w:tc>
          <w:tcPr>
            <w:tcW w:w="9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31,</w:t>
            </w:r>
          </w:p>
        </w:tc>
      </w:tr>
      <w:tr>
        <w:trPr>
          <w:trHeight w:val="223"/>
        </w:trPr>
        <w:tc>
          <w:tcPr>
            <w:tcW w:w="9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30"/>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December 31, 2018 were $6.6 million and $59.0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prior term loan arrangement and provides for a revolving credit facility in a principal amount of up to $200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80"/>
        <w:spacing w:after="0" w:line="257" w:lineRule="auto"/>
        <w:rPr>
          <w:sz w:val="20"/>
          <w:szCs w:val="20"/>
          <w:color w:val="auto"/>
        </w:rPr>
      </w:pPr>
      <w:r>
        <w:rPr>
          <w:rFonts w:ascii="Arial" w:cs="Arial" w:eastAsia="Arial" w:hAnsi="Arial"/>
          <w:sz w:val="18"/>
          <w:szCs w:val="18"/>
          <w:color w:val="auto"/>
        </w:rPr>
        <w:t>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December 31, 2018, there is no balance outstanding under the revolving credit facility.</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relating to the revolving credit facility will be amortized over 60 months.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15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quarter, we were in compliance with the restrictive covenants.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operations were as follows (in millions):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1760" w:type="dxa"/>
            <w:vAlign w:val="bottom"/>
            <w:gridSpan w:val="6"/>
          </w:tcPr>
          <w:p>
            <w:pPr>
              <w:jc w:val="right"/>
              <w:ind w:right="340"/>
              <w:spacing w:after="0"/>
              <w:rPr>
                <w:sz w:val="20"/>
                <w:szCs w:val="20"/>
                <w:color w:val="auto"/>
              </w:rPr>
            </w:pPr>
            <w:r>
              <w:rPr>
                <w:rFonts w:ascii="Arial" w:cs="Arial" w:eastAsia="Arial" w:hAnsi="Arial"/>
                <w:sz w:val="18"/>
                <w:szCs w:val="18"/>
                <w:color w:val="auto"/>
                <w:w w:val="95"/>
              </w:rPr>
              <w:t>Six Months Ended</w:t>
            </w:r>
          </w:p>
        </w:tc>
      </w:tr>
      <w:tr>
        <w:trPr>
          <w:trHeight w:val="230"/>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20"/>
                <w:szCs w:val="20"/>
                <w:color w:val="auto"/>
              </w:rPr>
            </w:pPr>
          </w:p>
        </w:tc>
        <w:tc>
          <w:tcPr>
            <w:tcW w:w="1760" w:type="dxa"/>
            <w:vAlign w:val="bottom"/>
            <w:gridSpan w:val="6"/>
          </w:tcPr>
          <w:p>
            <w:pPr>
              <w:jc w:val="right"/>
              <w:ind w:right="500"/>
              <w:spacing w:after="0"/>
              <w:rPr>
                <w:sz w:val="20"/>
                <w:szCs w:val="20"/>
                <w:color w:val="auto"/>
              </w:rPr>
            </w:pPr>
            <w:r>
              <w:rPr>
                <w:rFonts w:ascii="Arial" w:cs="Arial" w:eastAsia="Arial" w:hAnsi="Arial"/>
                <w:sz w:val="18"/>
                <w:szCs w:val="18"/>
                <w:color w:val="auto"/>
              </w:rPr>
              <w:t>December 31,</w:t>
            </w:r>
          </w:p>
        </w:tc>
      </w:tr>
      <w:tr>
        <w:trPr>
          <w:trHeight w:val="223"/>
        </w:trPr>
        <w:tc>
          <w:tcPr>
            <w:tcW w:w="40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2017</w:t>
            </w: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2018</w:t>
            </w:r>
          </w:p>
        </w:tc>
        <w:tc>
          <w:tcPr>
            <w:tcW w:w="10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r>
      <w:tr>
        <w:trPr>
          <w:trHeight w:val="263"/>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bottom w:val="single" w:sz="8" w:color="CFF0FC"/>
            </w:tcBorders>
          </w:tcPr>
          <w:p>
            <w:pPr>
              <w:spacing w:after="0"/>
              <w:rPr>
                <w:sz w:val="22"/>
                <w:szCs w:val="22"/>
                <w:color w:val="auto"/>
              </w:rPr>
            </w:pPr>
          </w:p>
        </w:tc>
      </w:tr>
      <w:tr>
        <w:trPr>
          <w:trHeight w:val="196"/>
        </w:trPr>
        <w:tc>
          <w:tcPr>
            <w:tcW w:w="4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Income tax expense/(benefit) on share-based</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Stock option activity, including stock options granted, exercised, and forfeited, weighted average exercise prices for stock options outstanding and exercisable, and the aggregate intrinsic value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(109,254)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(38,850)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1,470,105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58.96</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59.37</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December 28, 2018 of $37.14 and excludes the impact of stock options that were not in-the-money.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activity, including DSUs granted, delivered, and forfeited, and the balance and aggregate intrinsic value of DSUs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1,167,118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(640,672)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(177,706)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2,202,298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28, 2018 of $37.14.</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152,845 shares valued at $5.9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5" w:name="page16"/>
    <w:bookmarkEnd w:id="15"/>
    <w:p>
      <w:pPr>
        <w:jc w:val="both"/>
        <w:ind w:right="40" w:firstLine="518"/>
        <w:spacing w:after="0" w:line="264" w:lineRule="auto"/>
        <w:rPr>
          <w:sz w:val="20"/>
          <w:szCs w:val="20"/>
          <w:color w:val="auto"/>
        </w:rPr>
      </w:pPr>
      <w:r>
        <w:rPr>
          <w:rFonts w:ascii="Arial" w:cs="Arial" w:eastAsia="Arial" w:hAnsi="Arial"/>
          <w:sz w:val="18"/>
          <w:szCs w:val="18"/>
          <w:color w:val="auto"/>
        </w:rPr>
        <w:t>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During the six months ended December 31, 2018, MSU activity, including MSUs granted, delivered, and forfeited, and the balance and aggregate intrinsic value of MSUs as of December 31, 2018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Aggregate</w:t>
            </w:r>
          </w:p>
        </w:tc>
      </w:tr>
      <w:tr>
        <w:trPr>
          <w:trHeight w:val="230"/>
        </w:trPr>
        <w:tc>
          <w:tcPr>
            <w:tcW w:w="548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MSU</w:t>
            </w: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30"/>
        </w:trPr>
        <w:tc>
          <w:tcPr>
            <w:tcW w:w="548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30"/>
        </w:trPr>
        <w:tc>
          <w:tcPr>
            <w:tcW w:w="548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354,726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163,059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(46,663)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(92,202)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(14,981)</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363,939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December 28, 2018 of $37.14. Of the shares delivered, 33,981 shares valued at $1.3 million were withheld to meet statutory tax withholding requirements.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three-year performance and service period on a straight-line basis. The unrecognized share-based compensation cost of our outstanding MSUs was approximately $16.8 million as of December 31, 2018, which will be recognized over a weighted average period of approximately 1.4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 w:name="page17"/>
    <w:bookmarkEnd w:id="16"/>
    <w:p>
      <w:pPr>
        <w:ind w:right="20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During the six months ended December 31, 2018, PSU activity, including PSUs granted, delivered, and forfeited, and the balance and aggregate intrinsic value of PSUs as of December 31, 2018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294,541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147,005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(17,028)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28, 2018 of $37.14.</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$9.0 million as of December 31, 2018, which will be recognized over a weighted average period of approximately 1.2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six-month period ended December 31, 2018 were as follows (in millions, except for shares purchased and weighted average price):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520"/>
              <w:spacing w:after="0"/>
              <w:rPr>
                <w:sz w:val="20"/>
                <w:szCs w:val="20"/>
                <w:color w:val="auto"/>
              </w:rPr>
            </w:pPr>
            <w:r>
              <w:rPr>
                <w:rFonts w:ascii="Arial" w:cs="Arial" w:eastAsia="Arial" w:hAnsi="Arial"/>
                <w:sz w:val="18"/>
                <w:szCs w:val="18"/>
                <w:color w:val="auto"/>
              </w:rPr>
              <w:t>.</w:t>
            </w:r>
          </w:p>
        </w:tc>
        <w:tc>
          <w:tcPr>
            <w:tcW w:w="4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4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258,563</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31.60</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42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42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known as the Tax Cuts and Jobs Act of 2017, or the Act, which significantly reformed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foreign-sourced earnings. As our accounting and tax year is the fiscal period ending on the last Saturday in June, U.S. federal tax law requires that taxpayers with a fiscal year that spans the effective date of a tax rate change to calculate a blended tax rate based on the pro rata number of days in the fiscal year before and after the effective date. As a result, our U.S. federal tax rate for fiscal 2018 was a days-weighted blended tax rate of 28.17%. For fiscal 2019 and subsequent tax years, our U.S. federal tax rate is 21%.</w:t>
      </w:r>
    </w:p>
    <w:p>
      <w:pPr>
        <w:spacing w:after="0" w:line="19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In fiscal 2018, we recognized provisional tax expense of $41.4 million, related to the tax impact of the Act, of which an expense of $44.1 million relates to the one-time transition tax and a benefit of $2.7 million relates to remeasurement of deferred tax at the new tax rate. The one-time transition tax is based on our post-1986 foreign earnings and profits, or E&amp;P, which we previously excluded from U.S. income taxes as we considered such earnings to be indefinitely reinvested overseas. The one-time transition tax is applied at a 15.5% tax rate on cash assets and an 8% tax rate for other specified assets. We were able to utilize the research credit carryforward, resulting in a net one-time transition tax impact of $11.9 million on the income tax payable. As of December 31, 2018, based on additional analysis of technical guidance, we recognized a non-discrete tax expense of $1.4 million, which is included in the annual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effective tax rate, and a discrete benefit of $0.2 million, both of which relate to the limitation on the deduction of executive’s compensation.</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Staff Accounting Bulletin 118 allowed companies to record provisional amounts and recognize the effect of the tax law during a measurement period. The measurement period ended in the second quarter of our fiscal 2019. As of December 31, 2018, we have finalized our accounting for the tax impact of the Act. However, further technical guidance related to the Act, including final regulations on a broad range of topics, is expected to be issued and, as such, if our interpretation and final accounting are inconsistent with future regulations and guidance we will recognize the impact as a discrete item in the period that such guidance is issued.</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measurement of deferred taxes. We elected to treat GILTI as a period cost and recognize the impact in the period when it is incurred.</w:t>
      </w:r>
    </w:p>
    <w:p>
      <w:pPr>
        <w:spacing w:after="0" w:line="187" w:lineRule="exact"/>
        <w:rPr>
          <w:sz w:val="20"/>
          <w:szCs w:val="20"/>
          <w:color w:val="auto"/>
        </w:rPr>
      </w:pPr>
    </w:p>
    <w:p>
      <w:pPr>
        <w:ind w:firstLine="476"/>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The provision for income taxes of $7.5 million and $53.3 million for the three months ended December 31, 2018 and 2017, respectively, represented estimated federal, foreign, and state income taxes. The effective tax rate for the three months ended December 31, 2018 diverged from the combined U.S. federal and state statutory tax rate primarily because of foreign withholding taxes, nondeductible amortization, the impact of net shortfalls in share-based compensation deductions and GILTI, partially offset by the benefit of research credits, foreign tax credits, foreign-derived intangible income deduction, release of reserves related to uncertain tax positions and foreign income taxed at lower tax rates. The effective tax rate for the three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w:t>
      </w:r>
    </w:p>
    <w:p>
      <w:pPr>
        <w:spacing w:after="0" w:line="166"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provision for income taxes of $7.2 million and $56.5 million for the six months ended December 31, 2018, and 2017, respectively, represented estimated federal, foreign, and state income taxes. The effective tax rate for the six months ended December 31, 2018, diverged from the combined U.S. federal and state statutory tax rate primarily due to foreign withholding taxes, nondeductible amortization, the impact of net shortfalls in share-based compensation deductions, and GILTI, partially offset by the benefit of research credits, foreign tax credits, foreign-derived intangible income deduction, excess share-based compensation deductions, release of reserves related to uncertain tax positions and foreign income taxed at lower tax rates. The effective tax rate for the six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w:t>
      </w:r>
    </w:p>
    <w:p>
      <w:pPr>
        <w:spacing w:after="0" w:line="19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total liability for gross unrecognized tax benefits related to uncertain tax positions decreased $0.1 million during the six months ended December 31, 2018, to $24.7 million from $24.8 million at June 30, 2018,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31, 2018 were $2.3 million; this balance increased by $0.4 million compared to June 30, 2018. We classify interest and penalties as components of income tax expense. It is reasonably possible that the amount of the liability for unrecognized tax benefits may change within the next twelve months and an estimate of the range of possible changes include an increase in our liability of up to $4.4 million.</w:t>
      </w:r>
    </w:p>
    <w:p>
      <w:pPr>
        <w:spacing w:after="0" w:line="16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which found that the Treasury regulations addressing the treatment of stock-based compensation in a cost-sharing arrangement with a related party were invalid. In August 2018, the U.S. Ninth Circuit Court of Appeals withdrew its July 2018 opinion. The reconstituted panel has not issued an opinion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firstLine="518"/>
        <w:spacing w:after="0" w:line="297" w:lineRule="auto"/>
        <w:rPr>
          <w:sz w:val="20"/>
          <w:szCs w:val="20"/>
          <w:color w:val="auto"/>
        </w:rPr>
      </w:pPr>
      <w:r>
        <w:rPr>
          <w:rFonts w:ascii="Arial" w:cs="Arial" w:eastAsia="Arial" w:hAnsi="Arial"/>
          <w:sz w:val="16"/>
          <w:szCs w:val="16"/>
          <w:color w:val="auto"/>
        </w:rPr>
        <w:t>Our major tax jurisdictions are the United States, Hong Kong SAR, and Japan. From fiscal 2013 onward, we remain subject to examination by one or more of these jurisdictions. In August 2018, we received the revenue agent’s report resolving the fiscal 2014 and 2015 examination with the Internal Revenue Service with no material impact on our consolidated financial statements. Our case is pending review by the Joint Committee on Taxation, which we anticipate will conclude in June 2019.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Customers, and Geographic Information</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product market, or IoT.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3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57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8"/>
                <w:szCs w:val="18"/>
                <w:color w:val="auto"/>
                <w:w w:val="88"/>
              </w:rPr>
              <w:t>December 31,</w:t>
            </w:r>
          </w:p>
        </w:tc>
      </w:tr>
      <w:tr>
        <w:trPr>
          <w:trHeight w:val="223"/>
        </w:trPr>
        <w:tc>
          <w:tcPr>
            <w:tcW w:w="316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Japan</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r>
      <w:tr>
        <w:trPr>
          <w:trHeight w:val="230"/>
        </w:trPr>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FF0FC"/>
            </w:tcBorders>
          </w:tcPr>
          <w:p>
            <w:pPr>
              <w:spacing w:after="0"/>
              <w:rPr>
                <w:sz w:val="19"/>
                <w:szCs w:val="19"/>
                <w:color w:val="auto"/>
              </w:rPr>
            </w:pPr>
          </w:p>
        </w:tc>
      </w:tr>
      <w:tr>
        <w:trPr>
          <w:trHeight w:val="223"/>
        </w:trPr>
        <w:tc>
          <w:tcPr>
            <w:tcW w:w="316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7"/>
          </w:tcPr>
          <w:p>
            <w:pPr>
              <w:ind w:left="280"/>
              <w:spacing w:after="0"/>
              <w:rPr>
                <w:sz w:val="20"/>
                <w:szCs w:val="20"/>
                <w:color w:val="auto"/>
              </w:rPr>
            </w:pPr>
            <w:r>
              <w:rPr>
                <w:rFonts w:ascii="Arial" w:cs="Arial" w:eastAsia="Arial" w:hAnsi="Arial"/>
                <w:sz w:val="18"/>
                <w:szCs w:val="18"/>
                <w:color w:val="auto"/>
              </w:rPr>
              <w:t>Six Months Ended</w:t>
            </w:r>
          </w:p>
        </w:tc>
      </w:tr>
      <w:tr>
        <w:trPr>
          <w:trHeight w:val="230"/>
        </w:trPr>
        <w:tc>
          <w:tcPr>
            <w:tcW w:w="3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57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7"/>
          </w:tcPr>
          <w:p>
            <w:pPr>
              <w:ind w:left="440"/>
              <w:spacing w:after="0"/>
              <w:rPr>
                <w:sz w:val="20"/>
                <w:szCs w:val="20"/>
                <w:color w:val="auto"/>
              </w:rPr>
            </w:pPr>
            <w:r>
              <w:rPr>
                <w:rFonts w:ascii="Arial" w:cs="Arial" w:eastAsia="Arial" w:hAnsi="Arial"/>
                <w:sz w:val="18"/>
                <w:szCs w:val="18"/>
                <w:color w:val="auto"/>
              </w:rPr>
              <w:t>December 31,</w:t>
            </w:r>
          </w:p>
        </w:tc>
      </w:tr>
      <w:tr>
        <w:trPr>
          <w:trHeight w:val="223"/>
        </w:trPr>
        <w:tc>
          <w:tcPr>
            <w:tcW w:w="368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8"/>
              </w:rPr>
              <w:t>537.1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88"/>
              </w:rPr>
              <w:t>132.5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8"/>
              </w:rPr>
              <w:t>173.5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843.1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320" w:type="dxa"/>
            <w:vAlign w:val="bottom"/>
          </w:tcPr>
          <w:p>
            <w:pPr>
              <w:spacing w:after="0"/>
              <w:rPr>
                <w:sz w:val="20"/>
                <w:szCs w:val="20"/>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December 31,</w:t>
            </w:r>
          </w:p>
        </w:tc>
        <w:tc>
          <w:tcPr>
            <w:tcW w:w="244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December 31,</w:t>
            </w:r>
          </w:p>
        </w:tc>
      </w:tr>
      <w:tr>
        <w:trPr>
          <w:trHeight w:val="223"/>
        </w:trPr>
        <w:tc>
          <w:tcPr>
            <w:tcW w:w="53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Borders>
              <w:top w:val="single" w:sz="8" w:color="auto"/>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Borders>
              <w:top w:val="single" w:sz="8" w:color="auto"/>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Customer B</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Customer D</w:t>
            </w: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9" w:name="page20"/>
    <w:bookmarkEnd w:id="19"/>
    <w:p>
      <w:pPr>
        <w:ind w:right="68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rPr>
              <w:t>December 31,</w:t>
            </w:r>
          </w:p>
        </w:tc>
        <w:tc>
          <w:tcPr>
            <w:tcW w:w="1740" w:type="dxa"/>
            <w:vAlign w:val="bottom"/>
            <w:gridSpan w:val="2"/>
          </w:tcPr>
          <w:p>
            <w:pPr>
              <w:ind w:left="500"/>
              <w:spacing w:after="0"/>
              <w:rPr>
                <w:sz w:val="20"/>
                <w:szCs w:val="20"/>
                <w:color w:val="auto"/>
              </w:rPr>
            </w:pPr>
            <w:r>
              <w:rPr>
                <w:rFonts w:ascii="Arial" w:cs="Arial" w:eastAsia="Arial" w:hAnsi="Arial"/>
                <w:sz w:val="18"/>
                <w:szCs w:val="18"/>
                <w:color w:val="auto"/>
              </w:rPr>
              <w:t>June 30,</w:t>
            </w:r>
          </w:p>
        </w:tc>
      </w:tr>
      <w:tr>
        <w:trPr>
          <w:trHeight w:val="230"/>
        </w:trPr>
        <w:tc>
          <w:tcPr>
            <w:tcW w:w="580" w:type="dxa"/>
            <w:vAlign w:val="bottom"/>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498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4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22%</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FF0FC"/>
          </w:tcPr>
          <w:p>
            <w:pPr>
              <w:spacing w:after="0"/>
              <w:rPr>
                <w:sz w:val="19"/>
                <w:szCs w:val="19"/>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Income/(Loss)</w:t>
      </w:r>
    </w:p>
    <w:p>
      <w:pPr>
        <w:spacing w:after="0" w:line="121"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Our comprehensive income/(loss) generally consists of net income/(loss) plus the effect of unrealized gains and losses on our investments, primarily due to temporary changes in market value of certain of our ARS investments. In addition, we recognize the noncredit portion of other-than-temporary impairment on debt securities in other comprehensive income/(loss). We recognize foreign currency remeasurement adjustments and foreign currency transaction gains and losses in our condensed consolidated statements of operations as the U.S. dollar is the functional currency of our foreign entities.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Activities</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November 2017, we committed to and initiated a restructuring action intended to streamline and reduce our operating cost structure and capitalize on acquisition synergies. These costs primarily related to severance costs for a reduction in headcount, facility consolidation and related costs. In April 2018, we committed to and initiated a restructuring to close a research and development facility. These costs included employee severance and related benefits and facility closure charges. Restructuring costs related to the November 2017 and April 2018 restructuring activities were recorded to the restructuring costs line item within our condensed consolidated statements of operations and are complete as of December 31, 2018.</w:t>
      </w:r>
    </w:p>
    <w:p>
      <w:pPr>
        <w:spacing w:after="0" w:line="158"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restructuring liability activities for these fiscal 2018 initiated activities during the six months ended December 31, 2018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Employee Severance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Facility Consolidation</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p>
        </w:tc>
        <w:tc>
          <w:tcPr>
            <w:tcW w:w="1880" w:type="dxa"/>
            <w:vAlign w:val="bottom"/>
          </w:tcPr>
          <w:p>
            <w:pPr>
              <w:jc w:val="right"/>
              <w:ind w:right="257"/>
              <w:spacing w:after="0"/>
              <w:rPr>
                <w:sz w:val="20"/>
                <w:szCs w:val="20"/>
                <w:color w:val="auto"/>
              </w:rPr>
            </w:pPr>
            <w:r>
              <w:rPr>
                <w:rFonts w:ascii="Arial" w:cs="Arial" w:eastAsia="Arial" w:hAnsi="Arial"/>
                <w:sz w:val="18"/>
                <w:szCs w:val="18"/>
                <w:color w:val="auto"/>
              </w:rPr>
              <w:t>and Benefits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and Related Charges</w:t>
            </w:r>
          </w:p>
        </w:tc>
        <w:tc>
          <w:tcPr>
            <w:tcW w:w="500" w:type="dxa"/>
            <w:vAlign w:val="bottom"/>
          </w:tcPr>
          <w:p>
            <w:pPr>
              <w:spacing w:after="0"/>
              <w:rPr>
                <w:sz w:val="20"/>
                <w:szCs w:val="20"/>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880" w:type="dxa"/>
            <w:vAlign w:val="bottom"/>
            <w:tcBorders>
              <w:top w:val="single" w:sz="8" w:color="auto"/>
            </w:tcBorders>
            <w:shd w:val="clear" w:color="auto" w:fill="CFF0FC"/>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Accruals</w:t>
            </w:r>
          </w:p>
        </w:tc>
        <w:tc>
          <w:tcPr>
            <w:tcW w:w="1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1880" w:type="dxa"/>
            <w:vAlign w:val="bottom"/>
            <w:tcBorders>
              <w:top w:val="single" w:sz="8" w:color="auto"/>
              <w:bottom w:val="single" w:sz="8" w:color="auto"/>
            </w:tcBorders>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80" w:firstLine="518"/>
        <w:spacing w:after="0" w:line="312" w:lineRule="auto"/>
        <w:rPr>
          <w:sz w:val="20"/>
          <w:szCs w:val="20"/>
          <w:color w:val="auto"/>
        </w:rPr>
      </w:pPr>
      <w:r>
        <w:rPr>
          <w:rFonts w:ascii="Arial" w:cs="Arial" w:eastAsia="Arial" w:hAnsi="Arial"/>
          <w:sz w:val="16"/>
          <w:szCs w:val="16"/>
          <w:color w:val="auto"/>
        </w:rPr>
        <w:t>In August 2018, we committed to and initiated a restructuring of our mobile fingerprint optical business. These costs primarily related to severance costs for a reduction in headcount and related costs. Restructuring costs related to the fiscal 2019 restructuring activities were recorded to the restructuring costs line item within our condensed consolidated statements of operations. These activities are complete as of December 31, 2018.</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restructuring liability activities for the fiscal 2019 initiated activity during the six months ended December 31, 2018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20" w:type="dxa"/>
            <w:vAlign w:val="bottom"/>
            <w:gridSpan w:val="2"/>
          </w:tcPr>
          <w:p>
            <w:pPr>
              <w:jc w:val="right"/>
              <w:ind w:right="1340"/>
              <w:spacing w:after="0"/>
              <w:rPr>
                <w:sz w:val="20"/>
                <w:szCs w:val="20"/>
                <w:color w:val="auto"/>
              </w:rPr>
            </w:pPr>
            <w:r>
              <w:rPr>
                <w:rFonts w:ascii="Arial" w:cs="Arial" w:eastAsia="Arial" w:hAnsi="Arial"/>
                <w:sz w:val="18"/>
                <w:szCs w:val="18"/>
                <w:color w:val="auto"/>
              </w:rPr>
              <w:t>Employee Severance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2"/>
          </w:tcPr>
          <w:p>
            <w:pPr>
              <w:jc w:val="right"/>
              <w:ind w:right="1640"/>
              <w:spacing w:after="0"/>
              <w:rPr>
                <w:sz w:val="20"/>
                <w:szCs w:val="20"/>
                <w:color w:val="auto"/>
              </w:rPr>
            </w:pPr>
            <w:r>
              <w:rPr>
                <w:rFonts w:ascii="Arial" w:cs="Arial" w:eastAsia="Arial" w:hAnsi="Arial"/>
                <w:sz w:val="18"/>
                <w:szCs w:val="18"/>
                <w:color w:val="auto"/>
              </w:rPr>
              <w:t>and Benefits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33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3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Cash payments</w:t>
            </w:r>
          </w:p>
        </w:tc>
        <w:tc>
          <w:tcPr>
            <w:tcW w:w="3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3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320" w:type="dxa"/>
            <w:vAlign w:val="bottom"/>
            <w:vMerge w:val="restart"/>
          </w:tcPr>
          <w:p>
            <w:pPr>
              <w:jc w:val="right"/>
              <w:ind w:right="1470"/>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20" w:name="page21"/>
    <w:bookmarkEnd w:id="20"/>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right="20" w:firstLine="518"/>
        <w:spacing w:after="0" w:line="268" w:lineRule="auto"/>
        <w:rPr>
          <w:sz w:val="20"/>
          <w:szCs w:val="20"/>
          <w:color w:val="auto"/>
        </w:rPr>
      </w:pPr>
      <w:r>
        <w:rPr>
          <w:rFonts w:ascii="Arial" w:cs="Arial" w:eastAsia="Arial" w:hAnsi="Arial"/>
          <w:sz w:val="17"/>
          <w:szCs w:val="17"/>
          <w:color w:val="auto"/>
        </w:rPr>
        <w:t>This Quarterly Report on Form 10-Q for the quarter ended December 31, 2018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30, 2018,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and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Denmark,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both"/>
        <w:ind w:right="400" w:firstLine="518"/>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our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Interest and other expense, net, primarily reflects interest expense on our convertible notes as well as the amortization of debt issuance costs and discount on our convertible notes, partially offset by impairment recovery on investments.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six months ended December 31, 2018, compared with our critical accounting policies and estimates disclosed in Management’s Discussion and Analysis of Financial Condition and Results of Operations included in our Annual Report on Form 10-K for the fiscal year ended June 30, 2018, with the exception to the critical accounting policy on revenue recognition. We adopted the Accounting Standards Update on revenue from contracts with customers at the beginning of our fiscal 2019 (see Note 2 Revenue Recognition to the condensed consolidated financial statements contained elsewhere in this Report).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operations for the periods indicated, together with comparative absolute and percentage changes in these amounts, were as follows (in millions,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9"/>
          </w:tcPr>
          <w:p>
            <w:pPr>
              <w:jc w:val="right"/>
              <w:ind w:right="599"/>
              <w:spacing w:after="0"/>
              <w:rPr>
                <w:sz w:val="20"/>
                <w:szCs w:val="20"/>
                <w:color w:val="auto"/>
              </w:rPr>
            </w:pPr>
            <w:r>
              <w:rPr>
                <w:rFonts w:ascii="Arial" w:cs="Arial" w:eastAsia="Arial" w:hAnsi="Arial"/>
                <w:sz w:val="16"/>
                <w:szCs w:val="16"/>
                <w:b w:val="1"/>
                <w:bCs w:val="1"/>
                <w:color w:val="auto"/>
              </w:rPr>
              <w:t>Three Months Ended December 31,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0"/>
              </w:rPr>
              <w:t>Six Months Ended December 31,</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2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line="240" w:lineRule="exact"/>
              <w:rPr>
                <w:sz w:val="20"/>
                <w:szCs w:val="20"/>
                <w:color w:val="auto"/>
              </w:rPr>
            </w:pPr>
            <w:r>
              <w:rPr>
                <w:rFonts w:ascii="Arial" w:cs="Arial" w:eastAsia="Arial" w:hAnsi="Arial"/>
                <w:sz w:val="16"/>
                <w:szCs w:val="16"/>
                <w:b w:val="1"/>
                <w:bCs w:val="1"/>
                <w:color w:val="auto"/>
                <w:w w:val="83"/>
              </w:rPr>
              <w:t xml:space="preserve">2018 </w:t>
            </w:r>
            <w:r>
              <w:rPr>
                <w:rFonts w:ascii="Arial" w:cs="Arial" w:eastAsia="Arial" w:hAnsi="Arial"/>
                <w:sz w:val="27"/>
                <w:szCs w:val="27"/>
                <w:b w:val="1"/>
                <w:bCs w:val="1"/>
                <w:color w:val="auto"/>
                <w:w w:val="83"/>
                <w:vertAlign w:val="superscript"/>
              </w:rPr>
              <w:t>(1)</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9"/>
              <w:spacing w:after="0" w:line="240" w:lineRule="exact"/>
              <w:rPr>
                <w:sz w:val="20"/>
                <w:szCs w:val="20"/>
                <w:color w:val="auto"/>
              </w:rPr>
            </w:pPr>
            <w:r>
              <w:rPr>
                <w:rFonts w:ascii="Arial" w:cs="Arial" w:eastAsia="Arial" w:hAnsi="Arial"/>
                <w:sz w:val="16"/>
                <w:szCs w:val="16"/>
                <w:b w:val="1"/>
                <w:bCs w:val="1"/>
                <w:color w:val="auto"/>
                <w:w w:val="83"/>
              </w:rPr>
              <w:t>2017</w:t>
            </w:r>
            <w:r>
              <w:rPr>
                <w:rFonts w:ascii="Arial" w:cs="Arial" w:eastAsia="Arial" w:hAnsi="Arial"/>
                <w:sz w:val="27"/>
                <w:szCs w:val="27"/>
                <w:b w:val="1"/>
                <w:bCs w:val="1"/>
                <w:color w:val="auto"/>
                <w:w w:val="83"/>
                <w:vertAlign w:val="superscript"/>
              </w:rPr>
              <w:t>(1)</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 Change</w:t>
            </w:r>
          </w:p>
        </w:tc>
        <w:tc>
          <w:tcPr>
            <w:tcW w:w="22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line="240" w:lineRule="exact"/>
              <w:rPr>
                <w:sz w:val="20"/>
                <w:szCs w:val="20"/>
                <w:color w:val="auto"/>
              </w:rPr>
            </w:pPr>
            <w:r>
              <w:rPr>
                <w:rFonts w:ascii="Arial" w:cs="Arial" w:eastAsia="Arial" w:hAnsi="Arial"/>
                <w:sz w:val="16"/>
                <w:szCs w:val="16"/>
                <w:b w:val="1"/>
                <w:bCs w:val="1"/>
                <w:color w:val="auto"/>
                <w:w w:val="83"/>
              </w:rPr>
              <w:t xml:space="preserve">2018 </w:t>
            </w:r>
            <w:r>
              <w:rPr>
                <w:rFonts w:ascii="Arial" w:cs="Arial" w:eastAsia="Arial" w:hAnsi="Arial"/>
                <w:sz w:val="27"/>
                <w:szCs w:val="27"/>
                <w:color w:val="auto"/>
                <w:w w:val="83"/>
                <w:vertAlign w:val="superscript"/>
              </w:rPr>
              <w:t>(1)</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9"/>
              <w:spacing w:after="0" w:line="240" w:lineRule="exact"/>
              <w:rPr>
                <w:sz w:val="20"/>
                <w:szCs w:val="20"/>
                <w:color w:val="auto"/>
              </w:rPr>
            </w:pPr>
            <w:r>
              <w:rPr>
                <w:rFonts w:ascii="Arial" w:cs="Arial" w:eastAsia="Arial" w:hAnsi="Arial"/>
                <w:sz w:val="16"/>
                <w:szCs w:val="16"/>
                <w:b w:val="1"/>
                <w:bCs w:val="1"/>
                <w:color w:val="auto"/>
                <w:w w:val="86"/>
              </w:rPr>
              <w:t>2017</w:t>
            </w:r>
            <w:r>
              <w:rPr>
                <w:rFonts w:ascii="Arial" w:cs="Arial" w:eastAsia="Arial" w:hAnsi="Arial"/>
                <w:sz w:val="27"/>
                <w:szCs w:val="27"/>
                <w:b w:val="1"/>
                <w:bCs w:val="1"/>
                <w:color w:val="auto"/>
                <w:w w:val="86"/>
                <w:vertAlign w:val="superscript"/>
              </w:rPr>
              <w:t>(1)</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 Change</w:t>
            </w:r>
          </w:p>
        </w:tc>
        <w:tc>
          <w:tcPr>
            <w:tcW w:w="20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w:t>
            </w:r>
          </w:p>
        </w:tc>
        <w:tc>
          <w:tcPr>
            <w:tcW w:w="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line="20" w:lineRule="exact"/>
              <w:rPr>
                <w:sz w:val="1"/>
                <w:szCs w:val="1"/>
                <w:color w:val="auto"/>
              </w:rPr>
            </w:pPr>
          </w:p>
        </w:tc>
      </w:tr>
      <w:tr>
        <w:trPr>
          <w:trHeight w:val="207"/>
        </w:trPr>
        <w:tc>
          <w:tcPr>
            <w:tcW w:w="3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290.7</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229.6</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w:t>
            </w:r>
          </w:p>
        </w:tc>
        <w:tc>
          <w:tcPr>
            <w:tcW w:w="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320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3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w:t>
            </w:r>
          </w:p>
        </w:tc>
        <w:tc>
          <w:tcPr>
            <w:tcW w:w="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3"/>
        </w:trPr>
        <w:tc>
          <w:tcPr>
            <w:tcW w:w="320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9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175.3%</w:t>
            </w:r>
          </w:p>
        </w:tc>
        <w:tc>
          <w:tcPr>
            <w:tcW w:w="0" w:type="dxa"/>
            <w:vAlign w:val="bottom"/>
          </w:tcPr>
          <w:p>
            <w:pPr>
              <w:spacing w:after="0" w:line="20" w:lineRule="exact"/>
              <w:rPr>
                <w:sz w:val="1"/>
                <w:szCs w:val="1"/>
                <w:color w:val="auto"/>
              </w:rPr>
            </w:pPr>
          </w:p>
        </w:tc>
      </w:tr>
      <w:tr>
        <w:trPr>
          <w:trHeight w:val="213"/>
        </w:trPr>
        <w:tc>
          <w:tcPr>
            <w:tcW w:w="32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2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color w:val="auto"/>
              </w:rPr>
              <w:t>Interest and other expense, net</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line="20" w:lineRule="exact"/>
              <w:rPr>
                <w:sz w:val="1"/>
                <w:szCs w:val="1"/>
                <w:color w:val="auto"/>
              </w:rPr>
            </w:pPr>
          </w:p>
        </w:tc>
      </w:tr>
      <w:tr>
        <w:trPr>
          <w:trHeight w:val="207"/>
        </w:trPr>
        <w:tc>
          <w:tcPr>
            <w:tcW w:w="3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w w:val="99"/>
              </w:rPr>
              <w:t>Income/(loss) before provision for income</w:t>
            </w: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(87.3%)</w:t>
            </w:r>
          </w:p>
        </w:tc>
        <w:tc>
          <w:tcPr>
            <w:tcW w:w="0" w:type="dxa"/>
            <w:vAlign w:val="bottom"/>
          </w:tcPr>
          <w:p>
            <w:pPr>
              <w:spacing w:after="0" w:line="20" w:lineRule="exact"/>
              <w:rPr>
                <w:sz w:val="1"/>
                <w:szCs w:val="1"/>
                <w:color w:val="auto"/>
              </w:rPr>
            </w:pPr>
          </w:p>
        </w:tc>
      </w:tr>
      <w:tr>
        <w:trPr>
          <w:trHeight w:val="207"/>
        </w:trPr>
        <w:tc>
          <w:tcPr>
            <w:tcW w:w="3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(45.8)</w:t>
            </w: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(49.3)</w:t>
            </w:r>
          </w:p>
        </w:tc>
        <w:tc>
          <w:tcPr>
            <w:tcW w:w="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line="20" w:lineRule="exact"/>
              <w:rPr>
                <w:sz w:val="1"/>
                <w:szCs w:val="1"/>
                <w:color w:val="auto"/>
              </w:rPr>
            </w:pPr>
          </w:p>
        </w:tc>
      </w:tr>
      <w:tr>
        <w:trPr>
          <w:trHeight w:val="207"/>
        </w:trPr>
        <w:tc>
          <w:tcPr>
            <w:tcW w:w="3200" w:type="dxa"/>
            <w:vAlign w:val="bottom"/>
            <w:vMerge w:val="continue"/>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95.2</w:t>
            </w:r>
          </w:p>
        </w:tc>
        <w:tc>
          <w:tcPr>
            <w:tcW w:w="2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115.5% $</w:t>
            </w:r>
          </w:p>
        </w:tc>
        <w:tc>
          <w:tcPr>
            <w:tcW w:w="660" w:type="dxa"/>
            <w:vAlign w:val="bottom"/>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(108.9)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0"/>
          <w:szCs w:val="20"/>
          <w:color w:val="auto"/>
        </w:rPr>
      </w:pPr>
    </w:p>
    <w:p>
      <w:pPr>
        <w:ind w:left="1040" w:right="140" w:hanging="519"/>
        <w:spacing w:after="0" w:line="291" w:lineRule="auto"/>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our acquisition of Conexant Systems, LLC, completed on July 25, 2017, or the Conexant Acquisition, and from our acquisition of the multimedia solutions business of Marvell, completed on September 8, 2017, or the Marvell Business Acquisition.</w:t>
      </w:r>
    </w:p>
    <w:p>
      <w:pPr>
        <w:spacing w:after="0" w:line="14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operations presented here as a percentage of net revenue for the periods indicated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Percentage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Point</w:t>
            </w:r>
          </w:p>
        </w:tc>
        <w:tc>
          <w:tcPr>
            <w:tcW w:w="236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Six Months Ended</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Point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Increase/</w:t>
            </w:r>
          </w:p>
        </w:tc>
        <w:tc>
          <w:tcPr>
            <w:tcW w:w="236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99"/>
              <w:spacing w:after="0" w:line="216" w:lineRule="exact"/>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25"/>
                <w:szCs w:val="25"/>
                <w:b w:val="1"/>
                <w:bCs w:val="1"/>
                <w:color w:val="auto"/>
                <w:vertAlign w:val="superscript"/>
              </w:rPr>
              <w:t>(1)</w:t>
            </w:r>
          </w:p>
        </w:tc>
        <w:tc>
          <w:tcPr>
            <w:tcW w:w="30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9"/>
              <w:spacing w:after="0" w:line="216" w:lineRule="exact"/>
              <w:rPr>
                <w:sz w:val="20"/>
                <w:szCs w:val="20"/>
                <w:color w:val="auto"/>
              </w:rPr>
            </w:pPr>
            <w:r>
              <w:rPr>
                <w:rFonts w:ascii="Arial" w:cs="Arial" w:eastAsia="Arial" w:hAnsi="Arial"/>
                <w:sz w:val="15"/>
                <w:szCs w:val="15"/>
                <w:b w:val="1"/>
                <w:bCs w:val="1"/>
                <w:color w:val="auto"/>
              </w:rPr>
              <w:t>2017</w:t>
            </w:r>
            <w:r>
              <w:rPr>
                <w:rFonts w:ascii="Arial" w:cs="Arial" w:eastAsia="Arial" w:hAnsi="Arial"/>
                <w:sz w:val="25"/>
                <w:szCs w:val="25"/>
                <w:b w:val="1"/>
                <w:bCs w:val="1"/>
                <w:color w:val="auto"/>
                <w:vertAlign w:val="superscript"/>
              </w:rPr>
              <w:t>(1)</w:t>
            </w: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300" w:type="dxa"/>
            <w:vAlign w:val="bottom"/>
            <w:tcBorders>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9"/>
              <w:spacing w:after="0" w:line="216" w:lineRule="exact"/>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25"/>
                <w:szCs w:val="25"/>
                <w:color w:val="auto"/>
                <w:vertAlign w:val="superscript"/>
              </w:rPr>
              <w:t>(1)</w:t>
            </w:r>
          </w:p>
        </w:tc>
        <w:tc>
          <w:tcPr>
            <w:tcW w:w="32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9"/>
              <w:spacing w:after="0" w:line="216" w:lineRule="exact"/>
              <w:rPr>
                <w:sz w:val="20"/>
                <w:szCs w:val="20"/>
                <w:color w:val="auto"/>
              </w:rPr>
            </w:pPr>
            <w:r>
              <w:rPr>
                <w:rFonts w:ascii="Arial" w:cs="Arial" w:eastAsia="Arial" w:hAnsi="Arial"/>
                <w:sz w:val="15"/>
                <w:szCs w:val="15"/>
                <w:b w:val="1"/>
                <w:bCs w:val="1"/>
                <w:color w:val="auto"/>
              </w:rPr>
              <w:t>2017</w:t>
            </w:r>
            <w:r>
              <w:rPr>
                <w:rFonts w:ascii="Arial" w:cs="Arial" w:eastAsia="Arial" w:hAnsi="Arial"/>
                <w:sz w:val="25"/>
                <w:szCs w:val="25"/>
                <w:b w:val="1"/>
                <w:bCs w:val="1"/>
                <w:color w:val="auto"/>
                <w:vertAlign w:val="superscript"/>
              </w:rPr>
              <w:t>(1)</w:t>
            </w: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64.5%</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60.8%</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63.7%</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65.4%</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14.3%</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0.7%</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15.7%</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24.9%</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20.6%</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19.6%</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0.0%</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8.4%</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35.2%</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26.8%</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34.5%</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27.1%</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19.8%</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21.4%</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20.7%</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21.1%</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8.4%</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8.7%</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9.2%</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0.8%</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442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11.5%</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(5.6%)</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6"/>
                <w:szCs w:val="16"/>
                <w:color w:val="auto"/>
              </w:rPr>
              <w:t>Interest and other expense, net</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11.6%</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line="20" w:lineRule="exact"/>
              <w:rPr>
                <w:sz w:val="1"/>
                <w:szCs w:val="1"/>
                <w:color w:val="auto"/>
              </w:rPr>
            </w:pPr>
          </w:p>
        </w:tc>
      </w:tr>
      <w:tr>
        <w:trPr>
          <w:trHeight w:val="213"/>
        </w:trPr>
        <w:tc>
          <w:tcPr>
            <w:tcW w:w="44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w:t>
            </w:r>
          </w:p>
        </w:tc>
        <w:tc>
          <w:tcPr>
            <w:tcW w:w="1200" w:type="dxa"/>
            <w:vAlign w:val="bottom"/>
            <w:gridSpan w:val="2"/>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w:t>
            </w: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12.4%</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(10.6%)</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22.1%</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line="20" w:lineRule="exact"/>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1200" w:type="dxa"/>
            <w:vAlign w:val="bottom"/>
            <w:gridSpan w:val="2"/>
            <w:vMerge w:val="continue"/>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0"/>
          <w:szCs w:val="20"/>
          <w:color w:val="auto"/>
        </w:rPr>
      </w:pPr>
    </w:p>
    <w:p>
      <w:pPr>
        <w:ind w:left="1040" w:right="20" w:hanging="519"/>
        <w:spacing w:after="0" w:line="255"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Net revenue was $425.5 million for the three months ended December 31, 2018 compared with $430.4 million for the three months ended December 31, 2017, a decrease of $4.9 million, or 1.1%. Of this net revenue, $274.4 million, or 64.5%, was from Mobile product applications, $87.2 million, or 20.5%, was from IoT product applications, and $63.9 million, or 15.0%, was from PC product applications. The decrease in net revenue for the three months ended December 31, 2018 was primarily attributable to a decrease in IoT product applications, partially offset by an increase in net revenue from Mobile product applications and PC product applications. Net revenue from IoT product applications decreased as a result of lower average selling prices for IoT product applications (which decreased 17.2%) as well as a decline in units sold (which decreased 1.5%). Net revenue from Mobile product applications increased as a result of higher average selling prices for Mobile product applications (which increased 24.8%), partially offset by a decline in units sold (which decreased 16.0%). Net revenue from PC product applications increased due to higher average selling prices for PC product applications (which increased 22.0%), partially offset by a decline in units sold (which decreased 15.1%).</w:t>
      </w:r>
    </w:p>
    <w:p>
      <w:pPr>
        <w:spacing w:after="0" w:line="74"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Net revenue was $843.1 million for the six months ended December 31, 2018 compared with $847.8 million for the six months ended December 31, 2017, a decrease of $4.7 million, or 0.6%. Of this net revenue, $537.1 million, or 63.7%,was from Mobile product applications, $173.5 million, or 20.6%, was from IoT product applications, and $132.5 million, or 15.7%, was from PC product applications. The decrease in net revenue for the six months ended December 31, 2018, was attributable to a decrease in net revenue from Mobile product applications, partially offset by an increase in IoT product applications and PC product applications. Net revenue from Mobile product applications decreased as a result of a decline in units sold (which decreased 20.7%), partially offset by higher average selling prices for mobile product applications (which increased 22.2%). Net revenue from IoT product applications increased primarily as a result of an increase in units sold (which increased 15.1%), partially offset by lower average selling prices (which decreased 9.3%). Net revenue from PC product applications increased as a result of higher average selling prices (which increased 18.3%), partially offset by a decline in units sold (which decreased 11.8%).</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Gross margin as a percentage of net revenue was 35.2%, or $149.8 million, for the three months ended December 31, 2018, compared with 26.8%, or $115.2 million, for the three months ended December 31, 2017. Gross margin as a percentage of net revenue was 34.5%, or $290.7, for the six months ended December 31, 2018, compared with 27.1%, or $229.6 for the six months ended December 31, 2017. The 840 basis point increase and the 740 basis point increase in gross margin for the three and six months ended December 31, 2018, respectively, was primarily due to a reduction of inventory fair value adjustments recorded in the three and six months ended December 31, 2017 of $18.2 million and $ 33.9 million, respectively, associated with two acquisitions and a favorable mix, including IoT product applications which have higher gross margins. There were no inventory fair value adjustments recorded in the three and six months ended December 31, 2018.</w:t>
      </w:r>
    </w:p>
    <w:p>
      <w:pPr>
        <w:spacing w:after="0" w:line="18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decreased $8.0 million to $84.2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compared with the three months ended December 31, 2017. The decrease in research and development expenses primarily reflected a $4.9 million decrease in personnel-related costs which is a result of a decrease in average headcount for the three months ended December 31, 2018 as compared to the three months ended December 31, 2017, as a result of our restructuring activities to reduce operating costs; a $1.7 million decrease in supplies and project specific costs; and a $1.1 million decrease in facilities and infrastructure related costs.</w:t>
      </w:r>
    </w:p>
    <w:p>
      <w:pPr>
        <w:spacing w:after="0" w:line="5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Research and development expenses decreased $5.0 million to $174.3 million for the six months ended December 31, 2018, compared with the six months ended December 31, 2017. The decrease in research and development expenses primarily reflected a $4.9 million decrease in personnel-related costs which is a result of a decrease in average headcount for the six months ended December 31, 2018 as compared to the six months ended December 31, 2017, as a result of our restructuring activities to reduce operating costs; a $4.1 million decrease in supplies and project specific costs; a $1.0 million decrease in facilities and infrastructure related costs; partially offset by a $5.3 increase in software licensing and intellectual property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right="80" w:firstLine="518"/>
        <w:spacing w:after="0" w:line="279"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decreased $1.8 million to $35.6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December 31, 2018, compared with the three months ended December 31, 2017. The decrease in selling, general, and administrative expenses primarily reflected a $2.8 million decrease in personnel-related costs, which is due to a reduction in headcount as a result of our recent restructuring activities to reduce operating costs; partially offset by a $0.7 million write-off of an acquisition-based receivable.</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Selling, general, and administrative expenses decreased $8.3 million to $69.4 million for the six months ended December 31, 2018, compared with the six months ended December 31, 2017. The decrease in selling, general, and administrative expenses primarily reflected a $6.5 million decrease in personnel-related costs, which is primarily due to a reduction in headcount as a result of our restructuring activities to reduce operating costs; a $1.6 million, net, reversal of an accrual for payroll deposit penalties, which were previously accrued and have been reversed due to the completion of a payroll tax audit; and a $1.3 million reduction in professional fees; partially offset by a $0.7 million write-off of an indemnity receivable from a prior acquisition which will not be pursued.</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acquired intangibles amortization, see Note 6 Acquired Intangibles and Goodwill included in the condensed consolidated financial statements contained elsewhere in this Report.</w:t>
      </w:r>
    </w:p>
    <w:p>
      <w:pPr>
        <w:spacing w:after="0" w:line="181" w:lineRule="exact"/>
        <w:rPr>
          <w:sz w:val="20"/>
          <w:szCs w:val="20"/>
          <w:color w:val="auto"/>
        </w:rPr>
      </w:pPr>
    </w:p>
    <w:p>
      <w:pPr>
        <w:ind w:right="680" w:firstLine="518"/>
        <w:spacing w:after="0" w:line="312" w:lineRule="auto"/>
        <w:rPr>
          <w:sz w:val="20"/>
          <w:szCs w:val="20"/>
          <w:color w:val="auto"/>
        </w:rPr>
      </w:pPr>
      <w:r>
        <w:rPr>
          <w:rFonts w:ascii="Arial" w:cs="Arial" w:eastAsia="Arial" w:hAnsi="Arial"/>
          <w:sz w:val="16"/>
          <w:szCs w:val="16"/>
          <w:i w:val="1"/>
          <w:iCs w:val="1"/>
          <w:color w:val="auto"/>
        </w:rPr>
        <w:t xml:space="preserve">Restructuring costs. </w:t>
      </w:r>
      <w:r>
        <w:rPr>
          <w:rFonts w:ascii="Arial" w:cs="Arial" w:eastAsia="Arial" w:hAnsi="Arial"/>
          <w:sz w:val="16"/>
          <w:szCs w:val="16"/>
          <w:color w:val="auto"/>
        </w:rPr>
        <w:t>Restructuring costs of $10.4 million in the six months ended December 31, 2018 primarily reflect severance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of our operations to reduce ongoing operating costs which commenced in the first quarter of fiscal 2019. The restructuring activities are complete as of December 31, 2018. See Note 14 to the condensed consolidated financial statements contained elsewhere in this Report.</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the amortization of debt discount and issuance costs,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our debt. The $4.5 million decrease in interest and other expense, net to$6.2 million for the six months ended December 31, 2018 as compared to the six months ended December 31, 2017, is primarily due to a $2.8 million impairment recovery on investments as well as a $1.0 million reduction of amortization of debt issuance costs in the six months ended December 31, 2018 for a term loan which was paid down and closed in the prior fiscal year. See Liquidity and Capital Resources included in the next section of this Report.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known as the Tax Cuts and Jobs Act of 2017, or the Act, which significantly reformed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foreign-sourced earnings. As our accounting and tax year is the fiscal period ending on the last Saturday in June, U.S. federal tax law requires that taxpayers with a fiscal year that spans the effective date of a tax rate change to calculate a blended tax rate based on the pro rata number of days in the fiscal year before and after the effective date. As a result, our U.S. federal tax rate for fiscal 2018 was a days-weighted blended tax rate of 28.17%. For fiscal 2019 and subsequent tax years, our U.S. federal tax rate is 21%.</w:t>
      </w:r>
    </w:p>
    <w:p>
      <w:pPr>
        <w:spacing w:after="0" w:line="192"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In fiscal 2018, we recognized provisional tax expense of $41.4 million, related to the tax impact of the Act, of which an expense of $44.1 million relates to the one-time transition tax and a benefit of $2.7 million relates to remeasurement of deferred tax at the new tax rate. The one-time transition tax is based on our post-1986 foreign earnings and profits, or E&amp;P, which we previously excluded from U.S. income taxes as we considered such earnings to be indefinitely reinvested overseas. The one-time transition tax is applied at a 15.5% tax rate on cash assets and an 8% tax rate for other specified assets. We were able to utilize the research credit carryforward, resulting in a net one-time transition tax impact of $11.9 million on the income tax payable. As of December 31, 2018, based on additional analysis of technical guidance, we recognized a non-discrete tax expense of $1.4 million, which is included in the annual effective tax rate, and a discrete benefit of $0.2 million, both of which relate to the limitation on the deduction of executive’s compensation.</w:t>
      </w:r>
    </w:p>
    <w:p>
      <w:pPr>
        <w:spacing w:after="0" w:line="167"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Staff Accounting Bulletin 118 allowed companies to record provisional amounts and recognize the effect of the tax law during a measurement period. The measurement period ended in the second quarter of our fiscal 2019. As of December 31, 2018, we have finalized our accounting for the tax impact of the Act. However, further technical guidance related to the Act, including final regulations on a broad range of topics, is expected to be issued and, as such, if our interpretation and final accounting are inconsistent with future regulations and guidance we will recognize the impact as a discrete item in the period that such guidance is issued.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100" w:firstLine="518"/>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measurement of deferred taxes. We elected to treat GILTI as a period cost and recognize the impact in the period when it is incurred.</w:t>
      </w:r>
    </w:p>
    <w:p>
      <w:pPr>
        <w:spacing w:after="0" w:line="187" w:lineRule="exact"/>
        <w:rPr>
          <w:sz w:val="20"/>
          <w:szCs w:val="20"/>
          <w:color w:val="auto"/>
        </w:rPr>
      </w:pPr>
    </w:p>
    <w:p>
      <w:pPr>
        <w:ind w:firstLine="476"/>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The provision for income taxes of $7.5 million and $53.3 million for the three months ended December 31, 2018 and 2017, respectively, represented estimated federal, foreign, and state income taxes. The effective tax rate for the three months ended December 31, 2018 diverged from the combined U.S. federal and state statutory tax rate primarily because of foreign withholding taxes, nondeductible amortization, the impact of net shortfalls in share-based compensation deductions and GILTI, partially offset by the benefit of research credits, foreign tax credits, foreign-derived intangible income deduction, release of reserves related to uncertain tax positions and foreign income taxed at lower tax rates. The effective tax rate for the three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w:t>
      </w:r>
    </w:p>
    <w:p>
      <w:pPr>
        <w:spacing w:after="0" w:line="166"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provision for income taxes of $7.2 million and $56.5 million for the six months ended December 31, 2018, and 2017, respectively, represented estimated federal, foreign, and state income taxes. The effective tax rate for the six months ended December 31, 2018, diverged from the combined U.S. federal and state statutory tax rate primarily due to foreign withholding taxes, nondeductible amortization, the impact of net shortfalls in share-based compensation deductions, and GILTI, partially offset by the benefit of research credits, foreign tax credits, foreign-derived intangible income deduction, excess share-based compensation deductions, release of reserves related to uncertain tax positions and foreign income taxed at lower tax rates. The effective tax rate for the six months ended December 31, 2017, diverged from the combined U.S. federal and state statutory tax rate, primarily because of the impact of the one-time transition tax on E&amp;P, the impact of the reduction in the U.S. federal tax rate on our net deferred tax assets, foreign withholding taxes, nondeductible amortization, the impact of accounting for qualified stock options, and foreign income taxed at higher tax rates, partially offset by benefits from research credits.</w:t>
      </w:r>
    </w:p>
    <w:p>
      <w:pPr>
        <w:spacing w:after="0" w:line="19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which found that the Treasury regulations addressing the treatment of stock-based compensation in a cost-sharing arrangement with a related party were invalid. In August 2018, the U.S. Ninth Circuit Court of Appeals withdrew its July 2018 opinion. The reconstituted panel has not issued an opinion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Our cash and cash equivalents were $283.0 million as of December 31, 2018, compared with $301.0 million as of June 30, 2018, a decrease of $18.0 million. The decrease primarily reflected the combination of $77.3 million used to repurchase 1,850,000 shares of our common stock; $11.2 million used for the purchase of property and equipment; partially offset by $63.5 million of net cash provided by operating activities. At this time, we consider earnings of our foreign subsidiaries indefinitely invested overseas and have made no provision for income or withholding taxes, other than the one-time transition tax described above under “Management’s Discussion and Analysis of Financial Condition and Results of Operations—Provision for Income Taxes,” that may result from a future repatriation of those earnings. As of December 31, 2018, $235.1 million of cash and cash equivalents was held by our foreign subsidiaries. If these funds are needed for our operations in the United States, we may be required to accrue and pay certain state and foreign taxes to repatriate these funds.</w:t>
      </w:r>
    </w:p>
    <w:p>
      <w:pPr>
        <w:spacing w:after="0" w:line="19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activities during the six months ended December 31, 2018 generated $63.5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$103.2 million net cash generated during the six months ended December 31, 2017. For the six months ended December 31, 2018, the primary operating activities were adjustments for non-cash charges of $90.9 million, partially offset by a net change in operating assets and liabilities of $44.0 million. The net change in operating assets and liabilities was primarily attributable to a $31.7 million increase in accounts receivable, a $17.0 million increase in prepaid expenses and other current assets, a $14.5 million increase in inventories, and a $6.8 million reduction in acquisition related obligations, partially offset by a $19.5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40"/>
        <w:spacing w:after="0" w:line="288" w:lineRule="auto"/>
        <w:rPr>
          <w:sz w:val="20"/>
          <w:szCs w:val="20"/>
          <w:color w:val="auto"/>
        </w:rPr>
      </w:pPr>
      <w:r>
        <w:rPr>
          <w:rFonts w:ascii="Arial" w:cs="Arial" w:eastAsia="Arial" w:hAnsi="Arial"/>
          <w:sz w:val="16"/>
          <w:szCs w:val="16"/>
          <w:color w:val="auto"/>
        </w:rPr>
        <w:t>increase in accounts payable, and a $6.5 million increase in other accrued liabilities. From June 30, 2018 to December 31, 2018, our days sales outstanding increased from 67 days to 69 days due to a larger percentage of the quarter’s net revenue occurring late in the December 31, 2018 quarter compared with a smaller percentage of the quarter’s net revenue occurring late in the June 30, 2018 quarter. Our annual inventory turns remained at seven. For the six months ended December 31, 2017, the primary operating activities were adjustments for non-cash charges of $131.1 million, an $81.0 million net change in operating assets and liabilities, partially offset by net loss of $108.9 million. The net change in operating assets and liabilities was primarily attributable to a $70.1 million increase in inventory; a $30.0 million increase in accounts receivable, net; an $18.4 million increase in prepaid expenses and other current assets, a $7.6 million increase in income taxes payable; partially offset by a $27.6 million decrease in accounts payable; a $6.6 million decrease in other accrued liabilities and $5.4 million decrease in accrued compensation. From June 30, 2017 to December 31, 2017, our days sales outstanding decreased from 54 days to 49 days. Our annual inventory turns decreased from nine to eight due to the additional inventory acquired in recent acquisitions, including the fair value adjustment recorded as part of the purchase accounting for such acquisitions.</w:t>
      </w:r>
    </w:p>
    <w:p>
      <w:pPr>
        <w:spacing w:after="0" w:line="16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six months ended December 31, 2018 consisted of $11.2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partially offset by $2.8 million of proceeds from sales of investments. Cash used in investing activities during the six months ended December 31, 2017 consisted of $395.9 million used for the acquisition of businesses, $19.5 million for the purchase of property and equipment, and $7.7 million for the purchase of intangible assets.</w:t>
      </w:r>
    </w:p>
    <w:p>
      <w:pPr>
        <w:spacing w:after="0" w:line="18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used in financing activities for the six months ended December 31, 2018 was $73.1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$204.4 million provided by financing activities for the six months ended December 31, 2017. Net cash used in financing activities for the six months ended December 31, 2018 was primarily related to $77.3 million used to repurchase 1,850,000 shares of our common stock. Net cash provided by financing activities for the six months ended December 31, 2017 primarily related to $514.5 million of proceeds from issuance of convertible debt, partially offset by $220.0 million used for the payment of debt, and $93.6 million used to repurchase 1,698,400 shares of our common stock.</w:t>
      </w:r>
    </w:p>
    <w:p>
      <w:pPr>
        <w:spacing w:after="0" w:line="15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December 31, 2018, our board has cumulatively authorized $1.3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Common stock purchased under this program is held as treasury stock. From April 2005 through December 31, 2018, we purchased 29,489,876 shares of our common stock in the open market for an aggregate cost of $1.2 billion. Treasury shares purchased prior to August 28, 2008 were not subject to the stock split on that date. During the six months ended December 31, 2018, we repurchased 1,850,000 shares of our common stock for a total cost of $77.3 million. As of December 31, 2018, the remaining available authorization under our common stock repurchase program is $148.8 million.</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shares of our common stock, retire our outstanding bank debt, and provide additional cash resources to fund the Conexant Acquisition and Marvell Business Acquisition.</w:t>
      </w:r>
    </w:p>
    <w:p>
      <w:pPr>
        <w:spacing w:after="0" w:line="179"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4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0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We have a $200.0 million revolving credit facility, which includes a $20 million sublimit for letters of credit and a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sublimit for swingline loans. Under the terms of the revolving credit facility, or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December 31, 2018, there was no balance outstanding under the revolving credit facility.</w:t>
      </w:r>
    </w:p>
    <w:p>
      <w:pPr>
        <w:spacing w:after="0" w:line="173"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are amortizing over 60 months.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15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i w:val="1"/>
          <w:iCs w:val="1"/>
          <w:color w:val="auto"/>
        </w:rPr>
        <w:t xml:space="preserve">$100 Million Shelf Registration. </w:t>
      </w:r>
      <w:r>
        <w:rPr>
          <w:rFonts w:ascii="Arial" w:cs="Arial" w:eastAsia="Arial" w:hAnsi="Arial"/>
          <w:sz w:val="18"/>
          <w:szCs w:val="18"/>
          <w:color w:val="auto"/>
        </w:rPr>
        <w:t>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Rule 145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right="180"/>
        <w:spacing w:after="0" w:line="277" w:lineRule="auto"/>
        <w:rPr>
          <w:sz w:val="20"/>
          <w:szCs w:val="20"/>
          <w:color w:val="auto"/>
        </w:rPr>
      </w:pPr>
      <w:r>
        <w:rPr>
          <w:rFonts w:ascii="Arial" w:cs="Arial" w:eastAsia="Arial" w:hAnsi="Arial"/>
          <w:sz w:val="18"/>
          <w:szCs w:val="18"/>
          <w:color w:val="auto"/>
        </w:rPr>
        <w:t>Securities Act unless held by an affiliate of the acquired company, in which case such shares will be subject to the volume and manner of sale restrictions of Rule 144 of the Securities Act.</w:t>
      </w:r>
    </w:p>
    <w:p>
      <w:pPr>
        <w:spacing w:after="0" w:line="170"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We believe our existing cash and cash equivalents, anticipated cash flows from operating activities, and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under our revolving credit facility will be sufficient to meet our working capital and other cash requirements for at least the next 12 months,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introductions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December 31, 2018 were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Remaining</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in Fiscal</w:t>
            </w:r>
          </w:p>
        </w:tc>
        <w:tc>
          <w:tcPr>
            <w:tcW w:w="12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Fiscal</w:t>
            </w:r>
          </w:p>
        </w:tc>
        <w:tc>
          <w:tcPr>
            <w:tcW w:w="1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Fiscal</w:t>
            </w:r>
          </w:p>
        </w:tc>
        <w:tc>
          <w:tcPr>
            <w:tcW w:w="1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Year 2019</w:t>
            </w: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6"/>
              </w:rPr>
              <w:t>Year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 2021</w:t>
            </w: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 2022</w:t>
            </w: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Year 2023</w:t>
            </w: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6"/>
              </w:rPr>
              <w:t>Year 2024</w:t>
            </w:r>
          </w:p>
        </w:tc>
        <w:tc>
          <w:tcPr>
            <w:tcW w:w="2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1"/>
              </w:rPr>
              <w:t>Thereafter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Total</w:t>
            </w:r>
          </w:p>
        </w:tc>
      </w:tr>
      <w:tr>
        <w:trPr>
          <w:trHeight w:val="223"/>
        </w:trPr>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r>
      <w:tr>
        <w:trPr>
          <w:trHeight w:val="215"/>
        </w:trPr>
        <w:tc>
          <w:tcPr>
            <w:tcW w:w="2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FF0FC"/>
          </w:tcPr>
          <w:p>
            <w:pPr>
              <w:spacing w:after="0"/>
              <w:rPr>
                <w:sz w:val="20"/>
                <w:szCs w:val="20"/>
                <w:color w:val="auto"/>
              </w:rPr>
            </w:pPr>
          </w:p>
        </w:tc>
      </w:tr>
      <w:tr>
        <w:trPr>
          <w:trHeight w:val="230"/>
        </w:trPr>
        <w:tc>
          <w:tcPr>
            <w:tcW w:w="2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CFF0FC"/>
            </w:tcBorders>
          </w:tcPr>
          <w:p>
            <w:pPr>
              <w:spacing w:after="0"/>
              <w:rPr>
                <w:sz w:val="19"/>
                <w:szCs w:val="19"/>
                <w:color w:val="auto"/>
              </w:rPr>
            </w:pPr>
          </w:p>
        </w:tc>
      </w:tr>
      <w:tr>
        <w:trPr>
          <w:trHeight w:val="223"/>
        </w:trPr>
        <w:tc>
          <w:tcPr>
            <w:tcW w:w="25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right="38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tax amount for the transition tax liability associated with our deemed repatriation of accumulated foreign earnings as a result of the enactment of the Act into law on December 22, 2017.</w:t>
      </w:r>
    </w:p>
    <w:p>
      <w:pPr>
        <w:spacing w:after="0" w:line="170"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$22.4 million. As of December 31, 2018, we were unable to make a reasonably reliable estimate of when cash settlement with a taxing authority may occur in connection with our gross unrecognized tax benefit.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February 2016, the Financial Accounting Standards Board issued an Accounting Standard Update on Leases. This update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currently evaluating the potential impact of adoption of this ASU on our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As of December 31, 2018, our market risk related to interest rates on our cash and cash equivalents, and foreign currency exchange risks has not changed materially from the risks disclosed in Item 7A of our Annual Report on Form 10-K for the fiscal year ended June 30,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Rate Risk</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As of December 31, 2018, there is no balance outstanding under our revolving credit facility. 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the Chief Executive Officer, or CEO, and the Chief Financial Officer, or CFO, as appropriate, to allow timely decisions regarding required disclosure.</w:t>
      </w:r>
    </w:p>
    <w:p>
      <w:pPr>
        <w:spacing w:after="0" w:line="17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CEO and CFO, we evaluated the effectiveness of the design and operation of our disclosure controls and procedures as of the end of the period covered by this Report. Based on this evaluation, our CEO and CFO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December 31, 2018 that have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 For further information regarding current legal proceedings, see Note 8 Indemnifications, Contingencies and Legal Proceedings to the condensed consolidated financial statements contained elsewhere in this Report.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252525"/>
        </w:rPr>
        <w:t>There are no material changes to the Company’s risk factors set forth in Part I, Item 1A, “Risk Factors,” of our Annual Report on Form 10-K for the fiscal year ended June 30, 2018.</w:t>
      </w:r>
    </w:p>
    <w:p>
      <w:pPr>
        <w:spacing w:after="0" w:line="35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right="300" w:firstLine="518"/>
        <w:spacing w:after="0" w:line="312" w:lineRule="auto"/>
        <w:rPr>
          <w:sz w:val="20"/>
          <w:szCs w:val="20"/>
          <w:color w:val="auto"/>
        </w:rPr>
      </w:pPr>
      <w:r>
        <w:rPr>
          <w:rFonts w:ascii="Arial" w:cs="Arial" w:eastAsia="Arial" w:hAnsi="Arial"/>
          <w:sz w:val="16"/>
          <w:szCs w:val="16"/>
          <w:color w:val="auto"/>
        </w:rPr>
        <w:t>As announced on July 24, 2017, our Board of Directors has cumulatively authorized $1.3 billion for our common stock repurchase program, which expires at the end of July 2019. As of December 31, 2018, the remaining amount authorized for the repurchase of our common stock is $148.8 million. Repurchases under our common stock repurchase program during the three-month period ended December 29, 2018,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Value of Shares</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that May Be</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Price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Paid</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 the Future</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Under the</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3"/>
              </w:rPr>
              <w:t>Share</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w:t>
            </w: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30, 2018 - October 27, 2018</w:t>
            </w:r>
          </w:p>
        </w:tc>
        <w:tc>
          <w:tcPr>
            <w:tcW w:w="1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387,546</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40.53</w:t>
            </w:r>
          </w:p>
        </w:tc>
        <w:tc>
          <w:tcPr>
            <w:tcW w:w="2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387,546</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171,037,424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October 28, 2018 - November 24, 2018</w:t>
            </w:r>
          </w:p>
        </w:tc>
        <w:tc>
          <w:tcPr>
            <w:tcW w:w="1500" w:type="dxa"/>
            <w:vAlign w:val="bottom"/>
          </w:tcPr>
          <w:p>
            <w:pPr>
              <w:jc w:val="right"/>
              <w:spacing w:after="0"/>
              <w:rPr>
                <w:sz w:val="20"/>
                <w:szCs w:val="20"/>
                <w:color w:val="auto"/>
              </w:rPr>
            </w:pPr>
            <w:r>
              <w:rPr>
                <w:rFonts w:ascii="Arial" w:cs="Arial" w:eastAsia="Arial" w:hAnsi="Arial"/>
                <w:sz w:val="18"/>
                <w:szCs w:val="18"/>
                <w:color w:val="auto"/>
              </w:rPr>
              <w:t>158,040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158,040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165,384,941</w:t>
            </w:r>
          </w:p>
        </w:tc>
        <w:tc>
          <w:tcPr>
            <w:tcW w:w="100" w:type="dxa"/>
            <w:vAlign w:val="bottom"/>
          </w:tcPr>
          <w:p>
            <w:pPr>
              <w:spacing w:after="0"/>
              <w:rPr>
                <w:sz w:val="19"/>
                <w:szCs w:val="19"/>
                <w:color w:val="auto"/>
              </w:rPr>
            </w:pP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25, 2018 - December 29, 2018</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441,960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441,960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148,792,320</w:t>
            </w:r>
          </w:p>
        </w:tc>
        <w:tc>
          <w:tcPr>
            <w:tcW w:w="100" w:type="dxa"/>
            <w:vAlign w:val="bottom"/>
            <w:shd w:val="clear" w:color="auto" w:fill="CFF0FC"/>
          </w:tcPr>
          <w:p>
            <w:pPr>
              <w:spacing w:after="0"/>
              <w:rPr>
                <w:sz w:val="19"/>
                <w:szCs w:val="19"/>
                <w:color w:val="auto"/>
              </w:rPr>
            </w:pPr>
          </w:p>
        </w:tc>
      </w:tr>
      <w:tr>
        <w:trPr>
          <w:trHeight w:val="223"/>
        </w:trPr>
        <w:tc>
          <w:tcPr>
            <w:tcW w:w="44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450"/>
              <w:spacing w:after="0"/>
              <w:rPr>
                <w:sz w:val="20"/>
                <w:szCs w:val="20"/>
                <w:color w:val="auto"/>
              </w:rPr>
            </w:pPr>
            <w:r>
              <w:rPr>
                <w:rFonts w:ascii="Arial" w:cs="Arial" w:eastAsia="Arial" w:hAnsi="Arial"/>
                <w:sz w:val="18"/>
                <w:szCs w:val="18"/>
                <w:color w:val="auto"/>
                <w:w w:val="91"/>
              </w:rPr>
              <w:t>10.24(a)*</w:t>
            </w:r>
          </w:p>
        </w:tc>
        <w:tc>
          <w:tcPr>
            <w:tcW w:w="9340" w:type="dxa"/>
            <w:vAlign w:val="bottom"/>
            <w:tcBorders>
              <w:bottom w:val="single" w:sz="8" w:color="0000EE"/>
            </w:tcBorders>
            <w:gridSpan w:val="6"/>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Synaptics Incorporated Amended and Restated 2010 Incentive Compensation Plan, as amended effective on October 30, 2018 (1)</w:t>
              </w:r>
            </w:hyperlink>
          </w:p>
        </w:tc>
        <w:tc>
          <w:tcPr>
            <w:tcW w:w="120" w:type="dxa"/>
            <w:vAlign w:val="bottom"/>
          </w:tcPr>
          <w:p>
            <w:pPr>
              <w:spacing w:after="0"/>
              <w:rPr>
                <w:sz w:val="17"/>
                <w:szCs w:val="17"/>
                <w:color w:val="auto"/>
              </w:rPr>
            </w:pPr>
          </w:p>
        </w:tc>
      </w:tr>
      <w:tr>
        <w:trPr>
          <w:trHeight w:val="412"/>
        </w:trPr>
        <w:tc>
          <w:tcPr>
            <w:tcW w:w="1240" w:type="dxa"/>
            <w:vAlign w:val="bottom"/>
          </w:tcPr>
          <w:p>
            <w:pPr>
              <w:jc w:val="right"/>
              <w:ind w:right="450"/>
              <w:spacing w:after="0"/>
              <w:rPr>
                <w:sz w:val="20"/>
                <w:szCs w:val="20"/>
                <w:color w:val="auto"/>
              </w:rPr>
            </w:pPr>
            <w:r>
              <w:rPr>
                <w:rFonts w:ascii="Arial" w:cs="Arial" w:eastAsia="Arial" w:hAnsi="Arial"/>
                <w:sz w:val="18"/>
                <w:szCs w:val="18"/>
                <w:color w:val="auto"/>
                <w:w w:val="91"/>
              </w:rPr>
              <w:t>10.25(a)*</w:t>
            </w:r>
          </w:p>
        </w:tc>
        <w:tc>
          <w:tcPr>
            <w:tcW w:w="9460" w:type="dxa"/>
            <w:vAlign w:val="bottom"/>
            <w:tcBorders>
              <w:bottom w:val="single" w:sz="8" w:color="0000EE"/>
            </w:tcBorders>
            <w:gridSpan w:val="7"/>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Synaptics Incorporated Amended and Restated 2010 Employee Stock Purchase Plan, as amended effective on October 30, 2018 (1)</w:t>
              </w:r>
            </w:hyperlink>
          </w:p>
        </w:tc>
      </w:tr>
      <w:tr>
        <w:trPr>
          <w:trHeight w:val="399"/>
        </w:trPr>
        <w:tc>
          <w:tcPr>
            <w:tcW w:w="1240" w:type="dxa"/>
            <w:vAlign w:val="bottom"/>
          </w:tcPr>
          <w:p>
            <w:pPr>
              <w:jc w:val="right"/>
              <w:ind w:right="650"/>
              <w:spacing w:after="0"/>
              <w:rPr>
                <w:sz w:val="20"/>
                <w:szCs w:val="20"/>
                <w:color w:val="auto"/>
              </w:rPr>
            </w:pPr>
            <w:r>
              <w:rPr>
                <w:rFonts w:ascii="Arial" w:cs="Arial" w:eastAsia="Arial" w:hAnsi="Arial"/>
                <w:sz w:val="18"/>
                <w:szCs w:val="18"/>
                <w:color w:val="auto"/>
                <w:w w:val="92"/>
              </w:rPr>
              <w:t>10.31*</w:t>
            </w:r>
          </w:p>
        </w:tc>
        <w:tc>
          <w:tcPr>
            <w:tcW w:w="74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Separation Agreement and Release dated November 15, 2018 between the registrant and Kevin Barber</w:t>
              </w:r>
            </w:hyperlink>
          </w:p>
        </w:tc>
        <w:tc>
          <w:tcPr>
            <w:tcW w:w="2060" w:type="dxa"/>
            <w:vAlign w:val="bottom"/>
            <w:gridSpan w:val="2"/>
          </w:tcPr>
          <w:p>
            <w:pPr>
              <w:spacing w:after="0"/>
              <w:rPr>
                <w:sz w:val="24"/>
                <w:szCs w:val="24"/>
                <w:color w:val="auto"/>
              </w:rPr>
            </w:pPr>
          </w:p>
        </w:tc>
      </w:tr>
      <w:tr>
        <w:trPr>
          <w:trHeight w:val="399"/>
        </w:trPr>
        <w:tc>
          <w:tcPr>
            <w:tcW w:w="1240" w:type="dxa"/>
            <w:vAlign w:val="bottom"/>
          </w:tcPr>
          <w:p>
            <w:pPr>
              <w:jc w:val="right"/>
              <w:ind w:right="730"/>
              <w:spacing w:after="0"/>
              <w:rPr>
                <w:sz w:val="20"/>
                <w:szCs w:val="20"/>
                <w:color w:val="auto"/>
              </w:rPr>
            </w:pPr>
            <w:r>
              <w:rPr>
                <w:rFonts w:ascii="Arial" w:cs="Arial" w:eastAsia="Arial" w:hAnsi="Arial"/>
                <w:sz w:val="18"/>
                <w:szCs w:val="18"/>
                <w:color w:val="auto"/>
              </w:rPr>
              <w:t>31.1</w:t>
            </w:r>
          </w:p>
        </w:tc>
        <w:tc>
          <w:tcPr>
            <w:tcW w:w="28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of Chief Executive Officer</w:t>
              </w:r>
            </w:hyperlink>
          </w:p>
        </w:tc>
        <w:tc>
          <w:tcPr>
            <w:tcW w:w="6580" w:type="dxa"/>
            <w:vAlign w:val="bottom"/>
            <w:gridSpan w:val="5"/>
          </w:tcPr>
          <w:p>
            <w:pPr>
              <w:spacing w:after="0"/>
              <w:rPr>
                <w:sz w:val="24"/>
                <w:szCs w:val="24"/>
                <w:color w:val="auto"/>
              </w:rPr>
            </w:pPr>
          </w:p>
        </w:tc>
      </w:tr>
      <w:tr>
        <w:trPr>
          <w:trHeight w:val="399"/>
        </w:trPr>
        <w:tc>
          <w:tcPr>
            <w:tcW w:w="1240" w:type="dxa"/>
            <w:vAlign w:val="bottom"/>
          </w:tcPr>
          <w:p>
            <w:pPr>
              <w:jc w:val="right"/>
              <w:ind w:right="730"/>
              <w:spacing w:after="0"/>
              <w:rPr>
                <w:sz w:val="20"/>
                <w:szCs w:val="20"/>
                <w:color w:val="auto"/>
              </w:rPr>
            </w:pPr>
            <w:r>
              <w:rPr>
                <w:rFonts w:ascii="Arial" w:cs="Arial" w:eastAsia="Arial" w:hAnsi="Arial"/>
                <w:sz w:val="18"/>
                <w:szCs w:val="18"/>
                <w:color w:val="auto"/>
              </w:rPr>
              <w:t>31.2</w:t>
            </w:r>
          </w:p>
        </w:tc>
        <w:tc>
          <w:tcPr>
            <w:tcW w:w="946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Chief Financial Officer</w:t>
              </w:r>
            </w:hyperlink>
          </w:p>
        </w:tc>
      </w:tr>
      <w:tr>
        <w:trPr>
          <w:trHeight w:val="20"/>
        </w:trPr>
        <w:tc>
          <w:tcPr>
            <w:tcW w:w="12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r>
      <w:tr>
        <w:trPr>
          <w:trHeight w:val="331"/>
        </w:trPr>
        <w:tc>
          <w:tcPr>
            <w:tcW w:w="1240" w:type="dxa"/>
            <w:vAlign w:val="bottom"/>
          </w:tcPr>
          <w:p>
            <w:pPr>
              <w:jc w:val="right"/>
              <w:ind w:right="550"/>
              <w:spacing w:after="0"/>
              <w:rPr>
                <w:sz w:val="20"/>
                <w:szCs w:val="20"/>
                <w:color w:val="auto"/>
              </w:rPr>
            </w:pPr>
            <w:r>
              <w:rPr>
                <w:rFonts w:ascii="Arial" w:cs="Arial" w:eastAsia="Arial" w:hAnsi="Arial"/>
                <w:sz w:val="18"/>
                <w:szCs w:val="18"/>
                <w:color w:val="auto"/>
              </w:rPr>
              <w:t>32.1**</w:t>
            </w:r>
          </w:p>
        </w:tc>
        <w:tc>
          <w:tcPr>
            <w:tcW w:w="946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Section 1350 Certification of Chief Executive Officer</w:t>
              </w:r>
            </w:hyperlink>
          </w:p>
        </w:tc>
      </w:tr>
      <w:tr>
        <w:trPr>
          <w:trHeight w:val="331"/>
        </w:trPr>
        <w:tc>
          <w:tcPr>
            <w:tcW w:w="1240" w:type="dxa"/>
            <w:vAlign w:val="bottom"/>
          </w:tcPr>
          <w:p>
            <w:pPr>
              <w:jc w:val="right"/>
              <w:ind w:right="550"/>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24"/>
                <w:szCs w:val="24"/>
                <w:color w:val="auto"/>
              </w:rPr>
            </w:pPr>
          </w:p>
        </w:tc>
        <w:tc>
          <w:tcPr>
            <w:tcW w:w="5600" w:type="dxa"/>
            <w:vAlign w:val="bottom"/>
            <w:gridSpan w:val="3"/>
          </w:tcPr>
          <w:p>
            <w:pPr>
              <w:spacing w:after="0"/>
              <w:rPr>
                <w:sz w:val="24"/>
                <w:szCs w:val="24"/>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November 1, 2018.</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contract with management or compensatory plan or arrangement.</w:t>
      </w:r>
    </w:p>
    <w:p>
      <w:pPr>
        <w:spacing w:after="0" w:line="50"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316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February 7, 2019</w:t>
            </w:r>
          </w:p>
        </w:tc>
        <w:tc>
          <w:tcPr>
            <w:tcW w:w="3760" w:type="dxa"/>
            <w:vAlign w:val="bottom"/>
          </w:tcPr>
          <w:p>
            <w:pPr>
              <w:ind w:left="31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A. Bergman</w:t>
            </w:r>
          </w:p>
        </w:tc>
      </w:tr>
      <w:tr>
        <w:trPr>
          <w:trHeight w:val="195"/>
        </w:trPr>
        <w:tc>
          <w:tcPr>
            <w:tcW w:w="3680" w:type="dxa"/>
            <w:vAlign w:val="bottom"/>
          </w:tcPr>
          <w:p>
            <w:pPr>
              <w:spacing w:after="0"/>
              <w:rPr>
                <w:sz w:val="16"/>
                <w:szCs w:val="16"/>
                <w:color w:val="auto"/>
              </w:rPr>
            </w:pPr>
          </w:p>
        </w:tc>
        <w:tc>
          <w:tcPr>
            <w:tcW w:w="3760" w:type="dxa"/>
            <w:vAlign w:val="bottom"/>
          </w:tcPr>
          <w:p>
            <w:pPr>
              <w:ind w:left="316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Bergman</w:t>
            </w:r>
          </w:p>
        </w:tc>
      </w:tr>
      <w:tr>
        <w:trPr>
          <w:trHeight w:val="230"/>
        </w:trPr>
        <w:tc>
          <w:tcPr>
            <w:tcW w:w="3680" w:type="dxa"/>
            <w:vAlign w:val="bottom"/>
          </w:tcPr>
          <w:p>
            <w:pPr>
              <w:spacing w:after="0"/>
              <w:rPr>
                <w:sz w:val="20"/>
                <w:szCs w:val="20"/>
                <w:color w:val="auto"/>
              </w:rPr>
            </w:pPr>
          </w:p>
        </w:tc>
        <w:tc>
          <w:tcPr>
            <w:tcW w:w="3760" w:type="dxa"/>
            <w:vAlign w:val="bottom"/>
          </w:tcPr>
          <w:p>
            <w:pPr>
              <w:ind w:left="31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680" w:type="dxa"/>
            <w:vAlign w:val="bottom"/>
          </w:tcPr>
          <w:p>
            <w:pPr>
              <w:spacing w:after="0"/>
              <w:rPr>
                <w:sz w:val="20"/>
                <w:szCs w:val="20"/>
                <w:color w:val="auto"/>
              </w:rPr>
            </w:pPr>
            <w:r>
              <w:rPr>
                <w:rFonts w:ascii="Arial" w:cs="Arial" w:eastAsia="Arial" w:hAnsi="Arial"/>
                <w:sz w:val="18"/>
                <w:szCs w:val="18"/>
                <w:color w:val="auto"/>
              </w:rPr>
              <w:t>Date: February 7, 2019</w:t>
            </w:r>
          </w:p>
        </w:tc>
        <w:tc>
          <w:tcPr>
            <w:tcW w:w="3760" w:type="dxa"/>
            <w:vAlign w:val="bottom"/>
          </w:tcPr>
          <w:p>
            <w:pPr>
              <w:ind w:left="31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Wajid Ali</w:t>
            </w:r>
          </w:p>
        </w:tc>
      </w:tr>
      <w:tr>
        <w:trPr>
          <w:trHeight w:val="195"/>
        </w:trPr>
        <w:tc>
          <w:tcPr>
            <w:tcW w:w="3680" w:type="dxa"/>
            <w:vAlign w:val="bottom"/>
          </w:tcPr>
          <w:p>
            <w:pPr>
              <w:spacing w:after="0"/>
              <w:rPr>
                <w:sz w:val="16"/>
                <w:szCs w:val="16"/>
                <w:color w:val="auto"/>
              </w:rPr>
            </w:pPr>
          </w:p>
        </w:tc>
        <w:tc>
          <w:tcPr>
            <w:tcW w:w="3760" w:type="dxa"/>
            <w:vAlign w:val="bottom"/>
          </w:tcPr>
          <w:p>
            <w:pPr>
              <w:ind w:left="316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Wajid Ali</w:t>
            </w:r>
          </w:p>
        </w:tc>
      </w:tr>
      <w:tr>
        <w:trPr>
          <w:trHeight w:val="230"/>
        </w:trPr>
        <w:tc>
          <w:tcPr>
            <w:tcW w:w="3680" w:type="dxa"/>
            <w:vAlign w:val="bottom"/>
          </w:tcPr>
          <w:p>
            <w:pPr>
              <w:spacing w:after="0"/>
              <w:rPr>
                <w:sz w:val="20"/>
                <w:szCs w:val="20"/>
                <w:color w:val="auto"/>
              </w:rPr>
            </w:pPr>
          </w:p>
        </w:tc>
        <w:tc>
          <w:tcPr>
            <w:tcW w:w="3760" w:type="dxa"/>
            <w:vAlign w:val="bottom"/>
          </w:tcPr>
          <w:p>
            <w:pPr>
              <w:ind w:left="31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680" w:type="dxa"/>
            <w:vAlign w:val="bottom"/>
          </w:tcPr>
          <w:p>
            <w:pPr>
              <w:spacing w:after="0"/>
              <w:rPr>
                <w:sz w:val="24"/>
                <w:szCs w:val="24"/>
                <w:color w:val="auto"/>
              </w:rPr>
            </w:pPr>
          </w:p>
        </w:tc>
        <w:tc>
          <w:tcPr>
            <w:tcW w:w="3760" w:type="dxa"/>
            <w:vAlign w:val="bottom"/>
          </w:tcPr>
          <w:p>
            <w:pPr>
              <w:ind w:left="1940"/>
              <w:spacing w:after="0"/>
              <w:rPr>
                <w:sz w:val="20"/>
                <w:szCs w:val="20"/>
                <w:color w:val="auto"/>
              </w:rPr>
            </w:pPr>
            <w:r>
              <w:rPr>
                <w:rFonts w:ascii="Arial" w:cs="Arial" w:eastAsia="Arial" w:hAnsi="Arial"/>
                <w:sz w:val="18"/>
                <w:szCs w:val="18"/>
                <w:color w:val="auto"/>
              </w:rPr>
              <w:t>34</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ind w:left="5620"/>
        <w:spacing w:after="0"/>
        <w:rPr>
          <w:sz w:val="20"/>
          <w:szCs w:val="20"/>
          <w:color w:val="auto"/>
        </w:rPr>
      </w:pPr>
      <w:r>
        <w:rPr>
          <w:rFonts w:ascii="Arial" w:cs="Arial" w:eastAsia="Arial" w:hAnsi="Arial"/>
          <w:sz w:val="18"/>
          <w:szCs w:val="18"/>
          <w:b w:val="1"/>
          <w:bCs w:val="1"/>
          <w:color w:val="auto"/>
        </w:rPr>
        <w:t>Exhibit 10.31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SEPARATION AGREEMENT AND RELEASE</w:t>
      </w:r>
    </w:p>
    <w:p>
      <w:pPr>
        <w:spacing w:after="0" w:line="222" w:lineRule="exact"/>
        <w:rPr>
          <w:sz w:val="20"/>
          <w:szCs w:val="20"/>
          <w:color w:val="auto"/>
        </w:rPr>
      </w:pPr>
    </w:p>
    <w:p>
      <w:pPr>
        <w:ind w:right="760" w:firstLine="815"/>
        <w:spacing w:after="0" w:line="260" w:lineRule="auto"/>
        <w:rPr>
          <w:sz w:val="20"/>
          <w:szCs w:val="20"/>
          <w:color w:val="auto"/>
        </w:rPr>
      </w:pPr>
      <w:r>
        <w:rPr>
          <w:rFonts w:ascii="Arial" w:cs="Arial" w:eastAsia="Arial" w:hAnsi="Arial"/>
          <w:sz w:val="20"/>
          <w:szCs w:val="20"/>
          <w:color w:val="auto"/>
        </w:rPr>
        <w:t>This Separation Agreement and Release (“Agreement”) is made by and between Kevin Barber (“Employee”) and Synaptics Incorporated (the “Company”) (jointly referred to as the “Parties”):</w:t>
      </w:r>
    </w:p>
    <w:p>
      <w:pPr>
        <w:spacing w:after="0" w:line="177" w:lineRule="exact"/>
        <w:rPr>
          <w:sz w:val="20"/>
          <w:szCs w:val="20"/>
          <w:color w:val="auto"/>
        </w:rPr>
      </w:pPr>
    </w:p>
    <w:p>
      <w:pPr>
        <w:ind w:right="160" w:firstLine="815"/>
        <w:spacing w:after="0" w:line="250" w:lineRule="auto"/>
        <w:rPr>
          <w:sz w:val="20"/>
          <w:szCs w:val="20"/>
          <w:color w:val="auto"/>
        </w:rPr>
      </w:pPr>
      <w:r>
        <w:rPr>
          <w:rFonts w:ascii="Arial" w:cs="Arial" w:eastAsia="Arial" w:hAnsi="Arial"/>
          <w:sz w:val="20"/>
          <w:szCs w:val="20"/>
          <w:color w:val="auto"/>
        </w:rPr>
        <w:t>WHEREAS, Employee was employed by the Company pursuant to an employment arrangement and began employment with the Company on January 10, 2011 (the “Service Arrangement”), and Employee will voluntarily terminate Employee’s employment on November 15, 2018 (the “Termination Date”);</w:t>
      </w:r>
    </w:p>
    <w:p>
      <w:pPr>
        <w:spacing w:after="0" w:line="186" w:lineRule="exact"/>
        <w:rPr>
          <w:sz w:val="20"/>
          <w:szCs w:val="20"/>
          <w:color w:val="auto"/>
        </w:rPr>
      </w:pPr>
    </w:p>
    <w:p>
      <w:pPr>
        <w:jc w:val="both"/>
        <w:ind w:firstLine="815"/>
        <w:spacing w:after="0" w:line="250" w:lineRule="auto"/>
        <w:rPr>
          <w:sz w:val="20"/>
          <w:szCs w:val="20"/>
          <w:color w:val="auto"/>
        </w:rPr>
      </w:pPr>
      <w:r>
        <w:rPr>
          <w:rFonts w:ascii="Arial" w:cs="Arial" w:eastAsia="Arial" w:hAnsi="Arial"/>
          <w:sz w:val="20"/>
          <w:szCs w:val="20"/>
          <w:color w:val="auto"/>
        </w:rPr>
        <w:t>WHEREAS, the Parties wish to resolve any and all disputes, claims, complaints, grievances, charges, actions, petitions, and demands that the Employee may have against the Company, including, but not limited to, any and all claims arising or in any way related to Employee’s employment with or separation from the Company; and</w:t>
      </w:r>
    </w:p>
    <w:p>
      <w:pPr>
        <w:spacing w:after="0" w:line="186" w:lineRule="exact"/>
        <w:rPr>
          <w:sz w:val="20"/>
          <w:szCs w:val="20"/>
          <w:color w:val="auto"/>
        </w:rPr>
      </w:pPr>
    </w:p>
    <w:p>
      <w:pPr>
        <w:jc w:val="both"/>
        <w:ind w:right="140" w:firstLine="815"/>
        <w:spacing w:after="0" w:line="250" w:lineRule="auto"/>
        <w:rPr>
          <w:sz w:val="20"/>
          <w:szCs w:val="20"/>
          <w:color w:val="auto"/>
        </w:rPr>
      </w:pPr>
      <w:r>
        <w:rPr>
          <w:rFonts w:ascii="Arial" w:cs="Arial" w:eastAsia="Arial" w:hAnsi="Arial"/>
          <w:sz w:val="20"/>
          <w:szCs w:val="20"/>
          <w:color w:val="auto"/>
        </w:rPr>
        <w:t>WHEREAS, this Agreement will become effective on the eighth day after it is affirmed by Employee on or within 5 days following the Termination Date (such date being the “Effective Date”), provided that Employee has not revoked this Agreement by written notice to the General Counsel of the Company prior to the Effective Date.</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NOW THEREFORE, in consideration of the promises made herein, the Parties hereby agree as follows:</w:t>
      </w:r>
    </w:p>
    <w:p>
      <w:pPr>
        <w:spacing w:after="0" w:line="216" w:lineRule="exact"/>
        <w:rPr>
          <w:sz w:val="20"/>
          <w:szCs w:val="20"/>
          <w:color w:val="auto"/>
        </w:rPr>
      </w:pPr>
    </w:p>
    <w:p>
      <w:pPr>
        <w:ind w:right="600" w:firstLine="823"/>
        <w:spacing w:after="0" w:line="316" w:lineRule="auto"/>
        <w:tabs>
          <w:tab w:leader="none" w:pos="19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of Service Arrangement</w:t>
      </w:r>
      <w:r>
        <w:rPr>
          <w:rFonts w:ascii="Arial" w:cs="Arial" w:eastAsia="Arial" w:hAnsi="Arial"/>
          <w:sz w:val="18"/>
          <w:szCs w:val="18"/>
          <w:color w:val="auto"/>
        </w:rPr>
        <w:t>. Employee’s employment with the Company ceases as of the Termination Date. Employee agrees to resign as a director or officer of any Company subsidiaries or affiliates upon the request of the Company.</w:t>
      </w:r>
    </w:p>
    <w:p>
      <w:pPr>
        <w:spacing w:after="0" w:line="130" w:lineRule="exact"/>
        <w:rPr>
          <w:rFonts w:ascii="Arial" w:cs="Arial" w:eastAsia="Arial" w:hAnsi="Arial"/>
          <w:sz w:val="18"/>
          <w:szCs w:val="18"/>
          <w:color w:val="auto"/>
        </w:rPr>
      </w:pPr>
    </w:p>
    <w:p>
      <w:pPr>
        <w:ind w:right="40" w:firstLine="823"/>
        <w:spacing w:after="0" w:line="274" w:lineRule="auto"/>
        <w:tabs>
          <w:tab w:leader="none" w:pos="19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As consideration for the release of claims and all other covenants made herein, the Parties agree that the Employee shall receive aggregate consideration of $508,602.24, comprised of (i) $200,000, which is equal to six (6) months of Employee’s current base salary; (ii) $100,000, which is equivalent to one-third of Employee’s fiscal year 2019 cash incentive target; (iii) $8,615.46, which is the amount of six (6) months of COBRA continuation coverage under the Company’s health insurance benefit plan at a benefit level no less than what Employee and Employee’s dependents receive as of the Termination Date; and (iv) an additional amount of $199,986.78. Company shall pay the consideration within seven (7) business days of the Effective Date of this release, provided that Employee has not revoked this Agreement before that time. The consideration payment is subject to all normally required tax and other withholdings.</w:t>
      </w:r>
    </w:p>
    <w:p>
      <w:pPr>
        <w:spacing w:after="0" w:line="169" w:lineRule="exact"/>
        <w:rPr>
          <w:rFonts w:ascii="Arial" w:cs="Arial" w:eastAsia="Arial" w:hAnsi="Arial"/>
          <w:sz w:val="18"/>
          <w:szCs w:val="18"/>
          <w:color w:val="auto"/>
        </w:rPr>
      </w:pPr>
    </w:p>
    <w:p>
      <w:pPr>
        <w:ind w:right="140" w:firstLine="823"/>
        <w:spacing w:after="0" w:line="263" w:lineRule="auto"/>
        <w:tabs>
          <w:tab w:leader="none" w:pos="193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Employee’s health insurance benefits (including medical, dental and vision) cease at the end of the calendar month in which the Termination Date occurs, subject to Employee’s right to continue Employee’s health insurance under the Consolidated Omnibus Budget Reconciliation Act of 1985, as amended. Employee’s participation in, and accrual of, all other benefits and incidents of employment, including but not limited to incentives, vacation time, and paid time off, cease on the Termination Date.</w:t>
      </w:r>
    </w:p>
    <w:p>
      <w:pPr>
        <w:spacing w:after="0" w:line="176" w:lineRule="exact"/>
        <w:rPr>
          <w:rFonts w:ascii="Arial" w:cs="Arial" w:eastAsia="Arial" w:hAnsi="Arial"/>
          <w:sz w:val="19"/>
          <w:szCs w:val="19"/>
          <w:color w:val="auto"/>
        </w:rPr>
      </w:pPr>
    </w:p>
    <w:p>
      <w:pPr>
        <w:ind w:left="1940" w:hanging="1117"/>
        <w:spacing w:after="0"/>
        <w:tabs>
          <w:tab w:leader="none" w:pos="194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40" w:firstLine="823"/>
        <w:spacing w:after="0" w:line="269" w:lineRule="auto"/>
        <w:tabs>
          <w:tab w:leader="none" w:pos="19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Equity Incentives</w:t>
      </w:r>
      <w:r>
        <w:rPr>
          <w:rFonts w:ascii="Arial" w:cs="Arial" w:eastAsia="Arial" w:hAnsi="Arial"/>
          <w:sz w:val="18"/>
          <w:szCs w:val="18"/>
          <w:color w:val="auto"/>
        </w:rPr>
        <w:t>. Pursuant to the terms of the Synaptics Incorporated Amended and Restated 2010 Incentive Compensation Plan and the equity incentive agreements effective by and between Employee and the Company, under which the Company granted to Employee deferred stock units (“DSUs”), market stock units (“MSUs”), performance stock units (“PSUs”) and options to purchase common units of the Company (“Options,” and collectively, the “Equity Incentives”), as of the Termination Date: (i) Employee’s MSUs, DSUs, PSUs and Options cease vesting; (ii) Employee has and shall have no right to exercise any unvested portion of the Options or receive any unvested portion of the DSUs; (iii) Employee does not have and shall not have any rights under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spacing w:after="0" w:line="260" w:lineRule="auto"/>
        <w:rPr>
          <w:sz w:val="20"/>
          <w:szCs w:val="20"/>
          <w:color w:val="auto"/>
        </w:rPr>
      </w:pPr>
      <w:r>
        <w:rPr>
          <w:rFonts w:ascii="Arial" w:cs="Arial" w:eastAsia="Arial" w:hAnsi="Arial"/>
          <w:sz w:val="19"/>
          <w:szCs w:val="19"/>
          <w:color w:val="auto"/>
        </w:rPr>
        <w:t>unvested portion of the Options or DSUs and does not have other any rights or entitlements to purchase units or shares of the Company or any subsidiary or affiliate of the Company; and (iv) Employee’s MSUs and PSUs cease vesting, are voided and Employee shall have no right to any compensation under the MSUs or PSUs. Employee has until February 13, 2019, to exercise any vested portion of Employee’s Options or the Employee will lose all rights to such vested portion of the Options. The exercise price for the Options cannot be offset against any amounts payable to the Employee by the Company or any subsidiary or affiliate thereof.</w:t>
      </w:r>
    </w:p>
    <w:p>
      <w:pPr>
        <w:spacing w:after="0" w:line="181" w:lineRule="exact"/>
        <w:rPr>
          <w:sz w:val="20"/>
          <w:szCs w:val="20"/>
          <w:color w:val="auto"/>
        </w:rPr>
      </w:pPr>
    </w:p>
    <w:p>
      <w:pPr>
        <w:jc w:val="both"/>
        <w:ind w:right="60" w:firstLine="823"/>
        <w:spacing w:after="0" w:line="306" w:lineRule="auto"/>
        <w:tabs>
          <w:tab w:leader="none" w:pos="193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Payment of Salary, Accrued Vacation and Expense Reimbursements</w:t>
      </w:r>
      <w:r>
        <w:rPr>
          <w:rFonts w:ascii="Arial" w:cs="Arial" w:eastAsia="Arial" w:hAnsi="Arial"/>
          <w:sz w:val="16"/>
          <w:szCs w:val="16"/>
          <w:color w:val="auto"/>
        </w:rPr>
        <w:t>. Employee acknowledges and represents that the Company has paid, as of the Termination Date, all salary, wages, bonuses, annual incentives, accrued vacation and paid time off, commissions, expense reimbursements, severance and separation benefits, and any and all other benefits due to Employee as of the Termination Date.</w:t>
      </w:r>
    </w:p>
    <w:p>
      <w:pPr>
        <w:spacing w:after="0" w:line="1" w:lineRule="exact"/>
        <w:rPr>
          <w:rFonts w:ascii="Arial" w:cs="Arial" w:eastAsia="Arial" w:hAnsi="Arial"/>
          <w:sz w:val="16"/>
          <w:szCs w:val="16"/>
          <w:color w:val="auto"/>
        </w:rPr>
      </w:pPr>
    </w:p>
    <w:p>
      <w:pPr>
        <w:ind w:right="40"/>
        <w:spacing w:after="0" w:line="241" w:lineRule="auto"/>
        <w:rPr>
          <w:rFonts w:ascii="Arial" w:cs="Arial" w:eastAsia="Arial" w:hAnsi="Arial"/>
          <w:sz w:val="16"/>
          <w:szCs w:val="16"/>
          <w:color w:val="auto"/>
        </w:rPr>
      </w:pPr>
      <w:r>
        <w:rPr>
          <w:rFonts w:ascii="Arial" w:cs="Arial" w:eastAsia="Arial" w:hAnsi="Arial"/>
          <w:sz w:val="20"/>
          <w:szCs w:val="20"/>
          <w:color w:val="auto"/>
        </w:rPr>
        <w:t>Employee acknowledges that Employee is not eligible for any pro rata portion of Employee’s fiscal year 2019 target cash incentive. Employee represents and warrants that Employee never suffered an on-the-job or occupational injury or incurred any wage, overtime or leave claims while working at the Company.</w:t>
      </w:r>
    </w:p>
    <w:p>
      <w:pPr>
        <w:spacing w:after="0" w:line="196" w:lineRule="exact"/>
        <w:rPr>
          <w:rFonts w:ascii="Arial" w:cs="Arial" w:eastAsia="Arial" w:hAnsi="Arial"/>
          <w:sz w:val="16"/>
          <w:szCs w:val="16"/>
          <w:color w:val="auto"/>
        </w:rPr>
      </w:pPr>
    </w:p>
    <w:p>
      <w:pPr>
        <w:ind w:left="1940" w:hanging="1117"/>
        <w:spacing w:after="0"/>
        <w:tabs>
          <w:tab w:leader="none" w:pos="194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16" w:lineRule="exact"/>
        <w:rPr>
          <w:sz w:val="20"/>
          <w:szCs w:val="20"/>
          <w:color w:val="auto"/>
        </w:rPr>
      </w:pPr>
    </w:p>
    <w:p>
      <w:pPr>
        <w:ind w:firstLine="1631"/>
        <w:spacing w:after="0" w:line="271" w:lineRule="auto"/>
        <w:rPr>
          <w:sz w:val="20"/>
          <w:szCs w:val="20"/>
          <w:color w:val="auto"/>
        </w:rPr>
      </w:pPr>
      <w:r>
        <w:rPr>
          <w:rFonts w:ascii="Arial" w:cs="Arial" w:eastAsia="Arial" w:hAnsi="Arial"/>
          <w:sz w:val="18"/>
          <w:szCs w:val="18"/>
          <w:color w:val="auto"/>
        </w:rPr>
        <w:t>(a) Employee acknowledges that Employee has signed a Proprietary Information and Invention Assignment Agreement dated as of January 10, 2011 (the “Confidential Information Agreement”). Employee reaffirms Employee’s obligation to comply with the terms and conditions of the Confidential Information Agreement. Employee will hold in strictest confidence and will not disclose, use, lecture upon, or publish any of the Company’s Proprietary Information. Employee hereby assigns to the Company any rights that Employee may have or acquire in Proprietary Information and recognizes that all Proprietary Information shall be the sole property of the Company and its assigns. For purposes of this Agreement, the term “Proprietary Information” shall mean any and all 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71" w:lineRule="exact"/>
        <w:rPr>
          <w:sz w:val="20"/>
          <w:szCs w:val="20"/>
          <w:color w:val="auto"/>
        </w:rPr>
      </w:pPr>
    </w:p>
    <w:p>
      <w:pPr>
        <w:ind w:right="260" w:firstLine="1631"/>
        <w:spacing w:after="0" w:line="246" w:lineRule="auto"/>
        <w:rPr>
          <w:sz w:val="20"/>
          <w:szCs w:val="20"/>
          <w:color w:val="auto"/>
        </w:rPr>
      </w:pPr>
      <w:r>
        <w:rPr>
          <w:rFonts w:ascii="Arial" w:cs="Arial" w:eastAsia="Arial" w:hAnsi="Arial"/>
          <w:sz w:val="20"/>
          <w:szCs w:val="20"/>
          <w:color w:val="auto"/>
        </w:rPr>
        <w:t>(b) Employee shall return all of the Company’s property and Proprietary Information in Employee’s possession to the Company as required by the terms of the Confidential Information Agreement. By signing this Agreement, Employee represents that Employee has, as of the Termination Date, returned all Company property and Proprietary Information in Employee’s possession to the Company.</w:t>
      </w:r>
    </w:p>
    <w:p>
      <w:pPr>
        <w:spacing w:after="0" w:line="192" w:lineRule="exact"/>
        <w:rPr>
          <w:sz w:val="20"/>
          <w:szCs w:val="20"/>
          <w:color w:val="auto"/>
        </w:rPr>
      </w:pPr>
    </w:p>
    <w:p>
      <w:pPr>
        <w:jc w:val="both"/>
        <w:ind w:right="140" w:firstLine="1631"/>
        <w:spacing w:after="0" w:line="244" w:lineRule="auto"/>
        <w:rPr>
          <w:sz w:val="20"/>
          <w:szCs w:val="20"/>
          <w:color w:val="auto"/>
        </w:rPr>
      </w:pPr>
      <w:r>
        <w:rPr>
          <w:rFonts w:ascii="Arial" w:cs="Arial" w:eastAsia="Arial" w:hAnsi="Arial"/>
          <w:sz w:val="20"/>
          <w:szCs w:val="20"/>
          <w:color w:val="auto"/>
        </w:rPr>
        <w:t>(c) Employee understands, in addition, that the Company has received and in the future may receive from third parties confidential or proprietary information (“Third Party Information”) subject to a duty on the Company’s part to maintain the confidentiality of such information and to use it only for certain limited purposes. Employee will hold Third Party Information in the strictest confidence and will not disclose to anyone other than Company personnel who need to know such information in connection with their work for the Company.</w:t>
      </w:r>
    </w:p>
    <w:p>
      <w:pPr>
        <w:spacing w:after="0" w:line="195" w:lineRule="exact"/>
        <w:rPr>
          <w:sz w:val="20"/>
          <w:szCs w:val="20"/>
          <w:color w:val="auto"/>
        </w:rPr>
      </w:pPr>
    </w:p>
    <w:p>
      <w:pPr>
        <w:ind w:right="100" w:firstLine="823"/>
        <w:spacing w:after="0" w:line="254" w:lineRule="auto"/>
        <w:tabs>
          <w:tab w:leader="none" w:pos="193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Employee agrees that the foregoing consideration represents settlement in full of all outstanding obligations owed to Employee by the Company, any subsidiaries or affiliates thereof, and all officers, managers, members, supervisors, members of their board of directors, agents and employees thereof. Employee, on Employee’s own behalf, and on behalf of Employee’s respective heirs, family members, executors, agents, and assigns, hereby fully and forever releases the Company, its affiliates and subsidiaries, and all officers, members of their board of directors, employees, agents, investors, shareholders, members, administrators, affiliates, divisions, predecessor and successor corporations, and assigns of the Company or any subsidiary or affiliate thereof (“the Releasees”), from, and agrees not to sue concerning, any claim, duty, obligation or cause of</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36" w:name="page37"/>
    <w:bookmarkEnd w:id="36"/>
    <w:p>
      <w:pPr>
        <w:ind w:right="40"/>
        <w:spacing w:after="0" w:line="316" w:lineRule="auto"/>
        <w:rPr>
          <w:sz w:val="20"/>
          <w:szCs w:val="20"/>
          <w:color w:val="auto"/>
        </w:rPr>
      </w:pPr>
      <w:r>
        <w:rPr>
          <w:rFonts w:ascii="Arial" w:cs="Arial" w:eastAsia="Arial" w:hAnsi="Arial"/>
          <w:sz w:val="18"/>
          <w:szCs w:val="18"/>
          <w:color w:val="auto"/>
        </w:rPr>
        <w:t>action relating to any matters of any kind, whether presently known or unknown, suspected or unsuspected, that Employee may possess arising from any omissions, acts or facts that have occurred up until and including the Termination Date including, without limitation:</w:t>
      </w:r>
    </w:p>
    <w:p>
      <w:pPr>
        <w:spacing w:after="0" w:line="130" w:lineRule="exact"/>
        <w:rPr>
          <w:sz w:val="20"/>
          <w:szCs w:val="20"/>
          <w:color w:val="auto"/>
        </w:rPr>
      </w:pPr>
    </w:p>
    <w:p>
      <w:pPr>
        <w:ind w:right="680" w:firstLine="1631"/>
        <w:spacing w:after="0" w:line="260" w:lineRule="auto"/>
        <w:rPr>
          <w:sz w:val="20"/>
          <w:szCs w:val="20"/>
          <w:color w:val="auto"/>
        </w:rPr>
      </w:pPr>
      <w:r>
        <w:rPr>
          <w:rFonts w:ascii="Arial" w:cs="Arial" w:eastAsia="Arial" w:hAnsi="Arial"/>
          <w:sz w:val="20"/>
          <w:szCs w:val="20"/>
          <w:color w:val="auto"/>
        </w:rPr>
        <w:t>(a) any and all claims relating to or arising from Employee’s employment relationship with the Company and the termination of that relationship;</w:t>
      </w:r>
    </w:p>
    <w:p>
      <w:pPr>
        <w:spacing w:after="0" w:line="177" w:lineRule="exact"/>
        <w:rPr>
          <w:sz w:val="20"/>
          <w:szCs w:val="20"/>
          <w:color w:val="auto"/>
        </w:rPr>
      </w:pPr>
    </w:p>
    <w:p>
      <w:pPr>
        <w:ind w:left="1640"/>
        <w:spacing w:after="0"/>
        <w:tabs>
          <w:tab w:leader="none" w:pos="34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any and all claims relating to, or arising from, Employee’s right to purchase, or actual purchase of,</w:t>
      </w:r>
    </w:p>
    <w:p>
      <w:pPr>
        <w:spacing w:after="0" w:line="39"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equity of the Company or any subsidiary or affiliate thereof, including, without limitation, any claims for fraud, misrepresentation, breach of fiduciary duty, breach of duty under applicable state corporate law, and securities fraud under any state or federal law;</w:t>
      </w:r>
    </w:p>
    <w:p>
      <w:pPr>
        <w:spacing w:after="0" w:line="169" w:lineRule="exact"/>
        <w:rPr>
          <w:sz w:val="20"/>
          <w:szCs w:val="20"/>
          <w:color w:val="auto"/>
        </w:rPr>
      </w:pPr>
    </w:p>
    <w:p>
      <w:pPr>
        <w:ind w:firstLine="1631"/>
        <w:spacing w:after="0" w:line="243" w:lineRule="auto"/>
        <w:rPr>
          <w:sz w:val="20"/>
          <w:szCs w:val="20"/>
          <w:color w:val="auto"/>
        </w:rPr>
      </w:pPr>
      <w:r>
        <w:rPr>
          <w:rFonts w:ascii="Arial" w:cs="Arial" w:eastAsia="Arial" w:hAnsi="Arial"/>
          <w:sz w:val="20"/>
          <w:szCs w:val="20"/>
          <w:color w:val="auto"/>
        </w:rPr>
        <w:t>(c) 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97" w:lineRule="exact"/>
        <w:rPr>
          <w:sz w:val="20"/>
          <w:szCs w:val="20"/>
          <w:color w:val="auto"/>
        </w:rPr>
      </w:pPr>
    </w:p>
    <w:p>
      <w:pPr>
        <w:ind w:right="60" w:firstLine="1631"/>
        <w:spacing w:after="0" w:line="243" w:lineRule="auto"/>
        <w:rPr>
          <w:sz w:val="20"/>
          <w:szCs w:val="20"/>
          <w:color w:val="auto"/>
        </w:rPr>
      </w:pPr>
      <w:r>
        <w:rPr>
          <w:rFonts w:ascii="Arial" w:cs="Arial" w:eastAsia="Arial" w:hAnsi="Arial"/>
          <w:sz w:val="20"/>
          <w:szCs w:val="20"/>
          <w:color w:val="auto"/>
        </w:rPr>
        <w:t>(d) any and all claims for violation of any national,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Older Workers Benefit Protection Act; the Family and Medical Leave Act; the California Family Rights Act; the California Fair Employment and Housing Act, and the California Labor Code, including, but not limited to Labor Code sections 1400-1408;</w:t>
      </w:r>
    </w:p>
    <w:p>
      <w:pPr>
        <w:sectPr>
          <w:pgSz w:w="11900" w:h="16838" w:orient="portrait"/>
          <w:cols w:equalWidth="0" w:num="1">
            <w:col w:w="11380"/>
          </w:cols>
          <w:pgMar w:left="240" w:top="339" w:right="279" w:bottom="1440" w:gutter="0" w:footer="0" w:header="0"/>
        </w:sectPr>
      </w:pPr>
    </w:p>
    <w:p>
      <w:pPr>
        <w:spacing w:after="0" w:line="197"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any and all claims for violation of the federal, or any state, constitution;</w:t>
      </w:r>
    </w:p>
    <w:p>
      <w:pPr>
        <w:spacing w:after="0" w:line="200" w:lineRule="exact"/>
        <w:rPr>
          <w:sz w:val="20"/>
          <w:szCs w:val="20"/>
          <w:color w:val="auto"/>
        </w:rPr>
      </w:pPr>
    </w:p>
    <w:p>
      <w:pPr>
        <w:sectPr>
          <w:pgSz w:w="11900" w:h="16838" w:orient="portrait"/>
          <w:cols w:equalWidth="0" w:num="2">
            <w:col w:w="2760" w:space="720"/>
            <w:col w:w="7900"/>
          </w:cols>
          <w:pgMar w:left="240" w:top="339" w:right="279" w:bottom="1440" w:gutter="0" w:footer="0" w:header="0"/>
          <w:type w:val="continuous"/>
        </w:sectPr>
      </w:pPr>
    </w:p>
    <w:p>
      <w:pPr>
        <w:spacing w:after="0" w:line="3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employment discrimination;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any and all claims arising out of any other laws and regulations relating to employment or</w:t>
      </w:r>
    </w:p>
    <w:p>
      <w:pPr>
        <w:spacing w:after="0" w:line="445" w:lineRule="exact"/>
        <w:rPr>
          <w:sz w:val="20"/>
          <w:szCs w:val="20"/>
          <w:color w:val="auto"/>
        </w:rPr>
      </w:pPr>
    </w:p>
    <w:p>
      <w:pPr>
        <w:sectPr>
          <w:pgSz w:w="11900" w:h="16838" w:orient="portrait"/>
          <w:cols w:equalWidth="0" w:num="2">
            <w:col w:w="2740" w:space="720"/>
            <w:col w:w="7920"/>
          </w:cols>
          <w:pgMar w:left="240" w:top="339" w:right="279" w:bottom="1440" w:gutter="0" w:footer="0" w:header="0"/>
          <w:type w:val="continuous"/>
        </w:sectPr>
      </w:pPr>
    </w:p>
    <w:p>
      <w:pPr>
        <w:spacing w:after="0" w:line="23" w:lineRule="exact"/>
        <w:rPr>
          <w:sz w:val="20"/>
          <w:szCs w:val="20"/>
          <w:color w:val="auto"/>
        </w:rPr>
      </w:pPr>
    </w:p>
    <w:p>
      <w:pPr>
        <w:ind w:right="900" w:firstLine="1631"/>
        <w:spacing w:after="0" w:line="260" w:lineRule="auto"/>
        <w:rPr>
          <w:sz w:val="20"/>
          <w:szCs w:val="20"/>
          <w:color w:val="auto"/>
        </w:rPr>
      </w:pPr>
      <w:r>
        <w:rPr>
          <w:rFonts w:ascii="Arial" w:cs="Arial" w:eastAsia="Arial" w:hAnsi="Arial"/>
          <w:sz w:val="20"/>
          <w:szCs w:val="20"/>
          <w:color w:val="auto"/>
        </w:rPr>
        <w:t>(g) any claim for any loss, cost, damage, or expense arising out of any dispute over the non-withholding or other tax treatment of any of the proceeds received by Employee as a result of this Agreement; and</w:t>
      </w:r>
    </w:p>
    <w:p>
      <w:pPr>
        <w:sectPr>
          <w:pgSz w:w="11900" w:h="16838" w:orient="portrait"/>
          <w:cols w:equalWidth="0" w:num="1">
            <w:col w:w="11380"/>
          </w:cols>
          <w:pgMar w:left="240" w:top="339" w:right="279" w:bottom="1440" w:gutter="0" w:footer="0" w:header="0"/>
          <w:type w:val="continuous"/>
        </w:sectPr>
      </w:pPr>
    </w:p>
    <w:p>
      <w:pPr>
        <w:spacing w:after="0" w:line="17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any and all claims for attorneys’ fees and costs.</w:t>
      </w:r>
    </w:p>
    <w:p>
      <w:pPr>
        <w:spacing w:after="0" w:line="222" w:lineRule="exact"/>
        <w:rPr>
          <w:sz w:val="20"/>
          <w:szCs w:val="20"/>
          <w:color w:val="auto"/>
        </w:rPr>
      </w:pPr>
    </w:p>
    <w:p>
      <w:pPr>
        <w:sectPr>
          <w:pgSz w:w="11900" w:h="16838" w:orient="portrait"/>
          <w:cols w:equalWidth="0" w:num="2">
            <w:col w:w="2780" w:space="720"/>
            <w:col w:w="7880"/>
          </w:cols>
          <w:pgMar w:left="240" w:top="339" w:right="279" w:bottom="1440" w:gutter="0" w:footer="0" w:header="0"/>
          <w:type w:val="continuous"/>
        </w:sectPr>
      </w:pPr>
    </w:p>
    <w:p>
      <w:pPr>
        <w:spacing w:after="0" w:line="39" w:lineRule="exact"/>
        <w:rPr>
          <w:sz w:val="20"/>
          <w:szCs w:val="20"/>
          <w:color w:val="auto"/>
        </w:rPr>
      </w:pPr>
    </w:p>
    <w:p>
      <w:pPr>
        <w:jc w:val="both"/>
        <w:ind w:firstLine="815"/>
        <w:spacing w:after="0" w:line="250" w:lineRule="auto"/>
        <w:rPr>
          <w:sz w:val="20"/>
          <w:szCs w:val="20"/>
          <w:color w:val="auto"/>
        </w:rPr>
      </w:pPr>
      <w:r>
        <w:rPr>
          <w:rFonts w:ascii="Arial" w:cs="Arial" w:eastAsia="Arial" w:hAnsi="Arial"/>
          <w:sz w:val="20"/>
          <w:szCs w:val="20"/>
          <w:color w:val="auto"/>
        </w:rPr>
        <w:t>The Company and Employee agree that the release set forth in this Section shall be and remain in effect in all respects as a complete general release as to the matters released. This release does not extend to any obligations incurred under this Agreement nor to any claims that, by statute, may not be waived.</w:t>
      </w:r>
    </w:p>
    <w:p>
      <w:pPr>
        <w:spacing w:after="0" w:line="186" w:lineRule="exact"/>
        <w:rPr>
          <w:sz w:val="20"/>
          <w:szCs w:val="20"/>
          <w:color w:val="auto"/>
        </w:rPr>
      </w:pPr>
    </w:p>
    <w:p>
      <w:pPr>
        <w:ind w:firstLine="815"/>
        <w:spacing w:after="0" w:line="268" w:lineRule="auto"/>
        <w:rPr>
          <w:sz w:val="20"/>
          <w:szCs w:val="20"/>
          <w:color w:val="auto"/>
        </w:rPr>
      </w:pPr>
      <w:r>
        <w:rPr>
          <w:rFonts w:ascii="Arial" w:cs="Arial" w:eastAsia="Arial" w:hAnsi="Arial"/>
          <w:sz w:val="18"/>
          <w:szCs w:val="18"/>
          <w:color w:val="auto"/>
        </w:rPr>
        <w:t>Furthermore, nothing in this Agreement is intended to, or shall, interfere with Employee’s rights under federal, state, or municipal civil rights or employment discrimination laws, including, but not limited to, the statutes specified in Paragraph 8(d) above, or their state or local counterparts, to file or otherwise institute a charge of discrimination with a government agency or regulatory body, to testify or participate in such an agency or administrative hearing or proceeding, or to otherwise cooperate with a federal, state, or municipal government agency proceeding. However, Employee understands and agrees that Employee is waiving any right to personal monetary or other recovery as to such charges or participation, and Employee shall not be entitled to any relief, recovery, or damages in connection with such an agency or administrative complaint, charge or proceeding, regardless of who filed or initiated the complaint, charge, or proceeding.</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type w:val="continuous"/>
        </w:sectPr>
      </w:pPr>
    </w:p>
    <w:bookmarkStart w:id="37" w:name="page38"/>
    <w:bookmarkEnd w:id="37"/>
    <w:p>
      <w:pPr>
        <w:ind w:right="20" w:firstLine="815"/>
        <w:spacing w:after="0" w:line="243" w:lineRule="auto"/>
        <w:rPr>
          <w:sz w:val="20"/>
          <w:szCs w:val="20"/>
          <w:color w:val="auto"/>
        </w:rPr>
      </w:pPr>
      <w:r>
        <w:rPr>
          <w:rFonts w:ascii="Arial" w:cs="Arial" w:eastAsia="Arial" w:hAnsi="Arial"/>
          <w:sz w:val="20"/>
          <w:szCs w:val="20"/>
          <w:color w:val="auto"/>
        </w:rPr>
        <w:t>Additionally, nothing in this Agreement is intended to, or shall, interfere with Employee’s rights to cooperate, participate, or testify in a proceeding before the U.S. Securities Exchange Commission, or to receive and fully retain a monetary award from a government-administered whistleblower award program for providing information directly to a government agency. Nothing in this Agreement is intended to, or shall, interfere with the Company’s obligation to indemnify Employee against any claims, damages, liabilities pursuant to the Indemnification Agreement, dated May 17, 2016, and executed by and between Employee and the Company, and in accordance with applicable state corporate law.</w:t>
      </w:r>
    </w:p>
    <w:p>
      <w:pPr>
        <w:spacing w:after="0" w:line="196" w:lineRule="exact"/>
        <w:rPr>
          <w:sz w:val="20"/>
          <w:szCs w:val="20"/>
          <w:color w:val="auto"/>
        </w:rPr>
      </w:pPr>
    </w:p>
    <w:p>
      <w:pPr>
        <w:ind w:right="80" w:firstLine="823"/>
        <w:spacing w:after="0" w:line="243" w:lineRule="auto"/>
        <w:tabs>
          <w:tab w:leader="none" w:pos="193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Acknowledgement of Waiver of Claims Under ADEA</w:t>
      </w:r>
      <w:r>
        <w:rPr>
          <w:rFonts w:ascii="Arial" w:cs="Arial" w:eastAsia="Arial" w:hAnsi="Arial"/>
          <w:sz w:val="20"/>
          <w:szCs w:val="20"/>
          <w:color w:val="auto"/>
        </w:rPr>
        <w:t>. Employee acknowledges that Employee is waiving and releasing any rights Employee may have under the Age Discrimination in Employment Act of 1967 (“ADEA”) and that this waiver and release is knowing and voluntary. Employee and the Company agree that this waiver and release does not apply to any rights or claims that may arise under ADEA after the Effective Date of this Agreement. Employee acknowledges that the consideration given for this waiver and release Agreement is in addition to anything of value to which Employee was already entitled. Employee further acknowledges that Employee has been advised by this writing that: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ind w:left="1640"/>
              <w:spacing w:after="0"/>
              <w:rPr>
                <w:sz w:val="20"/>
                <w:szCs w:val="20"/>
                <w:color w:val="auto"/>
              </w:rPr>
            </w:pPr>
            <w:r>
              <w:rPr>
                <w:rFonts w:ascii="Arial" w:cs="Arial" w:eastAsia="Arial" w:hAnsi="Arial"/>
                <w:sz w:val="20"/>
                <w:szCs w:val="20"/>
                <w:color w:val="auto"/>
              </w:rPr>
              <w:t>(a)</w:t>
            </w:r>
          </w:p>
        </w:tc>
        <w:tc>
          <w:tcPr>
            <w:tcW w:w="8300" w:type="dxa"/>
            <w:vAlign w:val="bottom"/>
            <w:gridSpan w:val="3"/>
          </w:tcPr>
          <w:p>
            <w:pPr>
              <w:ind w:left="800"/>
              <w:spacing w:after="0"/>
              <w:rPr>
                <w:sz w:val="20"/>
                <w:szCs w:val="20"/>
                <w:color w:val="auto"/>
              </w:rPr>
            </w:pPr>
            <w:r>
              <w:rPr>
                <w:rFonts w:ascii="Arial" w:cs="Arial" w:eastAsia="Arial" w:hAnsi="Arial"/>
                <w:sz w:val="20"/>
                <w:szCs w:val="20"/>
                <w:color w:val="auto"/>
              </w:rPr>
              <w:t>Employee should consult with an attorney prior to executing this Agreement;</w:t>
            </w:r>
          </w:p>
        </w:tc>
      </w:tr>
      <w:tr>
        <w:trPr>
          <w:trHeight w:val="20"/>
        </w:trPr>
        <w:tc>
          <w:tcPr>
            <w:tcW w:w="2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70"/>
        </w:trPr>
        <w:tc>
          <w:tcPr>
            <w:tcW w:w="2680" w:type="dxa"/>
            <w:vAlign w:val="bottom"/>
          </w:tcPr>
          <w:p>
            <w:pPr>
              <w:ind w:left="1640"/>
              <w:spacing w:after="0"/>
              <w:rPr>
                <w:sz w:val="20"/>
                <w:szCs w:val="20"/>
                <w:color w:val="auto"/>
              </w:rPr>
            </w:pPr>
            <w:r>
              <w:rPr>
                <w:rFonts w:ascii="Arial" w:cs="Arial" w:eastAsia="Arial" w:hAnsi="Arial"/>
                <w:sz w:val="20"/>
                <w:szCs w:val="20"/>
                <w:color w:val="auto"/>
              </w:rPr>
              <w:t>(b)</w:t>
            </w:r>
          </w:p>
        </w:tc>
        <w:tc>
          <w:tcPr>
            <w:tcW w:w="8300" w:type="dxa"/>
            <w:vAlign w:val="bottom"/>
            <w:gridSpan w:val="3"/>
          </w:tcPr>
          <w:p>
            <w:pPr>
              <w:ind w:left="820"/>
              <w:spacing w:after="0"/>
              <w:rPr>
                <w:sz w:val="20"/>
                <w:szCs w:val="20"/>
                <w:color w:val="auto"/>
              </w:rPr>
            </w:pPr>
            <w:r>
              <w:rPr>
                <w:rFonts w:ascii="Arial" w:cs="Arial" w:eastAsia="Arial" w:hAnsi="Arial"/>
                <w:sz w:val="20"/>
                <w:szCs w:val="20"/>
                <w:color w:val="auto"/>
              </w:rPr>
              <w:t>Employee has up to forty-five (45) days within which to consider this Agreement;</w:t>
            </w:r>
          </w:p>
        </w:tc>
      </w:tr>
      <w:tr>
        <w:trPr>
          <w:trHeight w:val="425"/>
        </w:trPr>
        <w:tc>
          <w:tcPr>
            <w:tcW w:w="2680" w:type="dxa"/>
            <w:vAlign w:val="bottom"/>
          </w:tcPr>
          <w:p>
            <w:pPr>
              <w:ind w:left="1640"/>
              <w:spacing w:after="0"/>
              <w:rPr>
                <w:sz w:val="20"/>
                <w:szCs w:val="20"/>
                <w:color w:val="auto"/>
              </w:rPr>
            </w:pPr>
            <w:r>
              <w:rPr>
                <w:rFonts w:ascii="Arial" w:cs="Arial" w:eastAsia="Arial" w:hAnsi="Arial"/>
                <w:sz w:val="20"/>
                <w:szCs w:val="20"/>
                <w:color w:val="auto"/>
              </w:rPr>
              <w:t>(c)</w:t>
            </w:r>
          </w:p>
        </w:tc>
        <w:tc>
          <w:tcPr>
            <w:tcW w:w="8300" w:type="dxa"/>
            <w:vAlign w:val="bottom"/>
            <w:gridSpan w:val="3"/>
          </w:tcPr>
          <w:p>
            <w:pPr>
              <w:ind w:left="800"/>
              <w:spacing w:after="0"/>
              <w:rPr>
                <w:sz w:val="20"/>
                <w:szCs w:val="20"/>
                <w:color w:val="auto"/>
              </w:rPr>
            </w:pPr>
            <w:r>
              <w:rPr>
                <w:rFonts w:ascii="Arial" w:cs="Arial" w:eastAsia="Arial" w:hAnsi="Arial"/>
                <w:sz w:val="20"/>
                <w:szCs w:val="20"/>
                <w:color w:val="auto"/>
                <w:w w:val="90"/>
              </w:rPr>
              <w:t>Employee has seven (7) days following Employee’s execution of this Agreement to revoke the</w:t>
            </w:r>
          </w:p>
        </w:tc>
      </w:tr>
      <w:tr>
        <w:trPr>
          <w:trHeight w:val="250"/>
        </w:trPr>
        <w:tc>
          <w:tcPr>
            <w:tcW w:w="2680" w:type="dxa"/>
            <w:vAlign w:val="bottom"/>
          </w:tcPr>
          <w:p>
            <w:pPr>
              <w:spacing w:after="0"/>
              <w:rPr>
                <w:sz w:val="20"/>
                <w:szCs w:val="20"/>
                <w:color w:val="auto"/>
              </w:rPr>
            </w:pPr>
            <w:r>
              <w:rPr>
                <w:rFonts w:ascii="Arial" w:cs="Arial" w:eastAsia="Arial" w:hAnsi="Arial"/>
                <w:sz w:val="20"/>
                <w:szCs w:val="20"/>
                <w:color w:val="auto"/>
              </w:rPr>
              <w:t>Agreement;</w:t>
            </w:r>
          </w:p>
        </w:tc>
        <w:tc>
          <w:tcPr>
            <w:tcW w:w="4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446"/>
        </w:trPr>
        <w:tc>
          <w:tcPr>
            <w:tcW w:w="2680" w:type="dxa"/>
            <w:vAlign w:val="bottom"/>
          </w:tcPr>
          <w:p>
            <w:pPr>
              <w:ind w:left="1640"/>
              <w:spacing w:after="0"/>
              <w:rPr>
                <w:sz w:val="20"/>
                <w:szCs w:val="20"/>
                <w:color w:val="auto"/>
              </w:rPr>
            </w:pPr>
            <w:r>
              <w:rPr>
                <w:rFonts w:ascii="Arial" w:cs="Arial" w:eastAsia="Arial" w:hAnsi="Arial"/>
                <w:sz w:val="20"/>
                <w:szCs w:val="20"/>
                <w:color w:val="auto"/>
              </w:rPr>
              <w:t>(d)</w:t>
            </w:r>
          </w:p>
        </w:tc>
        <w:tc>
          <w:tcPr>
            <w:tcW w:w="8300" w:type="dxa"/>
            <w:vAlign w:val="bottom"/>
            <w:gridSpan w:val="3"/>
          </w:tcPr>
          <w:p>
            <w:pPr>
              <w:ind w:left="820"/>
              <w:spacing w:after="0"/>
              <w:rPr>
                <w:sz w:val="20"/>
                <w:szCs w:val="20"/>
                <w:color w:val="auto"/>
              </w:rPr>
            </w:pPr>
            <w:r>
              <w:rPr>
                <w:rFonts w:ascii="Arial" w:cs="Arial" w:eastAsia="Arial" w:hAnsi="Arial"/>
                <w:sz w:val="20"/>
                <w:szCs w:val="20"/>
                <w:color w:val="auto"/>
              </w:rPr>
              <w:t>this Agreement shall not be effective until the revocation period has expired; and</w:t>
            </w:r>
          </w:p>
        </w:tc>
      </w:tr>
      <w:tr>
        <w:trPr>
          <w:trHeight w:val="441"/>
        </w:trPr>
        <w:tc>
          <w:tcPr>
            <w:tcW w:w="2680" w:type="dxa"/>
            <w:vAlign w:val="bottom"/>
          </w:tcPr>
          <w:p>
            <w:pPr>
              <w:ind w:left="1640"/>
              <w:spacing w:after="0"/>
              <w:rPr>
                <w:sz w:val="20"/>
                <w:szCs w:val="20"/>
                <w:color w:val="auto"/>
              </w:rPr>
            </w:pPr>
            <w:r>
              <w:rPr>
                <w:rFonts w:ascii="Arial" w:cs="Arial" w:eastAsia="Arial" w:hAnsi="Arial"/>
                <w:sz w:val="20"/>
                <w:szCs w:val="20"/>
                <w:color w:val="auto"/>
              </w:rPr>
              <w:t>(e)</w:t>
            </w:r>
          </w:p>
        </w:tc>
        <w:tc>
          <w:tcPr>
            <w:tcW w:w="8300" w:type="dxa"/>
            <w:vAlign w:val="bottom"/>
            <w:gridSpan w:val="3"/>
          </w:tcPr>
          <w:p>
            <w:pPr>
              <w:ind w:left="800"/>
              <w:spacing w:after="0"/>
              <w:rPr>
                <w:sz w:val="20"/>
                <w:szCs w:val="20"/>
                <w:color w:val="auto"/>
              </w:rPr>
            </w:pPr>
            <w:r>
              <w:rPr>
                <w:rFonts w:ascii="Arial" w:cs="Arial" w:eastAsia="Arial" w:hAnsi="Arial"/>
                <w:sz w:val="20"/>
                <w:szCs w:val="20"/>
                <w:color w:val="auto"/>
                <w:w w:val="95"/>
              </w:rPr>
              <w:t>nothing in this Agreement prevents or precludes Employee from challenging or seeking a</w:t>
            </w:r>
          </w:p>
        </w:tc>
      </w:tr>
    </w:tbl>
    <w:p>
      <w:pPr>
        <w:ind w:right="160"/>
        <w:spacing w:after="0" w:line="244" w:lineRule="auto"/>
        <w:rPr>
          <w:sz w:val="20"/>
          <w:szCs w:val="20"/>
          <w:color w:val="auto"/>
        </w:rPr>
      </w:pPr>
      <w:r>
        <w:rPr>
          <w:rFonts w:ascii="Arial" w:cs="Arial" w:eastAsia="Arial" w:hAnsi="Arial"/>
          <w:sz w:val="20"/>
          <w:szCs w:val="20"/>
          <w:color w:val="auto"/>
        </w:rPr>
        <w:t>determination in good faith of the validity of this waiver under the ADEA, nor does it impose any condition precedent, penalties or costs from doing so, unless specifically authorized by federal law.</w:t>
      </w:r>
    </w:p>
    <w:p>
      <w:pPr>
        <w:spacing w:after="0" w:line="192" w:lineRule="exact"/>
        <w:rPr>
          <w:sz w:val="20"/>
          <w:szCs w:val="20"/>
          <w:color w:val="auto"/>
        </w:rPr>
      </w:pPr>
    </w:p>
    <w:p>
      <w:pPr>
        <w:ind w:right="60" w:firstLine="823"/>
        <w:spacing w:after="0" w:line="250" w:lineRule="auto"/>
        <w:tabs>
          <w:tab w:leader="none" w:pos="2034"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Civil Code Section 1542</w:t>
      </w:r>
      <w:r>
        <w:rPr>
          <w:rFonts w:ascii="Arial" w:cs="Arial" w:eastAsia="Arial" w:hAnsi="Arial"/>
          <w:sz w:val="20"/>
          <w:szCs w:val="20"/>
          <w:color w:val="auto"/>
        </w:rPr>
        <w:t>. Employee represents that Employee is not aware of any claim by Employee other than the claims that are released by this Agreement. Employee acknowledges that Employee has had the opportunity to be advised by legal counsel and is familiar with the provisions of California Civil Code Section 1542, which provides as follows:</w:t>
      </w:r>
    </w:p>
    <w:p>
      <w:pPr>
        <w:spacing w:after="0" w:line="186" w:lineRule="exact"/>
        <w:rPr>
          <w:sz w:val="20"/>
          <w:szCs w:val="20"/>
          <w:color w:val="auto"/>
        </w:rPr>
      </w:pPr>
    </w:p>
    <w:p>
      <w:pPr>
        <w:jc w:val="both"/>
        <w:ind w:right="120" w:firstLine="815"/>
        <w:spacing w:after="0" w:line="250"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EMPLOYEE’S FAVOR AT THE TIME OF EXECUTING THE RELEASE, WHICH IF KNOWN BY EMPLOYEE MUST HAVE MATERIALLY AFFECTED EMPLOYEE’S SETTLEMENT WITH THE DEBTOR.</w:t>
      </w:r>
    </w:p>
    <w:p>
      <w:pPr>
        <w:spacing w:after="0" w:line="186" w:lineRule="exact"/>
        <w:rPr>
          <w:sz w:val="20"/>
          <w:szCs w:val="20"/>
          <w:color w:val="auto"/>
        </w:rPr>
      </w:pPr>
    </w:p>
    <w:p>
      <w:pPr>
        <w:ind w:right="240" w:firstLine="815"/>
        <w:spacing w:after="0" w:line="260" w:lineRule="auto"/>
        <w:rPr>
          <w:sz w:val="20"/>
          <w:szCs w:val="20"/>
          <w:color w:val="auto"/>
        </w:rPr>
      </w:pPr>
      <w:r>
        <w:rPr>
          <w:rFonts w:ascii="Arial" w:cs="Arial" w:eastAsia="Arial" w:hAnsi="Arial"/>
          <w:sz w:val="20"/>
          <w:szCs w:val="20"/>
          <w:color w:val="auto"/>
        </w:rPr>
        <w:t>Employee, being aware of said code section, agrees to expressly waive any rights Employee may have thereunder, as well as under any other statute or common law principles of similar effect.</w:t>
      </w:r>
    </w:p>
    <w:p>
      <w:pPr>
        <w:spacing w:after="0" w:line="177" w:lineRule="exact"/>
        <w:rPr>
          <w:sz w:val="20"/>
          <w:szCs w:val="20"/>
          <w:color w:val="auto"/>
        </w:rPr>
      </w:pPr>
    </w:p>
    <w:p>
      <w:pPr>
        <w:ind w:right="40" w:firstLine="823"/>
        <w:spacing w:after="0" w:line="246" w:lineRule="auto"/>
        <w:tabs>
          <w:tab w:leader="none" w:pos="2027"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No Pending or Future Lawsuits</w:t>
      </w:r>
      <w:r>
        <w:rPr>
          <w:rFonts w:ascii="Arial" w:cs="Arial" w:eastAsia="Arial" w:hAnsi="Arial"/>
          <w:sz w:val="20"/>
          <w:szCs w:val="20"/>
          <w:color w:val="auto"/>
        </w:rPr>
        <w:t>. Employee represents that Employee has no lawsuits, claims, or actions pending in Employee’s name, or on behalf of any other person or entity, against the Company or any other Releasee. Employee also represents that Employee does not intend to bring any claims on Employee’s own behalf or on behalf of any other person or entity against the Company or any other Releasee.</w:t>
      </w:r>
    </w:p>
    <w:p>
      <w:pPr>
        <w:spacing w:after="0" w:line="191" w:lineRule="exact"/>
        <w:rPr>
          <w:rFonts w:ascii="Arial" w:cs="Arial" w:eastAsia="Arial" w:hAnsi="Arial"/>
          <w:sz w:val="20"/>
          <w:szCs w:val="20"/>
          <w:color w:val="auto"/>
        </w:rPr>
      </w:pPr>
    </w:p>
    <w:p>
      <w:pPr>
        <w:jc w:val="both"/>
        <w:ind w:firstLine="823"/>
        <w:spacing w:after="0" w:line="243" w:lineRule="auto"/>
        <w:tabs>
          <w:tab w:leader="none" w:pos="2034"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Application for Employment</w:t>
      </w:r>
      <w:r>
        <w:rPr>
          <w:rFonts w:ascii="Arial" w:cs="Arial" w:eastAsia="Arial" w:hAnsi="Arial"/>
          <w:sz w:val="20"/>
          <w:szCs w:val="20"/>
          <w:color w:val="auto"/>
        </w:rPr>
        <w:t>. While Company may offer to re-hire Employee, Employee understands and agrees that, as a condition of this Agreement, Employee shall not be entitled to any employment with the Company, and Employee hereby waives any right, or alleged right, of employment or re-employment with the Company. Employee further agrees that Employee will not apply for employment with the Company.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8" w:name="page39"/>
    <w:bookmarkEnd w:id="38"/>
    <w:p>
      <w:pPr>
        <w:ind w:right="20" w:firstLine="823"/>
        <w:spacing w:after="0" w:line="274" w:lineRule="auto"/>
        <w:tabs>
          <w:tab w:leader="none" w:pos="203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Parties acknowledge that Employee’s agreement to keep the nonpublic terms and conditions of this Agreement confidential was a material factor on which all parties relied in entering into this Agreement. Employee agrees to use Employee’s best efforts to maintain in confidence the nonpublic contents and terms of this Agreement (hereinafter collectively referred to as “Settlement Information”). Employee agrees to take reasonable precautions to prevent disclosure of any Settlement Information to third parties, and agrees that there will be no publicity, directly or indirectly, concerning any Settlement Information. Employee agrees to take reasonable precautions to disclose Settlement Information only to those attorneys, accountants, governmental entities, courts of law and family members who have a reasonable need to know (or as required by applicable law) of such Settlement Information.</w:t>
      </w:r>
    </w:p>
    <w:p>
      <w:pPr>
        <w:spacing w:after="0" w:line="169" w:lineRule="exact"/>
        <w:rPr>
          <w:rFonts w:ascii="Arial" w:cs="Arial" w:eastAsia="Arial" w:hAnsi="Arial"/>
          <w:sz w:val="18"/>
          <w:szCs w:val="18"/>
          <w:color w:val="auto"/>
        </w:rPr>
      </w:pPr>
    </w:p>
    <w:p>
      <w:pPr>
        <w:ind w:firstLine="823"/>
        <w:spacing w:after="0" w:line="260" w:lineRule="auto"/>
        <w:tabs>
          <w:tab w:leader="none" w:pos="2034"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 Cooperation</w:t>
      </w:r>
      <w:r>
        <w:rPr>
          <w:rFonts w:ascii="Arial" w:cs="Arial" w:eastAsia="Arial" w:hAnsi="Arial"/>
          <w:sz w:val="19"/>
          <w:szCs w:val="19"/>
          <w:color w:val="auto"/>
        </w:rPr>
        <w:t>. Employee agrees Employee will not act in any manner that might damage the business of the Company. Employee agrees that Employee will not encourage, counsel or assist any attorneys or their clients in the presentation or prosecution of any disputes, differences, grievances, claims, charges, or complaints by any third party against any of the Releasees, unless under a subpoena or other court order to do so or unless as otherwise provided for in Section 8. Employee shall inform the Company in writing within three (3) business days of receiving any such subpoena or other court order.</w:t>
      </w:r>
    </w:p>
    <w:p>
      <w:pPr>
        <w:spacing w:after="0" w:line="180" w:lineRule="exact"/>
        <w:rPr>
          <w:rFonts w:ascii="Arial" w:cs="Arial" w:eastAsia="Arial" w:hAnsi="Arial"/>
          <w:sz w:val="19"/>
          <w:szCs w:val="19"/>
          <w:color w:val="auto"/>
        </w:rPr>
      </w:pPr>
    </w:p>
    <w:p>
      <w:pPr>
        <w:jc w:val="both"/>
        <w:ind w:right="60" w:firstLine="823"/>
        <w:spacing w:after="0" w:line="263" w:lineRule="auto"/>
        <w:tabs>
          <w:tab w:leader="none" w:pos="2034"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Employee agrees to refrain from any defamation, libel, or slander of the Company and its employees, officers and members of its Board of Directors, and any tortious interference with the contracts, relationships and prospective economic advantage of the Company and its employees, officers and members of its Board of Directors. Employee agrees that Employee shall direct all inquiries by potential future employers to the Company’s Senior Vice President, Human Resources.</w:t>
      </w:r>
    </w:p>
    <w:p>
      <w:pPr>
        <w:spacing w:after="0" w:line="176" w:lineRule="exact"/>
        <w:rPr>
          <w:rFonts w:ascii="Arial" w:cs="Arial" w:eastAsia="Arial" w:hAnsi="Arial"/>
          <w:sz w:val="19"/>
          <w:szCs w:val="19"/>
          <w:color w:val="auto"/>
        </w:rPr>
      </w:pPr>
    </w:p>
    <w:p>
      <w:pPr>
        <w:jc w:val="both"/>
        <w:ind w:right="240" w:firstLine="823"/>
        <w:spacing w:after="0" w:line="250" w:lineRule="auto"/>
        <w:tabs>
          <w:tab w:leader="none" w:pos="2034"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Employee agrees that for a period of twelve (12) months immediately following the Termination Date, Employee shall not either directly or indirectly solicit, induce, recruit, or encourage any of the Company’s employees or consultants to leave their employment, or attempt to do so, either for Employee or any other person or entity.</w:t>
      </w:r>
    </w:p>
    <w:p>
      <w:pPr>
        <w:spacing w:after="0" w:line="186" w:lineRule="exact"/>
        <w:rPr>
          <w:rFonts w:ascii="Arial" w:cs="Arial" w:eastAsia="Arial" w:hAnsi="Arial"/>
          <w:sz w:val="20"/>
          <w:szCs w:val="20"/>
          <w:color w:val="auto"/>
        </w:rPr>
      </w:pPr>
    </w:p>
    <w:p>
      <w:pPr>
        <w:ind w:left="2040" w:hanging="1217"/>
        <w:spacing w:after="0"/>
        <w:tabs>
          <w:tab w:leader="none" w:pos="204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40" w:firstLine="823"/>
        <w:spacing w:after="0" w:line="250" w:lineRule="auto"/>
        <w:tabs>
          <w:tab w:leader="none" w:pos="2034"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Breach</w:t>
      </w:r>
      <w:r>
        <w:rPr>
          <w:rFonts w:ascii="Arial" w:cs="Arial" w:eastAsia="Arial" w:hAnsi="Arial"/>
          <w:sz w:val="20"/>
          <w:szCs w:val="20"/>
          <w:color w:val="auto"/>
        </w:rPr>
        <w:t>. Employee acknowledges and agrees that any breach of any provision of this Agreement shall constitute a material breach of this Agreement and shall entitle the Company immediately to cease the consideration payments provided to Employee under this Agreement.</w:t>
      </w:r>
    </w:p>
    <w:p>
      <w:pPr>
        <w:spacing w:after="0" w:line="186" w:lineRule="exact"/>
        <w:rPr>
          <w:rFonts w:ascii="Arial" w:cs="Arial" w:eastAsia="Arial" w:hAnsi="Arial"/>
          <w:sz w:val="20"/>
          <w:szCs w:val="20"/>
          <w:color w:val="auto"/>
        </w:rPr>
      </w:pPr>
    </w:p>
    <w:p>
      <w:pPr>
        <w:ind w:right="60" w:firstLine="823"/>
        <w:spacing w:after="0" w:line="250" w:lineRule="auto"/>
        <w:tabs>
          <w:tab w:leader="none" w:pos="2034"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 Knowledge of Wrongdoing</w:t>
      </w:r>
      <w:r>
        <w:rPr>
          <w:rFonts w:ascii="Arial" w:cs="Arial" w:eastAsia="Arial" w:hAnsi="Arial"/>
          <w:sz w:val="20"/>
          <w:szCs w:val="20"/>
          <w:color w:val="auto"/>
        </w:rPr>
        <w:t>. Employee represents that Employee has no knowledge of any wrongdoing involving improper or false claims against a national, federal, or state governmental agency, or any other wrongdoing that involves Employee or other present or former Company employees.</w:t>
      </w:r>
    </w:p>
    <w:p>
      <w:pPr>
        <w:spacing w:after="0" w:line="186" w:lineRule="exact"/>
        <w:rPr>
          <w:rFonts w:ascii="Arial" w:cs="Arial" w:eastAsia="Arial" w:hAnsi="Arial"/>
          <w:sz w:val="20"/>
          <w:szCs w:val="20"/>
          <w:color w:val="auto"/>
        </w:rPr>
      </w:pPr>
    </w:p>
    <w:p>
      <w:pPr>
        <w:ind w:firstLine="823"/>
        <w:spacing w:after="0" w:line="250" w:lineRule="auto"/>
        <w:tabs>
          <w:tab w:leader="none" w:pos="2034"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The Parties understand and acknowledge that this Agreement constitutes a compromise and settlement of actual or potential disputed claims. No action taken by the Parties hereto, or either of them, either previously or in connection with this Agreement shall be deemed or construed to be:</w:t>
      </w:r>
    </w:p>
    <w:p>
      <w:pPr>
        <w:sectPr>
          <w:pgSz w:w="11900" w:h="16838" w:orient="portrait"/>
          <w:cols w:equalWidth="0" w:num="1">
            <w:col w:w="11400"/>
          </w:cols>
          <w:pgMar w:left="240" w:top="339" w:right="259" w:bottom="1440" w:gutter="0" w:footer="0" w:header="0"/>
        </w:sectPr>
      </w:pPr>
    </w:p>
    <w:p>
      <w:pPr>
        <w:spacing w:after="0" w:line="186"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an admission of the truth or falsity of any claims made or any potential claims; or</w:t>
      </w:r>
    </w:p>
    <w:p>
      <w:pPr>
        <w:spacing w:after="0" w:line="200" w:lineRule="exact"/>
        <w:rPr>
          <w:sz w:val="20"/>
          <w:szCs w:val="20"/>
          <w:color w:val="auto"/>
        </w:rPr>
      </w:pPr>
    </w:p>
    <w:p>
      <w:pPr>
        <w:sectPr>
          <w:pgSz w:w="11900" w:h="16838" w:orient="portrait"/>
          <w:cols w:equalWidth="0" w:num="2">
            <w:col w:w="2760" w:space="720"/>
            <w:col w:w="7920"/>
          </w:cols>
          <w:pgMar w:left="240" w:top="339" w:right="259" w:bottom="1440" w:gutter="0" w:footer="0" w:header="0"/>
          <w:type w:val="continuous"/>
        </w:sectPr>
      </w:pPr>
    </w:p>
    <w:p>
      <w:pPr>
        <w:spacing w:after="0" w:line="3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(b)</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Party or to any third party.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 acknowledgment or admission by either Party of any fault or liability whatsoever to the other</w:t>
      </w:r>
    </w:p>
    <w:p>
      <w:pPr>
        <w:spacing w:after="0" w:line="445" w:lineRule="exact"/>
        <w:rPr>
          <w:sz w:val="20"/>
          <w:szCs w:val="20"/>
          <w:color w:val="auto"/>
        </w:rPr>
      </w:pPr>
    </w:p>
    <w:p>
      <w:pPr>
        <w:sectPr>
          <w:pgSz w:w="11900" w:h="16838" w:orient="portrait"/>
          <w:cols w:equalWidth="0" w:num="2">
            <w:col w:w="2780" w:space="720"/>
            <w:col w:w="7900"/>
          </w:cols>
          <w:pgMar w:left="240" w:top="339" w:right="259" w:bottom="1440" w:gutter="0" w:footer="0" w:header="0"/>
          <w:type w:val="continuous"/>
        </w:sectPr>
      </w:pPr>
    </w:p>
    <w:p>
      <w:pPr>
        <w:spacing w:after="0" w:line="23" w:lineRule="exact"/>
        <w:rPr>
          <w:sz w:val="20"/>
          <w:szCs w:val="20"/>
          <w:color w:val="auto"/>
        </w:rPr>
      </w:pPr>
    </w:p>
    <w:p>
      <w:pPr>
        <w:ind w:right="20" w:firstLine="823"/>
        <w:spacing w:after="0" w:line="269" w:lineRule="auto"/>
        <w:tabs>
          <w:tab w:leader="none" w:pos="203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Employee agrees to indemnify and hold harmless the Company from and against any and all loss, costs, damages or expenses, including, without limitation, attorneys’ fees or expenses incurred by the Company arising out of the breach of this Agreement by Employee, or from any false representation made herein by Employee, or from any action or proceeding which may be commenced, prosecuted or threatened by Employee or for Employee’s benefit, upon Employee’s initiative, or with Employee’s aid or approval, contrary to the provisions of this Agreement. Employee further agrees that in any such action or proceeding, this Agreement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type w:val="continuous"/>
        </w:sectPr>
      </w:pPr>
    </w:p>
    <w:bookmarkStart w:id="39" w:name="page40"/>
    <w:bookmarkEnd w:id="39"/>
    <w:p>
      <w:pPr>
        <w:jc w:val="both"/>
        <w:ind w:right="380"/>
        <w:spacing w:after="0" w:line="250" w:lineRule="auto"/>
        <w:rPr>
          <w:sz w:val="20"/>
          <w:szCs w:val="20"/>
          <w:color w:val="auto"/>
        </w:rPr>
      </w:pPr>
      <w:r>
        <w:rPr>
          <w:rFonts w:ascii="Arial" w:cs="Arial" w:eastAsia="Arial" w:hAnsi="Arial"/>
          <w:sz w:val="20"/>
          <w:szCs w:val="20"/>
          <w:color w:val="auto"/>
        </w:rPr>
        <w:t>may be pled by the Company as a complete defense, or may be asserted by way of counterclaim or cross-claim. In the event that Employee incurs an indemnification obligation under this Agreement, Employee acknowledges and agrees that Company may in its discretion pursue remedies available to the Company at equity and at law.</w:t>
      </w:r>
    </w:p>
    <w:p>
      <w:pPr>
        <w:spacing w:after="0" w:line="186" w:lineRule="exact"/>
        <w:rPr>
          <w:sz w:val="20"/>
          <w:szCs w:val="20"/>
          <w:color w:val="auto"/>
        </w:rPr>
      </w:pPr>
    </w:p>
    <w:p>
      <w:pPr>
        <w:ind w:right="20" w:firstLine="823"/>
        <w:spacing w:after="0" w:line="243" w:lineRule="auto"/>
        <w:tabs>
          <w:tab w:leader="none" w:pos="2034"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Reasonable Assistance</w:t>
      </w:r>
      <w:r>
        <w:rPr>
          <w:rFonts w:ascii="Arial" w:cs="Arial" w:eastAsia="Arial" w:hAnsi="Arial"/>
          <w:sz w:val="20"/>
          <w:szCs w:val="20"/>
          <w:color w:val="auto"/>
        </w:rPr>
        <w:t>. Employee acknowledges the continuation of Employee’s obligations to assist Company pursuant to the Confidential Information Agreement. In addition, Employee acknowledges that Employee’s assistance may be required regarding certain ongoing dispute resolution and corporate matters of Company. To that end, Employee will execute, verify and deliver such documents and perform such other acts (including appearances as a witness) as the Company may reasonably request. Employee’s obligation to assist the Company under this Section shall continue beyond the Termination Date, provided that Company shall compensate Employee at a reasonable rate after the Termination Date for the time actually spent by Employee and fees incurred (including attorneys’ fees and costs) at the Company’s request on such assistance.</w:t>
      </w:r>
    </w:p>
    <w:p>
      <w:pPr>
        <w:spacing w:after="0" w:line="193" w:lineRule="exact"/>
        <w:rPr>
          <w:rFonts w:ascii="Arial" w:cs="Arial" w:eastAsia="Arial" w:hAnsi="Arial"/>
          <w:sz w:val="20"/>
          <w:szCs w:val="20"/>
          <w:color w:val="auto"/>
        </w:rPr>
      </w:pPr>
    </w:p>
    <w:p>
      <w:pPr>
        <w:ind w:right="140" w:firstLine="823"/>
        <w:spacing w:after="0" w:line="260" w:lineRule="auto"/>
        <w:tabs>
          <w:tab w:leader="none" w:pos="2034"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The Parties shall each bear their own costs, expert fees, attorneys’ fees, and other fees incurred in connection with this Agreement, except as provided herein.</w:t>
      </w:r>
    </w:p>
    <w:p>
      <w:pPr>
        <w:spacing w:after="0" w:line="176" w:lineRule="exact"/>
        <w:rPr>
          <w:rFonts w:ascii="Arial" w:cs="Arial" w:eastAsia="Arial" w:hAnsi="Arial"/>
          <w:sz w:val="20"/>
          <w:szCs w:val="20"/>
          <w:color w:val="auto"/>
        </w:rPr>
      </w:pPr>
    </w:p>
    <w:p>
      <w:pPr>
        <w:ind w:right="40" w:firstLine="823"/>
        <w:spacing w:after="0" w:line="273" w:lineRule="auto"/>
        <w:tabs>
          <w:tab w:leader="none" w:pos="203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 of any sums to Employee under the terms of this Agreement. Employee agrees and understands that Employee is responsible for payment, if any, of local, state and/or federal taxes on the sums paid hereunder by the Company and any penalties or assessments thereon; provided, however, that the Company shall withhold from the consideration and other benefits due hereunder any taxes, charges, or other assessments of any kind required under law to be withheld by the Company.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attorneys’ fees.</w:t>
      </w:r>
    </w:p>
    <w:p>
      <w:pPr>
        <w:spacing w:after="0" w:line="169" w:lineRule="exact"/>
        <w:rPr>
          <w:rFonts w:ascii="Arial" w:cs="Arial" w:eastAsia="Arial" w:hAnsi="Arial"/>
          <w:sz w:val="18"/>
          <w:szCs w:val="18"/>
          <w:color w:val="auto"/>
        </w:rPr>
      </w:pPr>
    </w:p>
    <w:p>
      <w:pPr>
        <w:ind w:firstLine="823"/>
        <w:spacing w:after="0" w:line="271" w:lineRule="auto"/>
        <w:tabs>
          <w:tab w:leader="none" w:pos="203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The Parties agree that any and all disputes arising out of the terms of this Agreement, their interpretation, and any of the matters herein released, shall be subject to binding arbitration before the American Arbitration Association under its Employment Arbitration Rules and Mediation Procedures (the “Rules”). The Company will pay for all professional fees for the arbitrator’s services, regardless of who is determined to be the prevailing party. The Parties agree that the prevailing Party in any arbitration shall be awarded its reasonable attorneys’ fees and costs, unless contrary to applicable law or the Rules. The arbitration will take place in Santa Clara County, California. The Parties agree that the prevailing Party in any arbitration shall be entitled to injunctive relief in any court of competent jurisdiction to enforce the arbitration award. </w:t>
      </w:r>
      <w:r>
        <w:rPr>
          <w:rFonts w:ascii="Arial" w:cs="Arial" w:eastAsia="Arial" w:hAnsi="Arial"/>
          <w:sz w:val="18"/>
          <w:szCs w:val="18"/>
          <w:b w:val="1"/>
          <w:bCs w:val="1"/>
          <w:color w:val="auto"/>
        </w:rPr>
        <w:t>The Parties hereby agree to waive their right to have any dispute between them resolved in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court of law by a judge or jury. </w:t>
      </w:r>
      <w:r>
        <w:rPr>
          <w:rFonts w:ascii="Arial" w:cs="Arial" w:eastAsia="Arial" w:hAnsi="Arial"/>
          <w:sz w:val="18"/>
          <w:szCs w:val="18"/>
          <w:color w:val="auto"/>
        </w:rPr>
        <w:t>This Section will not prevent either Party from seeking injunctive relief (or any other provisional remedy)</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court having jurisdiction over the Parties and the subject matter of their dispute upon such grounds permitted by the applicable law without waiving the right to compel arbitration, such as the circumstances set forth in California Code of Civil Procedure Section 1281.8.</w:t>
      </w:r>
    </w:p>
    <w:p>
      <w:pPr>
        <w:spacing w:after="0" w:line="174" w:lineRule="exact"/>
        <w:rPr>
          <w:rFonts w:ascii="Arial" w:cs="Arial" w:eastAsia="Arial" w:hAnsi="Arial"/>
          <w:sz w:val="18"/>
          <w:szCs w:val="18"/>
          <w:color w:val="auto"/>
        </w:rPr>
      </w:pPr>
    </w:p>
    <w:p>
      <w:pPr>
        <w:ind w:firstLine="823"/>
        <w:spacing w:after="0" w:line="260" w:lineRule="auto"/>
        <w:tabs>
          <w:tab w:leader="none" w:pos="203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0" w:lineRule="exact"/>
        <w:rPr>
          <w:rFonts w:ascii="Arial" w:cs="Arial" w:eastAsia="Arial" w:hAnsi="Arial"/>
          <w:sz w:val="19"/>
          <w:szCs w:val="19"/>
          <w:color w:val="auto"/>
        </w:rPr>
      </w:pPr>
    </w:p>
    <w:p>
      <w:pPr>
        <w:ind w:right="420" w:firstLine="823"/>
        <w:spacing w:after="0" w:line="272" w:lineRule="auto"/>
        <w:tabs>
          <w:tab w:leader="none" w:pos="203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Each Party represents that it has had the opportunity to consult with an attorney, and has carefully read and understands the scope and effect of the provisions of this Agreement. In entering into this Agreement, neither Party has relied upon any representations or statements made by the other Party hereto which are not specifically set forth in this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40" w:name="page41"/>
    <w:bookmarkEnd w:id="40"/>
    <w:p>
      <w:pPr>
        <w:jc w:val="both"/>
        <w:ind w:right="180" w:firstLine="823"/>
        <w:spacing w:after="0" w:line="250" w:lineRule="auto"/>
        <w:tabs>
          <w:tab w:leader="none" w:pos="2034"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thereof, becomes or is declared by a court of competent jurisdiction to be illegal, unenforceable or void, this Agreement shall continue in full force and effect without said provision or portion of said provision.</w:t>
      </w:r>
    </w:p>
    <w:p>
      <w:pPr>
        <w:spacing w:after="0" w:line="186" w:lineRule="exact"/>
        <w:rPr>
          <w:rFonts w:ascii="Arial" w:cs="Arial" w:eastAsia="Arial" w:hAnsi="Arial"/>
          <w:sz w:val="20"/>
          <w:szCs w:val="20"/>
          <w:color w:val="auto"/>
        </w:rPr>
      </w:pPr>
    </w:p>
    <w:p>
      <w:pPr>
        <w:ind w:right="140" w:firstLine="823"/>
        <w:spacing w:after="0" w:line="244" w:lineRule="auto"/>
        <w:tabs>
          <w:tab w:leader="none" w:pos="2034"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Confidential Information Agreement and Employee’s equity incentive agreements and Indemnification Agreement, represent the entire agreement and understanding between the Company and Employee concerning the subject matter of this Agreement and Employee’s relationship with the Company, and supersedes and replaces any and all prior agreements and understandings between the Parties concerning the subject matter of this Agreement and Employee’s relationship with the Company.</w:t>
      </w:r>
    </w:p>
    <w:p>
      <w:pPr>
        <w:spacing w:after="0" w:line="194" w:lineRule="exact"/>
        <w:rPr>
          <w:rFonts w:ascii="Arial" w:cs="Arial" w:eastAsia="Arial" w:hAnsi="Arial"/>
          <w:sz w:val="20"/>
          <w:szCs w:val="20"/>
          <w:color w:val="auto"/>
        </w:rPr>
      </w:pPr>
    </w:p>
    <w:p>
      <w:pPr>
        <w:ind w:right="280" w:firstLine="823"/>
        <w:spacing w:after="0" w:line="246" w:lineRule="auto"/>
        <w:tabs>
          <w:tab w:leader="none" w:pos="2034"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The failure of the Company to insist upon the performance of any of the terms and conditions in this Agreement, or the failure to prosecute any breach of any of the terms and conditions of this Agreement, shall not be construed thereafter as a waiver of any such terms or conditions. This entire Agreement shall remain in full force and effect as if no such forbearance or failure of performance had occurred.</w:t>
      </w:r>
    </w:p>
    <w:p>
      <w:pPr>
        <w:spacing w:after="0" w:line="191" w:lineRule="exact"/>
        <w:rPr>
          <w:rFonts w:ascii="Arial" w:cs="Arial" w:eastAsia="Arial" w:hAnsi="Arial"/>
          <w:sz w:val="20"/>
          <w:szCs w:val="20"/>
          <w:color w:val="auto"/>
        </w:rPr>
      </w:pPr>
    </w:p>
    <w:p>
      <w:pPr>
        <w:ind w:right="720" w:firstLine="823"/>
        <w:spacing w:after="0" w:line="260" w:lineRule="auto"/>
        <w:tabs>
          <w:tab w:leader="none" w:pos="2034"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Employee and the Chief Executive Officer or other duly authorized officer of the Company.</w:t>
      </w:r>
    </w:p>
    <w:p>
      <w:pPr>
        <w:spacing w:after="0" w:line="176" w:lineRule="exact"/>
        <w:rPr>
          <w:rFonts w:ascii="Arial" w:cs="Arial" w:eastAsia="Arial" w:hAnsi="Arial"/>
          <w:sz w:val="20"/>
          <w:szCs w:val="20"/>
          <w:color w:val="auto"/>
        </w:rPr>
      </w:pPr>
    </w:p>
    <w:p>
      <w:pPr>
        <w:ind w:right="80" w:firstLine="823"/>
        <w:spacing w:after="0" w:line="260" w:lineRule="auto"/>
        <w:tabs>
          <w:tab w:leader="none" w:pos="2034"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governed, and enforced in accordance with the laws of the State of California, without regard to choice of law provisions.</w:t>
      </w:r>
    </w:p>
    <w:p>
      <w:pPr>
        <w:spacing w:after="0" w:line="176" w:lineRule="exact"/>
        <w:rPr>
          <w:rFonts w:ascii="Arial" w:cs="Arial" w:eastAsia="Arial" w:hAnsi="Arial"/>
          <w:sz w:val="20"/>
          <w:szCs w:val="20"/>
          <w:color w:val="auto"/>
        </w:rPr>
      </w:pPr>
    </w:p>
    <w:p>
      <w:pPr>
        <w:ind w:right="100" w:firstLine="823"/>
        <w:spacing w:after="0" w:line="316" w:lineRule="auto"/>
        <w:tabs>
          <w:tab w:leader="none" w:pos="203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shall have the same force and effect as an original and shall constitute an effective, binding agreement on the part of each of the undersigned.</w:t>
      </w:r>
    </w:p>
    <w:p>
      <w:pPr>
        <w:spacing w:after="0" w:line="130" w:lineRule="exact"/>
        <w:rPr>
          <w:sz w:val="20"/>
          <w:szCs w:val="20"/>
          <w:color w:val="auto"/>
        </w:rPr>
      </w:pPr>
    </w:p>
    <w:p>
      <w:pPr>
        <w:jc w:val="both"/>
        <w:ind w:right="240" w:firstLine="823"/>
        <w:spacing w:after="0" w:line="250" w:lineRule="auto"/>
        <w:tabs>
          <w:tab w:leader="none" w:pos="207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Employee and Employee’s heirs, executors, personal representatives, assigns, administrators, and legal representatives. This Agreement shall be binding upon and inure to the benefit of the Company and its successors, assigns and legal representatives.</w:t>
      </w:r>
    </w:p>
    <w:p>
      <w:pPr>
        <w:spacing w:after="0" w:line="186" w:lineRule="exact"/>
        <w:rPr>
          <w:sz w:val="20"/>
          <w:szCs w:val="20"/>
          <w:color w:val="auto"/>
        </w:rPr>
      </w:pPr>
    </w:p>
    <w:p>
      <w:pPr>
        <w:ind w:right="720" w:firstLine="823"/>
        <w:spacing w:after="0" w:line="316" w:lineRule="auto"/>
        <w:tabs>
          <w:tab w:leader="none" w:pos="203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with the full intent of releasing all claims. Employee acknowledges that Employee: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80" w:type="dxa"/>
            <w:vAlign w:val="bottom"/>
          </w:tcPr>
          <w:p>
            <w:pPr>
              <w:ind w:left="1640"/>
              <w:spacing w:after="0"/>
              <w:rPr>
                <w:sz w:val="20"/>
                <w:szCs w:val="20"/>
                <w:color w:val="auto"/>
              </w:rPr>
            </w:pPr>
            <w:r>
              <w:rPr>
                <w:rFonts w:ascii="Arial" w:cs="Arial" w:eastAsia="Arial" w:hAnsi="Arial"/>
                <w:sz w:val="20"/>
                <w:szCs w:val="20"/>
                <w:color w:val="auto"/>
              </w:rPr>
              <w:t>(a)</w:t>
            </w:r>
          </w:p>
        </w:tc>
        <w:tc>
          <w:tcPr>
            <w:tcW w:w="8760" w:type="dxa"/>
            <w:vAlign w:val="bottom"/>
          </w:tcPr>
          <w:p>
            <w:pPr>
              <w:ind w:left="800"/>
              <w:spacing w:after="0"/>
              <w:rPr>
                <w:sz w:val="20"/>
                <w:szCs w:val="20"/>
                <w:color w:val="auto"/>
              </w:rPr>
            </w:pPr>
            <w:r>
              <w:rPr>
                <w:rFonts w:ascii="Arial" w:cs="Arial" w:eastAsia="Arial" w:hAnsi="Arial"/>
                <w:sz w:val="20"/>
                <w:szCs w:val="20"/>
                <w:color w:val="auto"/>
              </w:rPr>
              <w:t>has read this Agreement;</w:t>
            </w:r>
          </w:p>
        </w:tc>
      </w:tr>
      <w:tr>
        <w:trPr>
          <w:trHeight w:val="425"/>
        </w:trPr>
        <w:tc>
          <w:tcPr>
            <w:tcW w:w="2680" w:type="dxa"/>
            <w:vAlign w:val="bottom"/>
          </w:tcPr>
          <w:p>
            <w:pPr>
              <w:ind w:left="1640"/>
              <w:spacing w:after="0"/>
              <w:rPr>
                <w:sz w:val="20"/>
                <w:szCs w:val="20"/>
                <w:color w:val="auto"/>
              </w:rPr>
            </w:pPr>
            <w:r>
              <w:rPr>
                <w:rFonts w:ascii="Arial" w:cs="Arial" w:eastAsia="Arial" w:hAnsi="Arial"/>
                <w:sz w:val="20"/>
                <w:szCs w:val="20"/>
                <w:color w:val="auto"/>
              </w:rPr>
              <w:t>(b)</w:t>
            </w:r>
          </w:p>
        </w:tc>
        <w:tc>
          <w:tcPr>
            <w:tcW w:w="8760" w:type="dxa"/>
            <w:vAlign w:val="bottom"/>
          </w:tcPr>
          <w:p>
            <w:pPr>
              <w:ind w:left="820"/>
              <w:spacing w:after="0"/>
              <w:rPr>
                <w:sz w:val="20"/>
                <w:szCs w:val="20"/>
                <w:color w:val="auto"/>
              </w:rPr>
            </w:pPr>
            <w:r>
              <w:rPr>
                <w:rFonts w:ascii="Arial" w:cs="Arial" w:eastAsia="Arial" w:hAnsi="Arial"/>
                <w:sz w:val="20"/>
                <w:szCs w:val="20"/>
                <w:color w:val="auto"/>
                <w:w w:val="94"/>
              </w:rPr>
              <w:t>has been represented in the preparation, negotiation, and execution of this Agreement by legal</w:t>
            </w:r>
          </w:p>
        </w:tc>
      </w:tr>
      <w:tr>
        <w:trPr>
          <w:trHeight w:val="250"/>
        </w:trPr>
        <w:tc>
          <w:tcPr>
            <w:tcW w:w="11440" w:type="dxa"/>
            <w:vAlign w:val="bottom"/>
            <w:gridSpan w:val="2"/>
          </w:tcPr>
          <w:p>
            <w:pPr>
              <w:spacing w:after="0"/>
              <w:rPr>
                <w:sz w:val="20"/>
                <w:szCs w:val="20"/>
                <w:color w:val="auto"/>
              </w:rPr>
            </w:pPr>
            <w:r>
              <w:rPr>
                <w:rFonts w:ascii="Arial" w:cs="Arial" w:eastAsia="Arial" w:hAnsi="Arial"/>
                <w:sz w:val="20"/>
                <w:szCs w:val="20"/>
                <w:color w:val="auto"/>
              </w:rPr>
              <w:t>counsel of Employee’s own choice or that Employee has voluntarily declined to seek such counsel;</w:t>
            </w:r>
          </w:p>
        </w:tc>
      </w:tr>
      <w:tr>
        <w:trPr>
          <w:trHeight w:val="446"/>
        </w:trPr>
        <w:tc>
          <w:tcPr>
            <w:tcW w:w="2680" w:type="dxa"/>
            <w:vAlign w:val="bottom"/>
          </w:tcPr>
          <w:p>
            <w:pPr>
              <w:ind w:left="1640"/>
              <w:spacing w:after="0"/>
              <w:rPr>
                <w:sz w:val="20"/>
                <w:szCs w:val="20"/>
                <w:color w:val="auto"/>
              </w:rPr>
            </w:pPr>
            <w:r>
              <w:rPr>
                <w:rFonts w:ascii="Arial" w:cs="Arial" w:eastAsia="Arial" w:hAnsi="Arial"/>
                <w:sz w:val="20"/>
                <w:szCs w:val="20"/>
                <w:color w:val="auto"/>
              </w:rPr>
              <w:t>(c)</w:t>
            </w:r>
          </w:p>
        </w:tc>
        <w:tc>
          <w:tcPr>
            <w:tcW w:w="8760" w:type="dxa"/>
            <w:vAlign w:val="bottom"/>
          </w:tcPr>
          <w:p>
            <w:pPr>
              <w:ind w:left="800"/>
              <w:spacing w:after="0"/>
              <w:rPr>
                <w:sz w:val="20"/>
                <w:szCs w:val="20"/>
                <w:color w:val="auto"/>
              </w:rPr>
            </w:pPr>
            <w:r>
              <w:rPr>
                <w:rFonts w:ascii="Arial" w:cs="Arial" w:eastAsia="Arial" w:hAnsi="Arial"/>
                <w:sz w:val="20"/>
                <w:szCs w:val="20"/>
                <w:color w:val="auto"/>
                <w:w w:val="93"/>
              </w:rPr>
              <w:t>understands the terms and consequences of this Agreement and of the releases it contains; and</w:t>
            </w:r>
          </w:p>
        </w:tc>
      </w:tr>
      <w:tr>
        <w:trPr>
          <w:trHeight w:val="446"/>
        </w:trPr>
        <w:tc>
          <w:tcPr>
            <w:tcW w:w="2680" w:type="dxa"/>
            <w:vAlign w:val="bottom"/>
          </w:tcPr>
          <w:p>
            <w:pPr>
              <w:ind w:left="1640"/>
              <w:spacing w:after="0"/>
              <w:rPr>
                <w:sz w:val="20"/>
                <w:szCs w:val="20"/>
                <w:color w:val="auto"/>
              </w:rPr>
            </w:pPr>
            <w:r>
              <w:rPr>
                <w:rFonts w:ascii="Arial" w:cs="Arial" w:eastAsia="Arial" w:hAnsi="Arial"/>
                <w:sz w:val="20"/>
                <w:szCs w:val="20"/>
                <w:color w:val="auto"/>
              </w:rPr>
              <w:t>(d)</w:t>
            </w:r>
          </w:p>
        </w:tc>
        <w:tc>
          <w:tcPr>
            <w:tcW w:w="8760" w:type="dxa"/>
            <w:vAlign w:val="bottom"/>
          </w:tcPr>
          <w:p>
            <w:pPr>
              <w:ind w:left="820"/>
              <w:spacing w:after="0"/>
              <w:rPr>
                <w:sz w:val="20"/>
                <w:szCs w:val="20"/>
                <w:color w:val="auto"/>
              </w:rPr>
            </w:pPr>
            <w:r>
              <w:rPr>
                <w:rFonts w:ascii="Arial" w:cs="Arial" w:eastAsia="Arial" w:hAnsi="Arial"/>
                <w:sz w:val="20"/>
                <w:szCs w:val="20"/>
                <w:color w:val="auto"/>
              </w:rPr>
              <w:t>is fully aware of the legal and binding effect of this Agreement.</w:t>
            </w:r>
          </w:p>
        </w:tc>
      </w:tr>
      <w:tr>
        <w:trPr>
          <w:trHeight w:val="446"/>
        </w:trPr>
        <w:tc>
          <w:tcPr>
            <w:tcW w:w="2680" w:type="dxa"/>
            <w:vAlign w:val="bottom"/>
          </w:tcPr>
          <w:p>
            <w:pPr>
              <w:spacing w:after="0"/>
              <w:rPr>
                <w:sz w:val="24"/>
                <w:szCs w:val="24"/>
                <w:color w:val="auto"/>
              </w:rPr>
            </w:pPr>
          </w:p>
        </w:tc>
        <w:tc>
          <w:tcPr>
            <w:tcW w:w="8760" w:type="dxa"/>
            <w:vAlign w:val="bottom"/>
          </w:tcPr>
          <w:p>
            <w:pPr>
              <w:ind w:left="2000"/>
              <w:spacing w:after="0"/>
              <w:rPr>
                <w:sz w:val="20"/>
                <w:szCs w:val="20"/>
                <w:color w:val="auto"/>
              </w:rPr>
            </w:pPr>
            <w:r>
              <w:rPr>
                <w:rFonts w:ascii="Arial" w:cs="Arial" w:eastAsia="Arial" w:hAnsi="Arial"/>
                <w:sz w:val="20"/>
                <w:szCs w:val="20"/>
                <w:i w:val="1"/>
                <w:iCs w:val="1"/>
                <w:color w:val="auto"/>
              </w:rPr>
              <w:t>[Signature Page Follows]</w:t>
            </w:r>
          </w:p>
        </w:tc>
      </w:tr>
      <w:tr>
        <w:trPr>
          <w:trHeight w:val="675"/>
        </w:trPr>
        <w:tc>
          <w:tcPr>
            <w:tcW w:w="2680" w:type="dxa"/>
            <w:vAlign w:val="bottom"/>
          </w:tcPr>
          <w:p>
            <w:pPr>
              <w:spacing w:after="0"/>
              <w:rPr>
                <w:sz w:val="24"/>
                <w:szCs w:val="24"/>
                <w:color w:val="auto"/>
              </w:rPr>
            </w:pPr>
          </w:p>
        </w:tc>
        <w:tc>
          <w:tcPr>
            <w:tcW w:w="8760" w:type="dxa"/>
            <w:vAlign w:val="bottom"/>
          </w:tcPr>
          <w:p>
            <w:pPr>
              <w:ind w:left="2980"/>
              <w:spacing w:after="0"/>
              <w:rPr>
                <w:sz w:val="20"/>
                <w:szCs w:val="20"/>
                <w:color w:val="auto"/>
              </w:rPr>
            </w:pPr>
            <w:r>
              <w:rPr>
                <w:rFonts w:ascii="Arial" w:cs="Arial" w:eastAsia="Arial" w:hAnsi="Arial"/>
                <w:sz w:val="20"/>
                <w:szCs w:val="20"/>
                <w:color w:val="auto"/>
              </w:rPr>
              <w:t>7</w:t>
            </w:r>
          </w:p>
        </w:tc>
      </w:tr>
      <w:tr>
        <w:trPr>
          <w:trHeight w:val="327"/>
        </w:trPr>
        <w:tc>
          <w:tcPr>
            <w:tcW w:w="26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IN WITNESS WHEREOF, the Parties have executed and agreed to this Agreement on the respective dates set forth below.</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Synaptics Incorporated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20"/>
                <w:szCs w:val="20"/>
                <w:color w:val="auto"/>
              </w:rPr>
              <w:t>Dated: October 9, 2018</w:t>
            </w:r>
          </w:p>
        </w:tc>
        <w:tc>
          <w:tcPr>
            <w:tcW w:w="2980" w:type="dxa"/>
            <w:vAlign w:val="bottom"/>
            <w:gridSpan w:val="2"/>
          </w:tcPr>
          <w:p>
            <w:pPr>
              <w:ind w:left="1060"/>
              <w:spacing w:after="0"/>
              <w:rPr>
                <w:sz w:val="20"/>
                <w:szCs w:val="20"/>
                <w:color w:val="auto"/>
              </w:rPr>
            </w:pPr>
            <w:r>
              <w:rPr>
                <w:rFonts w:ascii="Arial" w:cs="Arial" w:eastAsia="Arial" w:hAnsi="Arial"/>
                <w:sz w:val="20"/>
                <w:szCs w:val="20"/>
                <w:color w:val="auto"/>
                <w:w w:val="89"/>
              </w:rPr>
              <w:t>By:/s/ Richard Bergman</w:t>
            </w:r>
          </w:p>
        </w:tc>
      </w:tr>
      <w:tr>
        <w:trPr>
          <w:trHeight w:val="233"/>
        </w:trPr>
        <w:tc>
          <w:tcPr>
            <w:tcW w:w="4540" w:type="dxa"/>
            <w:vAlign w:val="bottom"/>
          </w:tcPr>
          <w:p>
            <w:pPr>
              <w:spacing w:after="0"/>
              <w:rPr>
                <w:sz w:val="20"/>
                <w:szCs w:val="20"/>
                <w:color w:val="auto"/>
              </w:rPr>
            </w:pPr>
            <w:r>
              <w:rPr>
                <w:rFonts w:ascii="Arial" w:cs="Arial" w:eastAsia="Arial" w:hAnsi="Arial"/>
                <w:sz w:val="20"/>
                <w:szCs w:val="20"/>
                <w:color w:val="auto"/>
              </w:rPr>
              <w:t>Name: Richard Bergman</w:t>
            </w:r>
          </w:p>
        </w:tc>
        <w:tc>
          <w:tcPr>
            <w:tcW w:w="134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Title: Chief Executive Officer and President</w:t>
            </w:r>
          </w:p>
        </w:tc>
        <w:tc>
          <w:tcPr>
            <w:tcW w:w="134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Dated: October 9, 2018.</w:t>
            </w:r>
          </w:p>
        </w:tc>
        <w:tc>
          <w:tcPr>
            <w:tcW w:w="3740" w:type="dxa"/>
            <w:vAlign w:val="bottom"/>
            <w:gridSpan w:val="2"/>
          </w:tcPr>
          <w:p>
            <w:pPr>
              <w:ind w:left="2420"/>
              <w:spacing w:after="0"/>
              <w:rPr>
                <w:sz w:val="20"/>
                <w:szCs w:val="20"/>
                <w:color w:val="auto"/>
              </w:rPr>
            </w:pPr>
            <w:r>
              <w:rPr>
                <w:rFonts w:ascii="Arial" w:cs="Arial" w:eastAsia="Arial" w:hAnsi="Arial"/>
                <w:sz w:val="20"/>
                <w:szCs w:val="20"/>
                <w:color w:val="auto"/>
                <w:w w:val="91"/>
              </w:rPr>
              <w:t>/s/ Kevin Barber</w:t>
            </w:r>
          </w:p>
        </w:tc>
      </w:tr>
      <w:tr>
        <w:trPr>
          <w:trHeight w:val="254"/>
        </w:trPr>
        <w:tc>
          <w:tcPr>
            <w:tcW w:w="4360" w:type="dxa"/>
            <w:vAlign w:val="bottom"/>
          </w:tcPr>
          <w:p>
            <w:pPr>
              <w:spacing w:after="0"/>
              <w:rPr>
                <w:sz w:val="20"/>
                <w:szCs w:val="20"/>
                <w:color w:val="auto"/>
              </w:rPr>
            </w:pPr>
            <w:r>
              <w:rPr>
                <w:rFonts w:ascii="Arial" w:cs="Arial" w:eastAsia="Arial" w:hAnsi="Arial"/>
                <w:sz w:val="20"/>
                <w:szCs w:val="20"/>
                <w:color w:val="auto"/>
              </w:rPr>
              <w:t>Kevin Barber</w:t>
            </w:r>
          </w:p>
        </w:tc>
        <w:tc>
          <w:tcPr>
            <w:tcW w:w="24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Employee hereby affirms this Agreement, and all terms herein, on November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00" w:type="dxa"/>
            <w:vAlign w:val="bottom"/>
          </w:tcPr>
          <w:p>
            <w:pPr>
              <w:spacing w:after="0"/>
              <w:rPr>
                <w:sz w:val="20"/>
                <w:szCs w:val="20"/>
                <w:color w:val="auto"/>
              </w:rPr>
            </w:pPr>
            <w:r>
              <w:rPr>
                <w:rFonts w:ascii="Arial" w:cs="Arial" w:eastAsia="Arial" w:hAnsi="Arial"/>
                <w:sz w:val="20"/>
                <w:szCs w:val="20"/>
                <w:color w:val="auto"/>
              </w:rPr>
              <w:t>EMPLOYEE:</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833"/>
        </w:trPr>
        <w:tc>
          <w:tcPr>
            <w:tcW w:w="2500" w:type="dxa"/>
            <w:vAlign w:val="bottom"/>
          </w:tcPr>
          <w:p>
            <w:pPr>
              <w:spacing w:after="0"/>
              <w:rPr>
                <w:sz w:val="20"/>
                <w:szCs w:val="20"/>
                <w:color w:val="auto"/>
              </w:rPr>
            </w:pPr>
            <w:r>
              <w:rPr>
                <w:rFonts w:ascii="Arial" w:cs="Arial" w:eastAsia="Arial" w:hAnsi="Arial"/>
                <w:sz w:val="20"/>
                <w:szCs w:val="20"/>
                <w:color w:val="auto"/>
              </w:rPr>
              <w:t>Dated: November 15, 2018</w:t>
            </w:r>
          </w:p>
        </w:tc>
        <w:tc>
          <w:tcPr>
            <w:tcW w:w="6080" w:type="dxa"/>
            <w:vAlign w:val="bottom"/>
            <w:gridSpan w:val="3"/>
          </w:tcPr>
          <w:p>
            <w:pPr>
              <w:ind w:left="4700"/>
              <w:spacing w:after="0"/>
              <w:rPr>
                <w:sz w:val="20"/>
                <w:szCs w:val="20"/>
                <w:color w:val="auto"/>
              </w:rPr>
            </w:pPr>
            <w:r>
              <w:rPr>
                <w:rFonts w:ascii="Arial" w:cs="Arial" w:eastAsia="Arial" w:hAnsi="Arial"/>
                <w:sz w:val="20"/>
                <w:szCs w:val="20"/>
                <w:color w:val="auto"/>
                <w:w w:val="99"/>
              </w:rPr>
              <w:t>/s/Kevin Barber</w:t>
            </w:r>
          </w:p>
        </w:tc>
      </w:tr>
      <w:tr>
        <w:trPr>
          <w:trHeight w:val="254"/>
        </w:trPr>
        <w:tc>
          <w:tcPr>
            <w:tcW w:w="2500" w:type="dxa"/>
            <w:vAlign w:val="bottom"/>
          </w:tcPr>
          <w:p>
            <w:pPr>
              <w:spacing w:after="0"/>
              <w:rPr>
                <w:sz w:val="20"/>
                <w:szCs w:val="20"/>
                <w:color w:val="auto"/>
              </w:rPr>
            </w:pPr>
            <w:r>
              <w:rPr>
                <w:rFonts w:ascii="Arial" w:cs="Arial" w:eastAsia="Arial" w:hAnsi="Arial"/>
                <w:sz w:val="20"/>
                <w:szCs w:val="20"/>
                <w:color w:val="auto"/>
              </w:rPr>
              <w:t>Kevin Barber</w:t>
            </w:r>
          </w:p>
        </w:tc>
        <w:tc>
          <w:tcPr>
            <w:tcW w:w="47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134"/>
        </w:trPr>
        <w:tc>
          <w:tcPr>
            <w:tcW w:w="2500" w:type="dxa"/>
            <w:vAlign w:val="bottom"/>
          </w:tcPr>
          <w:p>
            <w:pPr>
              <w:spacing w:after="0"/>
              <w:rPr>
                <w:sz w:val="24"/>
                <w:szCs w:val="24"/>
                <w:color w:val="auto"/>
              </w:rPr>
            </w:pPr>
          </w:p>
        </w:tc>
        <w:tc>
          <w:tcPr>
            <w:tcW w:w="6080" w:type="dxa"/>
            <w:vAlign w:val="bottom"/>
            <w:gridSpan w:val="3"/>
          </w:tcPr>
          <w:p>
            <w:pPr>
              <w:jc w:val="center"/>
              <w:ind w:left="261"/>
              <w:spacing w:after="0"/>
              <w:rPr>
                <w:sz w:val="20"/>
                <w:szCs w:val="20"/>
                <w:color w:val="auto"/>
              </w:rPr>
            </w:pPr>
            <w:r>
              <w:rPr>
                <w:rFonts w:ascii="Arial" w:cs="Arial" w:eastAsia="Arial" w:hAnsi="Arial"/>
                <w:sz w:val="20"/>
                <w:szCs w:val="20"/>
                <w:i w:val="1"/>
                <w:iCs w:val="1"/>
                <w:color w:val="auto"/>
                <w:w w:val="90"/>
              </w:rPr>
              <w:t>[SIGNATURE PAGE TO SEPARATION AGREEMENT AND RELEASE]</w:t>
            </w:r>
          </w:p>
        </w:tc>
      </w:tr>
      <w:tr>
        <w:trPr>
          <w:trHeight w:val="446"/>
        </w:trPr>
        <w:tc>
          <w:tcPr>
            <w:tcW w:w="2500" w:type="dxa"/>
            <w:vAlign w:val="bottom"/>
          </w:tcPr>
          <w:p>
            <w:pPr>
              <w:spacing w:after="0"/>
              <w:rPr>
                <w:sz w:val="24"/>
                <w:szCs w:val="24"/>
                <w:color w:val="auto"/>
              </w:rPr>
            </w:pPr>
          </w:p>
        </w:tc>
        <w:tc>
          <w:tcPr>
            <w:tcW w:w="4700" w:type="dxa"/>
            <w:vAlign w:val="bottom"/>
          </w:tcPr>
          <w:p>
            <w:pPr>
              <w:jc w:val="right"/>
              <w:ind w:right="1341"/>
              <w:spacing w:after="0"/>
              <w:rPr>
                <w:sz w:val="20"/>
                <w:szCs w:val="20"/>
                <w:color w:val="auto"/>
              </w:rPr>
            </w:pPr>
            <w:r>
              <w:rPr>
                <w:rFonts w:ascii="Arial" w:cs="Arial" w:eastAsia="Arial" w:hAnsi="Arial"/>
                <w:sz w:val="20"/>
                <w:szCs w:val="20"/>
                <w:color w:val="auto"/>
              </w:rPr>
              <w:t>8</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339"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Richard A. Bergman, certify that:</w:t>
      </w:r>
    </w:p>
    <w:p>
      <w:pPr>
        <w:spacing w:after="0" w:line="117" w:lineRule="exact"/>
        <w:rPr>
          <w:sz w:val="20"/>
          <w:szCs w:val="20"/>
          <w:color w:val="auto"/>
        </w:rPr>
      </w:pPr>
    </w:p>
    <w:p>
      <w:pPr>
        <w:ind w:left="700" w:hanging="17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Wajid Ali, certify that:</w:t>
      </w:r>
    </w:p>
    <w:p>
      <w:pPr>
        <w:spacing w:after="0" w:line="117" w:lineRule="exact"/>
        <w:rPr>
          <w:sz w:val="20"/>
          <w:szCs w:val="20"/>
          <w:color w:val="auto"/>
        </w:rPr>
      </w:pPr>
    </w:p>
    <w:p>
      <w:pPr>
        <w:ind w:left="700" w:hanging="17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December 29, 2018 as filed with the Securities and Exchange Commission on the date hereof (the “Report”), I, Richard A. Bergman,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December 29, 2018 as filed with the Securities and Exchange Commission on the date hereof (the “Report”), I, Wajid Ali,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1."/>
      <w:numFmt w:val="decimal"/>
      <w:start w:val="21"/>
    </w:lvl>
  </w:abstractNum>
  <w:abstractNum w:abstractNumId="17">
    <w:nsid w:val="333AB105"/>
    <w:multiLevelType w:val="hybridMultilevel"/>
    <w:lvl w:ilvl="0">
      <w:lvlJc w:val="left"/>
      <w:lvlText w:val="%1."/>
      <w:numFmt w:val="decimal"/>
      <w:start w:val="22"/>
    </w:lvl>
  </w:abstractNum>
  <w:abstractNum w:abstractNumId="18">
    <w:nsid w:val="721DA317"/>
    <w:multiLevelType w:val="hybridMultilevel"/>
    <w:lvl w:ilvl="0">
      <w:lvlJc w:val="left"/>
      <w:lvlText w:val="%1."/>
      <w:numFmt w:val="decimal"/>
      <w:start w:val="28"/>
    </w:lvl>
  </w:abstractNum>
  <w:abstractNum w:abstractNumId="19">
    <w:nsid w:val="2443A858"/>
    <w:multiLevelType w:val="hybridMultilevel"/>
    <w:lvl w:ilvl="0">
      <w:lvlJc w:val="left"/>
      <w:lvlText w:val="%1."/>
      <w:numFmt w:val="decimal"/>
      <w:start w:val="31"/>
    </w:lvl>
  </w:abstractNum>
  <w:abstractNum w:abstractNumId="20">
    <w:nsid w:val="2D1D5AE9"/>
    <w:multiLevelType w:val="hybridMultilevel"/>
    <w:lvl w:ilvl="0">
      <w:lvlJc w:val="left"/>
      <w:lvlText w:val="%1."/>
      <w:numFmt w:val="decimal"/>
      <w:start w:val="3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5" Type="http://schemas.openxmlformats.org/officeDocument/2006/relationships/hyperlink" Target="http://www.sec.gov/Archives/edgar/data/0000817720/000119312518315717/d638552dex101.htm" TargetMode="External"/><Relationship Id="rId56" Type="http://schemas.openxmlformats.org/officeDocument/2006/relationships/hyperlink" Target="http://www.sec.gov/Archives/edgar/data/0000817720/000119312518315717/d63855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2019-12-28T16:34:01Z</dcterms:created>
  <dcterms:modified xsi:type="dcterms:W3CDTF">2019-12-28T16:34:01Z</dcterms:modified>
</cp:coreProperties>
</file>