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9" w:lineRule="exact"/>
        <w:rPr>
          <w:sz w:val="24"/>
          <w:szCs w:val="24"/>
          <w:color w:val="auto"/>
        </w:rPr>
      </w:pPr>
    </w:p>
    <w:p>
      <w:pPr>
        <w:ind w:left="520" w:right="120" w:hanging="499"/>
        <w:spacing w:after="0" w:line="235"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25, 2021</w:t>
      </w:r>
    </w:p>
    <w:p>
      <w:pPr>
        <w:spacing w:after="0" w:line="81" w:lineRule="exact"/>
        <w:rPr>
          <w:sz w:val="24"/>
          <w:szCs w:val="24"/>
          <w:color w:val="auto"/>
        </w:rPr>
      </w:pPr>
    </w:p>
    <w:p>
      <w:pPr>
        <w:ind w:left="520" w:right="120" w:hanging="499"/>
        <w:spacing w:after="0" w:line="235"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80" w:type="dxa"/>
            <w:vAlign w:val="bottom"/>
          </w:tcPr>
          <w:p>
            <w:pPr>
              <w:jc w:val="center"/>
              <w:ind w:right="1277"/>
              <w:spacing w:after="0"/>
              <w:rPr>
                <w:sz w:val="20"/>
                <w:szCs w:val="20"/>
                <w:color w:val="auto"/>
              </w:rPr>
            </w:pPr>
            <w:r>
              <w:rPr>
                <w:rFonts w:ascii="Arial" w:cs="Arial" w:eastAsia="Arial" w:hAnsi="Arial"/>
                <w:sz w:val="18"/>
                <w:szCs w:val="18"/>
                <w:b w:val="1"/>
                <w:bCs w:val="1"/>
                <w:color w:val="auto"/>
                <w:w w:val="89"/>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5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4"/>
              </w:rPr>
              <w:t>1251 McKay Drive</w:t>
            </w:r>
          </w:p>
        </w:tc>
        <w:tc>
          <w:tcPr>
            <w:tcW w:w="3180" w:type="dxa"/>
            <w:vAlign w:val="bottom"/>
          </w:tcPr>
          <w:p>
            <w:pPr>
              <w:spacing w:after="0"/>
              <w:rPr>
                <w:sz w:val="24"/>
                <w:szCs w:val="24"/>
                <w:color w:val="auto"/>
              </w:rPr>
            </w:pPr>
          </w:p>
        </w:tc>
      </w:tr>
      <w:tr>
        <w:trPr>
          <w:trHeight w:val="198"/>
        </w:trPr>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gridSpan w:val="4"/>
          </w:tcPr>
          <w:p>
            <w:pPr>
              <w:jc w:val="center"/>
              <w:ind w:right="880"/>
              <w:spacing w:after="0" w:line="198" w:lineRule="exact"/>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7"/>
                <w:szCs w:val="17"/>
                <w:color w:val="auto"/>
              </w:rPr>
            </w:pPr>
          </w:p>
        </w:tc>
      </w:tr>
      <w:tr>
        <w:trPr>
          <w:trHeight w:val="186"/>
        </w:trPr>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259"/>
        </w:trPr>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20" w:type="dxa"/>
            <w:vAlign w:val="bottom"/>
            <w:gridSpan w:val="3"/>
          </w:tcPr>
          <w:p>
            <w:pPr>
              <w:jc w:val="center"/>
              <w:ind w:left="1122"/>
              <w:spacing w:after="0"/>
              <w:rPr>
                <w:sz w:val="20"/>
                <w:szCs w:val="20"/>
                <w:color w:val="auto"/>
              </w:rPr>
            </w:pPr>
            <w:r>
              <w:rPr>
                <w:rFonts w:ascii="Arial" w:cs="Arial" w:eastAsia="Arial" w:hAnsi="Arial"/>
                <w:sz w:val="18"/>
                <w:szCs w:val="18"/>
                <w:b w:val="1"/>
                <w:bCs w:val="1"/>
                <w:color w:val="auto"/>
                <w:w w:val="90"/>
              </w:rPr>
              <w:t>(408) 904-1100</w:t>
            </w: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6"/>
        </w:trPr>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228"/>
        </w:trPr>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20" w:type="dxa"/>
            <w:vAlign w:val="bottom"/>
            <w:gridSpan w:val="2"/>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304"/>
        </w:trPr>
        <w:tc>
          <w:tcPr>
            <w:tcW w:w="75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244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Title of each class</w:t>
            </w:r>
          </w:p>
        </w:tc>
        <w:tc>
          <w:tcPr>
            <w:tcW w:w="660" w:type="dxa"/>
            <w:vAlign w:val="bottom"/>
          </w:tcPr>
          <w:p>
            <w:pPr>
              <w:spacing w:after="0"/>
              <w:rPr>
                <w:sz w:val="24"/>
                <w:szCs w:val="24"/>
                <w:color w:val="auto"/>
              </w:rPr>
            </w:pPr>
          </w:p>
        </w:tc>
        <w:tc>
          <w:tcPr>
            <w:tcW w:w="30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80" w:type="dxa"/>
            <w:vAlign w:val="bottom"/>
            <w:gridSpan w:val="3"/>
          </w:tcPr>
          <w:p>
            <w:pPr>
              <w:jc w:val="center"/>
              <w:ind w:right="1420"/>
              <w:spacing w:after="0"/>
              <w:rPr>
                <w:sz w:val="20"/>
                <w:szCs w:val="20"/>
                <w:color w:val="auto"/>
              </w:rPr>
            </w:pPr>
            <w:r>
              <w:rPr>
                <w:rFonts w:ascii="Arial" w:cs="Arial" w:eastAsia="Arial" w:hAnsi="Arial"/>
                <w:sz w:val="18"/>
                <w:szCs w:val="18"/>
                <w:color w:val="auto"/>
                <w:w w:val="97"/>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21" w:lineRule="exact"/>
        <w:rPr>
          <w:sz w:val="24"/>
          <w:szCs w:val="24"/>
          <w:color w:val="auto"/>
        </w:rPr>
      </w:pPr>
    </w:p>
    <w:p>
      <w:pPr>
        <w:ind w:right="2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20"/>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47"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at January 27, 2022: 39,523,705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SYNAPTICS INCORPORATED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jc w:val="center"/>
        <w:ind w:right="40"/>
        <w:spacing w:after="0"/>
        <w:rPr>
          <w:sz w:val="20"/>
          <w:szCs w:val="20"/>
          <w:color w:val="auto"/>
        </w:rPr>
      </w:pPr>
      <w:r>
        <w:rPr>
          <w:rFonts w:ascii="Arial" w:cs="Arial" w:eastAsia="Arial" w:hAnsi="Arial"/>
          <w:sz w:val="18"/>
          <w:szCs w:val="18"/>
          <w:b w:val="1"/>
          <w:bCs w:val="1"/>
          <w:color w:val="auto"/>
        </w:rPr>
        <w:t>FOR THE QUARTER ENDED DECEMBER 25, 2021</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740" w:type="dxa"/>
            <w:vAlign w:val="bottom"/>
            <w:gridSpan w:val="18"/>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20" w:type="dxa"/>
            <w:vAlign w:val="bottom"/>
            <w:vMerge w:val="continue"/>
          </w:tcPr>
          <w:p>
            <w:pPr>
              <w:spacing w:after="0"/>
              <w:rPr>
                <w:sz w:val="24"/>
                <w:szCs w:val="24"/>
                <w:color w:val="auto"/>
              </w:rPr>
            </w:pPr>
          </w:p>
        </w:tc>
        <w:tc>
          <w:tcPr>
            <w:tcW w:w="10740" w:type="dxa"/>
            <w:vAlign w:val="bottom"/>
            <w:gridSpan w:val="18"/>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Sheets—December 25, 2021 and June 26, 2021</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Condensed Consolidated Statements of Income—Three and six months Ended December 25, 2021 and December 26,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Stockholders’ Equity—Three and six months Ended December 25, 2021 and December 26,</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2020</w:t>
              </w:r>
            </w:hyperlink>
          </w:p>
        </w:tc>
        <w:tc>
          <w:tcPr>
            <w:tcW w:w="20" w:type="dxa"/>
            <w:vAlign w:val="bottom"/>
            <w:tcBorders>
              <w:top w:val="single" w:sz="8" w:color="0000FF"/>
              <w:bottom w:val="single" w:sz="8" w:color="0000EE"/>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Flows—Six months ended December 25, 2021 and December 26,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3.</w:t>
            </w:r>
          </w:p>
        </w:tc>
        <w:tc>
          <w:tcPr>
            <w:tcW w:w="958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26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4.</w:t>
            </w:r>
          </w:p>
        </w:tc>
        <w:tc>
          <w:tcPr>
            <w:tcW w:w="958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74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740" w:type="dxa"/>
            <w:vAlign w:val="bottom"/>
            <w:gridSpan w:val="7"/>
            <w:shd w:val="clear" w:color="auto" w:fill="0000FF"/>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6.</w:t>
            </w:r>
          </w:p>
        </w:tc>
        <w:tc>
          <w:tcPr>
            <w:tcW w:w="958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01"/>
        </w:trPr>
        <w:tc>
          <w:tcPr>
            <w:tcW w:w="1180" w:type="dxa"/>
            <w:vAlign w:val="bottom"/>
            <w:gridSpan w:val="3"/>
          </w:tcPr>
          <w:p>
            <w:pPr>
              <w:jc w:val="right"/>
              <w:ind w:right="400"/>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Signatures</w:t>
              </w:r>
            </w:hyperlink>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020"/>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line="234" w:lineRule="auto"/>
        <w:rPr>
          <w:sz w:val="20"/>
          <w:szCs w:val="20"/>
          <w:color w:val="auto"/>
        </w:rPr>
      </w:pPr>
      <w:r>
        <w:rPr>
          <w:rFonts w:ascii="Arial" w:cs="Arial" w:eastAsia="Arial" w:hAnsi="Arial"/>
          <w:sz w:val="18"/>
          <w:szCs w:val="18"/>
          <w:color w:val="auto"/>
        </w:rPr>
        <w:t>(in millions, except par value and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7"/>
                <w:szCs w:val="17"/>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w:t>
            </w:r>
          </w:p>
        </w:tc>
        <w:tc>
          <w:tcPr>
            <w:tcW w:w="0" w:type="dxa"/>
            <w:vAlign w:val="bottom"/>
          </w:tcPr>
          <w:p>
            <w:pPr>
              <w:spacing w:after="0"/>
              <w:rPr>
                <w:sz w:val="1"/>
                <w:szCs w:val="1"/>
                <w:color w:val="auto"/>
              </w:rPr>
            </w:pPr>
          </w:p>
        </w:tc>
      </w:tr>
      <w:tr>
        <w:trPr>
          <w:trHeight w:val="221"/>
        </w:trPr>
        <w:tc>
          <w:tcPr>
            <w:tcW w:w="7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ind w:left="350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502.8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71.1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2"/>
              </w:rPr>
              <w:t>Accounts receivable, net of allowances of $5.9 and $5.8 at December 2021 and June 2021, respectively</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133.3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1,074.7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1,179.7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Property and equipment at cost, net of accumulated depreciation of $119.3 and $131.0 at</w:t>
            </w:r>
          </w:p>
        </w:tc>
        <w:tc>
          <w:tcPr>
            <w:tcW w:w="24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2021 and June 2021, respectively</w:t>
            </w:r>
          </w:p>
        </w:tc>
        <w:tc>
          <w:tcPr>
            <w:tcW w:w="24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826.6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Acquired intangibles, net</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 held for sale</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2,567.4</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shd w:val="clear" w:color="auto" w:fill="CFF0FC"/>
          </w:tcPr>
          <w:p>
            <w:pPr>
              <w:ind w:left="188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138.5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Convertible notes, net</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365.2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786.7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1,503.5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00"/>
              <w:spacing w:after="0" w:line="162" w:lineRule="exact"/>
              <w:rPr>
                <w:sz w:val="20"/>
                <w:szCs w:val="20"/>
                <w:color w:val="auto"/>
              </w:rPr>
            </w:pPr>
            <w:r>
              <w:rPr>
                <w:rFonts w:ascii="Arial" w:cs="Arial" w:eastAsia="Arial" w:hAnsi="Arial"/>
                <w:sz w:val="18"/>
                <w:szCs w:val="18"/>
                <w:color w:val="auto"/>
              </w:rPr>
              <w:t>$0.001 par value; 120,000,000 shares authorized, 67,643,668 and 66,963,006 shares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340"/>
              <w:spacing w:after="0" w:line="176" w:lineRule="exact"/>
              <w:rPr>
                <w:sz w:val="20"/>
                <w:szCs w:val="20"/>
                <w:color w:val="auto"/>
              </w:rPr>
            </w:pPr>
            <w:r>
              <w:rPr>
                <w:rFonts w:ascii="Arial" w:cs="Arial" w:eastAsia="Arial" w:hAnsi="Arial"/>
                <w:sz w:val="18"/>
                <w:szCs w:val="18"/>
                <w:color w:val="auto"/>
              </w:rPr>
              <w:t>issued, and 39,519,047 and 35,331,903 shares outstanding, at December 2021</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and June 2021, respectively</w:t>
            </w: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867.7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00"/>
              <w:spacing w:after="0" w:line="162" w:lineRule="exact"/>
              <w:rPr>
                <w:sz w:val="20"/>
                <w:szCs w:val="20"/>
                <w:color w:val="auto"/>
              </w:rPr>
            </w:pPr>
            <w:r>
              <w:rPr>
                <w:rFonts w:ascii="Arial" w:cs="Arial" w:eastAsia="Arial" w:hAnsi="Arial"/>
                <w:sz w:val="18"/>
                <w:szCs w:val="18"/>
                <w:color w:val="auto"/>
              </w:rPr>
              <w:t>Treasury stock: 28,124,621 and 31,631,103 common treasury shares at December</w:t>
            </w:r>
          </w:p>
        </w:tc>
        <w:tc>
          <w:tcPr>
            <w:tcW w:w="24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(694.5 )</w:t>
            </w:r>
          </w:p>
        </w:tc>
        <w:tc>
          <w:tcPr>
            <w:tcW w:w="34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(1,205.4 )</w:t>
            </w:r>
          </w:p>
        </w:tc>
        <w:tc>
          <w:tcPr>
            <w:tcW w:w="0" w:type="dxa"/>
            <w:vAlign w:val="bottom"/>
          </w:tcPr>
          <w:p>
            <w:pPr>
              <w:spacing w:after="0"/>
              <w:rPr>
                <w:sz w:val="1"/>
                <w:szCs w:val="1"/>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2021 and June 2021, respectively, at cost</w:t>
            </w:r>
          </w:p>
        </w:tc>
        <w:tc>
          <w:tcPr>
            <w:tcW w:w="2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(0.1 )</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1,063.9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967.2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2,567.4</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-4017010</wp:posOffset>
            </wp:positionV>
            <wp:extent cx="603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-4017010</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-3125470</wp:posOffset>
            </wp:positionV>
            <wp:extent cx="603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-3125470</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-2062480</wp:posOffset>
            </wp:positionV>
            <wp:extent cx="6032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-2062480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603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ind w:right="40"/>
        <w:spacing w:after="0" w:line="234" w:lineRule="auto"/>
        <w:rPr>
          <w:sz w:val="20"/>
          <w:szCs w:val="20"/>
          <w:color w:val="auto"/>
        </w:rPr>
      </w:pPr>
      <w:r>
        <w:rPr>
          <w:rFonts w:ascii="Arial" w:cs="Arial" w:eastAsia="Arial" w:hAnsi="Arial"/>
          <w:sz w:val="18"/>
          <w:szCs w:val="18"/>
          <w:color w:val="auto"/>
        </w:rPr>
        <w:t>(in millions, except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w w:val="99"/>
              </w:rPr>
              <w:t>2020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420.5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793.2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195.4</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150.4</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423.2</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Acquired intangibles amortization</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sale of audio technology assets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(34.2 )</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147.5</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91.9</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285.0</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expense, net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(5.7 )</w:t>
            </w:r>
          </w:p>
        </w:tc>
        <w:tc>
          <w:tcPr>
            <w:tcW w:w="3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(6.0 )</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(11.6 )</w:t>
            </w:r>
          </w:p>
        </w:tc>
        <w:tc>
          <w:tcPr>
            <w:tcW w:w="3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redemption of convertible notes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(8.1 )</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820" w:type="dxa"/>
            <w:vAlign w:val="bottom"/>
            <w:tcBorders>
              <w:top w:val="single" w:sz="8" w:color="CFF0FC"/>
            </w:tcBorders>
          </w:tcPr>
          <w:p>
            <w:pPr>
              <w:ind w:left="380"/>
              <w:spacing w:after="0" w:line="156" w:lineRule="exact"/>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53.8</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520"/>
              <w:spacing w:after="0"/>
              <w:rPr>
                <w:sz w:val="20"/>
                <w:szCs w:val="20"/>
                <w:color w:val="auto"/>
              </w:rPr>
            </w:pPr>
            <w:r>
              <w:rPr>
                <w:rFonts w:ascii="Arial" w:cs="Arial" w:eastAsia="Arial" w:hAnsi="Arial"/>
                <w:sz w:val="18"/>
                <w:szCs w:val="18"/>
                <w:color w:val="auto"/>
              </w:rPr>
              <w:t>and equity investment loss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Equity investment loss</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(0.4 )</w:t>
            </w:r>
          </w:p>
        </w:tc>
        <w:tc>
          <w:tcPr>
            <w:tcW w:w="3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(0.5 )</w:t>
            </w:r>
          </w:p>
        </w:tc>
        <w:tc>
          <w:tcPr>
            <w:tcW w:w="2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(0.9 )</w:t>
            </w:r>
          </w:p>
        </w:tc>
        <w:tc>
          <w:tcPr>
            <w:tcW w:w="3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69.5</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49.6</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109.7</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
              <w:spacing w:after="0" w:line="183" w:lineRule="exact"/>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2.85</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line="182"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1.71</w:t>
            </w:r>
          </w:p>
        </w:tc>
        <w:tc>
          <w:tcPr>
            <w:tcW w:w="24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2.70</w:t>
            </w:r>
          </w:p>
        </w:tc>
        <w:tc>
          <w:tcPr>
            <w:tcW w:w="22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Shares used in computing net income per share:</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182" w:lineRule="exact"/>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39.4</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38.5</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-2851150</wp:posOffset>
            </wp:positionV>
            <wp:extent cx="603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-2851150</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-2851150</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-2851150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-2070735</wp:posOffset>
            </wp:positionV>
            <wp:extent cx="603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-2070735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-2070735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-2070735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-1539240</wp:posOffset>
            </wp:positionV>
            <wp:extent cx="603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-1539240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-1539240</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-1539240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-899795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-882650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-899795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-882650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-899795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-882650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-899795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-882650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-616585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-599440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-616585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-599440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-616585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-599440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color w:val="auto"/>
        </w:rPr>
        <w:t>(in millions, except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19"/>
                <w:szCs w:val="19"/>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restart"/>
          </w:tcPr>
          <w:p>
            <w:pPr>
              <w:jc w:val="right"/>
              <w:ind w:right="29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right"/>
              <w:ind w:right="301"/>
              <w:spacing w:after="0"/>
              <w:rPr>
                <w:sz w:val="20"/>
                <w:szCs w:val="20"/>
                <w:color w:val="auto"/>
              </w:rPr>
            </w:pPr>
            <w:r>
              <w:rPr>
                <w:rFonts w:ascii="Arial" w:cs="Arial" w:eastAsia="Arial" w:hAnsi="Arial"/>
                <w:sz w:val="18"/>
                <w:szCs w:val="18"/>
                <w:b w:val="1"/>
                <w:bCs w:val="1"/>
                <w:color w:val="auto"/>
                <w:w w:val="92"/>
              </w:rPr>
              <w:t>Treasury</w:t>
            </w:r>
          </w:p>
        </w:tc>
        <w:tc>
          <w:tcPr>
            <w:tcW w:w="120" w:type="dxa"/>
            <w:vAlign w:val="bottom"/>
          </w:tcPr>
          <w:p>
            <w:pPr>
              <w:spacing w:after="0"/>
              <w:rPr>
                <w:sz w:val="15"/>
                <w:szCs w:val="15"/>
                <w:color w:val="auto"/>
              </w:rPr>
            </w:pPr>
          </w:p>
        </w:tc>
        <w:tc>
          <w:tcPr>
            <w:tcW w:w="1420" w:type="dxa"/>
            <w:vAlign w:val="bottom"/>
            <w:gridSpan w:val="2"/>
          </w:tcPr>
          <w:p>
            <w:pPr>
              <w:jc w:val="center"/>
              <w:ind w:right="230"/>
              <w:spacing w:after="0" w:line="176"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5"/>
                <w:szCs w:val="15"/>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2"/>
              </w:rPr>
              <w:t>Retained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540" w:type="dxa"/>
            <w:vAlign w:val="bottom"/>
            <w:gridSpan w:val="3"/>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8"/>
                <w:szCs w:val="18"/>
                <w:color w:val="auto"/>
              </w:rPr>
            </w:pPr>
          </w:p>
        </w:tc>
        <w:tc>
          <w:tcPr>
            <w:tcW w:w="14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Earnings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2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June 2021</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66,963,006</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1,391.5</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(1,205.4</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781.0</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967.2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6"/>
              </w:rPr>
              <w:t>Issuance of common stock</w:t>
            </w: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for share-based award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384,866</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 plans</w:t>
            </w:r>
          </w:p>
        </w:tc>
        <w:tc>
          <w:tcPr>
            <w:tcW w:w="10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00"/>
              <w:spacing w:after="0" w:line="162" w:lineRule="exact"/>
              <w:rPr>
                <w:sz w:val="20"/>
                <w:szCs w:val="20"/>
                <w:color w:val="auto"/>
              </w:rPr>
            </w:pPr>
            <w:r>
              <w:rPr>
                <w:rFonts w:ascii="Arial" w:cs="Arial" w:eastAsia="Arial" w:hAnsi="Arial"/>
                <w:sz w:val="18"/>
                <w:szCs w:val="18"/>
                <w:color w:val="auto"/>
              </w:rPr>
              <w:t>Payroll taxes for deferred</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16"/>
        </w:trPr>
        <w:tc>
          <w:tcPr>
            <w:tcW w:w="2280" w:type="dxa"/>
            <w:vAlign w:val="bottom"/>
          </w:tcPr>
          <w:p>
            <w:pPr>
              <w:ind w:left="200"/>
              <w:spacing w:after="0"/>
              <w:rPr>
                <w:sz w:val="20"/>
                <w:szCs w:val="20"/>
                <w:color w:val="auto"/>
              </w:rPr>
            </w:pPr>
            <w:r>
              <w:rPr>
                <w:rFonts w:ascii="Arial" w:cs="Arial" w:eastAsia="Arial" w:hAnsi="Arial"/>
                <w:sz w:val="18"/>
                <w:szCs w:val="18"/>
                <w:color w:val="auto"/>
              </w:rPr>
              <w:t>stock units</w:t>
            </w: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8"/>
              </w:rPr>
              <w:t>Redemption of convertible</w:t>
            </w: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(518.2 )</w:t>
            </w: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510.9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0"/>
              <w:spacing w:after="0" w:line="202" w:lineRule="exact"/>
              <w:rPr>
                <w:sz w:val="20"/>
                <w:szCs w:val="20"/>
                <w:color w:val="auto"/>
              </w:rPr>
            </w:pPr>
            <w:r>
              <w:rPr>
                <w:rFonts w:ascii="Arial" w:cs="Arial" w:eastAsia="Arial" w:hAnsi="Arial"/>
                <w:sz w:val="18"/>
                <w:szCs w:val="18"/>
                <w:color w:val="auto"/>
                <w:w w:val="93"/>
              </w:rPr>
              <w:t>Share-based compensation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September 2021</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67,347,872</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874.6</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(694.5</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821.2</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Other comprehensive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tcBorders>
              <w:top w:val="single" w:sz="8" w:color="CFF0FC"/>
            </w:tcBorders>
          </w:tcPr>
          <w:p>
            <w:pPr>
              <w:ind w:left="300"/>
              <w:spacing w:after="0" w:line="156" w:lineRule="exact"/>
              <w:rPr>
                <w:sz w:val="20"/>
                <w:szCs w:val="20"/>
                <w:color w:val="auto"/>
              </w:rPr>
            </w:pPr>
            <w:r>
              <w:rPr>
                <w:rFonts w:ascii="Arial" w:cs="Arial" w:eastAsia="Arial" w:hAnsi="Arial"/>
                <w:sz w:val="18"/>
                <w:szCs w:val="18"/>
                <w:color w:val="auto"/>
              </w:rPr>
              <w:t>Total comprehensive</w:t>
            </w:r>
          </w:p>
        </w:tc>
        <w:tc>
          <w:tcPr>
            <w:tcW w:w="1080" w:type="dxa"/>
            <w:vAlign w:val="bottom"/>
            <w:tcBorders>
              <w:top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40" w:type="dxa"/>
            <w:vAlign w:val="bottom"/>
            <w:tcBorders>
              <w:top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69.4</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300"/>
              <w:spacing w:after="0" w:line="202" w:lineRule="exact"/>
              <w:rPr>
                <w:sz w:val="20"/>
                <w:szCs w:val="20"/>
                <w:color w:val="auto"/>
              </w:rPr>
            </w:pPr>
            <w:r>
              <w:rPr>
                <w:rFonts w:ascii="Arial" w:cs="Arial" w:eastAsia="Arial" w:hAnsi="Arial"/>
                <w:sz w:val="18"/>
                <w:szCs w:val="18"/>
                <w:color w:val="auto"/>
              </w:rPr>
              <w:t>income</w:t>
            </w:r>
          </w:p>
        </w:tc>
        <w:tc>
          <w:tcPr>
            <w:tcW w:w="1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w w:val="96"/>
              </w:rPr>
              <w:t>Issuance of common stock</w:t>
            </w:r>
          </w:p>
        </w:tc>
        <w:tc>
          <w:tcPr>
            <w:tcW w:w="10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for share-based award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295,796</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 plans</w:t>
            </w:r>
          </w:p>
        </w:tc>
        <w:tc>
          <w:tcPr>
            <w:tcW w:w="10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00"/>
              <w:spacing w:after="0" w:line="162" w:lineRule="exact"/>
              <w:rPr>
                <w:sz w:val="20"/>
                <w:szCs w:val="20"/>
                <w:color w:val="auto"/>
              </w:rPr>
            </w:pPr>
            <w:r>
              <w:rPr>
                <w:rFonts w:ascii="Arial" w:cs="Arial" w:eastAsia="Arial" w:hAnsi="Arial"/>
                <w:sz w:val="18"/>
                <w:szCs w:val="18"/>
                <w:color w:val="auto"/>
              </w:rPr>
              <w:t>Payroll taxes for deferred</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(35.8 )</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(35.8 )</w:t>
            </w:r>
          </w:p>
        </w:tc>
        <w:tc>
          <w:tcPr>
            <w:tcW w:w="0" w:type="dxa"/>
            <w:vAlign w:val="bottom"/>
          </w:tcPr>
          <w:p>
            <w:pPr>
              <w:spacing w:after="0"/>
              <w:rPr>
                <w:sz w:val="1"/>
                <w:szCs w:val="1"/>
                <w:color w:val="auto"/>
              </w:rPr>
            </w:pPr>
          </w:p>
        </w:tc>
      </w:tr>
      <w:tr>
        <w:trPr>
          <w:trHeight w:val="216"/>
        </w:trPr>
        <w:tc>
          <w:tcPr>
            <w:tcW w:w="2280" w:type="dxa"/>
            <w:vAlign w:val="bottom"/>
          </w:tcPr>
          <w:p>
            <w:pPr>
              <w:ind w:left="200"/>
              <w:spacing w:after="0"/>
              <w:rPr>
                <w:sz w:val="20"/>
                <w:szCs w:val="20"/>
                <w:color w:val="auto"/>
              </w:rPr>
            </w:pPr>
            <w:r>
              <w:rPr>
                <w:rFonts w:ascii="Arial" w:cs="Arial" w:eastAsia="Arial" w:hAnsi="Arial"/>
                <w:sz w:val="18"/>
                <w:szCs w:val="18"/>
                <w:color w:val="auto"/>
              </w:rPr>
              <w:t>stock units</w:t>
            </w: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3"/>
              </w:rPr>
              <w:t>Share-based compensation</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attributable to acquisition</w:t>
            </w:r>
          </w:p>
        </w:tc>
        <w:tc>
          <w:tcPr>
            <w:tcW w:w="10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0"/>
              <w:spacing w:after="0" w:line="202" w:lineRule="exact"/>
              <w:rPr>
                <w:sz w:val="20"/>
                <w:szCs w:val="20"/>
                <w:color w:val="auto"/>
              </w:rPr>
            </w:pPr>
            <w:r>
              <w:rPr>
                <w:rFonts w:ascii="Arial" w:cs="Arial" w:eastAsia="Arial" w:hAnsi="Arial"/>
                <w:sz w:val="18"/>
                <w:szCs w:val="18"/>
                <w:color w:val="auto"/>
                <w:w w:val="93"/>
              </w:rPr>
              <w:t>Share-based compensation</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December 2021</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67,643,668</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0.1</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867.7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(694.5</w:t>
            </w:r>
          </w:p>
        </w:tc>
        <w:tc>
          <w:tcPr>
            <w:tcW w:w="180" w:type="dxa"/>
            <w:vAlign w:val="bottom"/>
            <w:tcBorders>
              <w:bottom w:val="single" w:sz="8" w:color="CFF0FC"/>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(0.1</w:t>
            </w:r>
          </w:p>
        </w:tc>
        <w:tc>
          <w:tcPr>
            <w:tcW w:w="18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890.7</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1,063.9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18"/>
        </w:trPr>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-1976755</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-633730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-616585</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-633730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-616585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-633730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-616585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-633730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-616585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-633730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-616585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-633730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-616585</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-633730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color w:val="auto"/>
        </w:rPr>
        <w:t>(in millions, except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5"/>
              </w:rPr>
              <w:t>Additional</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20" w:type="dxa"/>
            <w:vAlign w:val="bottom"/>
            <w:gridSpan w:val="3"/>
          </w:tcPr>
          <w:p>
            <w:pPr>
              <w:jc w:val="right"/>
              <w:ind w:right="200"/>
              <w:spacing w:after="0" w:line="176" w:lineRule="exact"/>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 Capital</w:t>
            </w:r>
          </w:p>
        </w:tc>
        <w:tc>
          <w:tcPr>
            <w:tcW w:w="1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June 2020</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65,871,648</w:t>
            </w:r>
          </w:p>
        </w:tc>
        <w:tc>
          <w:tcPr>
            <w:tcW w:w="2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0.1</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1,340.2</w:t>
            </w: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(1,222.6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701.4</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(2.8 )</w:t>
            </w:r>
          </w:p>
        </w:tc>
        <w:tc>
          <w:tcPr>
            <w:tcW w:w="2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common stock for</w:t>
            </w: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2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2"/>
              </w:rPr>
              <w:t>share-based award compensation</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296,917</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plans</w:t>
            </w:r>
          </w:p>
        </w:tc>
        <w:tc>
          <w:tcPr>
            <w:tcW w:w="1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0"/>
              <w:spacing w:after="0" w:line="162" w:lineRule="exact"/>
              <w:rPr>
                <w:sz w:val="20"/>
                <w:szCs w:val="20"/>
                <w:color w:val="auto"/>
              </w:rPr>
            </w:pPr>
            <w:r>
              <w:rPr>
                <w:rFonts w:ascii="Arial" w:cs="Arial" w:eastAsia="Arial" w:hAnsi="Arial"/>
                <w:sz w:val="18"/>
                <w:szCs w:val="18"/>
                <w:color w:val="auto"/>
              </w:rPr>
              <w:t>Payroll taxes for deferred stock</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(5.6 )</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units</w:t>
            </w:r>
          </w:p>
        </w:tc>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Share-based compensation</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attributable to acquisition</w:t>
            </w:r>
          </w:p>
        </w:tc>
        <w:tc>
          <w:tcPr>
            <w:tcW w:w="1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September 2020</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66,168,565</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1,362.6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(1,222.6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698.6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common stock for</w:t>
            </w: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2"/>
              </w:rPr>
              <w:t>share-based award compensation</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508,776</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plans</w:t>
            </w:r>
          </w:p>
        </w:tc>
        <w:tc>
          <w:tcPr>
            <w:tcW w:w="1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0"/>
              <w:spacing w:after="0" w:line="162" w:lineRule="exact"/>
              <w:rPr>
                <w:sz w:val="20"/>
                <w:szCs w:val="20"/>
                <w:color w:val="auto"/>
              </w:rPr>
            </w:pPr>
            <w:r>
              <w:rPr>
                <w:rFonts w:ascii="Arial" w:cs="Arial" w:eastAsia="Arial" w:hAnsi="Arial"/>
                <w:sz w:val="18"/>
                <w:szCs w:val="18"/>
                <w:color w:val="auto"/>
              </w:rPr>
              <w:t>Payroll taxes for deferred stock</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(20.2 )</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units</w:t>
            </w:r>
          </w:p>
        </w:tc>
        <w:tc>
          <w:tcPr>
            <w:tcW w:w="1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line="182" w:lineRule="exact"/>
              <w:rPr>
                <w:sz w:val="20"/>
                <w:szCs w:val="20"/>
                <w:color w:val="auto"/>
              </w:rPr>
            </w:pPr>
            <w:r>
              <w:rPr>
                <w:rFonts w:ascii="Arial" w:cs="Arial" w:eastAsia="Arial" w:hAnsi="Arial"/>
                <w:sz w:val="18"/>
                <w:szCs w:val="18"/>
                <w:color w:val="auto"/>
              </w:rPr>
              <w:t>Balance at December 2020</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66,677,341</w:t>
            </w:r>
          </w:p>
        </w:tc>
        <w:tc>
          <w:tcPr>
            <w:tcW w:w="1200" w:type="dxa"/>
            <w:vAlign w:val="bottom"/>
            <w:gridSpan w:val="2"/>
          </w:tcPr>
          <w:p>
            <w:pPr>
              <w:jc w:val="right"/>
              <w:ind w:right="790"/>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w w:val="95"/>
              </w:rPr>
              <w:t>0.1</w:t>
            </w:r>
          </w:p>
        </w:tc>
        <w:tc>
          <w:tcPr>
            <w:tcW w:w="38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1,362.3</w:t>
            </w:r>
          </w:p>
        </w:tc>
        <w:tc>
          <w:tcPr>
            <w:tcW w:w="260" w:type="dxa"/>
            <w:vAlign w:val="bottom"/>
          </w:tcPr>
          <w:p>
            <w:pPr>
              <w:spacing w:after="0"/>
              <w:rPr>
                <w:sz w:val="17"/>
                <w:szCs w:val="17"/>
                <w:color w:val="auto"/>
              </w:rPr>
            </w:pPr>
          </w:p>
        </w:tc>
        <w:tc>
          <w:tcPr>
            <w:tcW w:w="34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line="182" w:lineRule="exact"/>
              <w:rPr>
                <w:sz w:val="20"/>
                <w:szCs w:val="20"/>
                <w:color w:val="auto"/>
              </w:rPr>
            </w:pPr>
            <w:r>
              <w:rPr>
                <w:rFonts w:ascii="Arial" w:cs="Arial" w:eastAsia="Arial" w:hAnsi="Arial"/>
                <w:sz w:val="18"/>
                <w:szCs w:val="18"/>
                <w:color w:val="auto"/>
              </w:rPr>
              <w:t>(1,222.6 )</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748.2</w:t>
            </w:r>
          </w:p>
        </w:tc>
        <w:tc>
          <w:tcPr>
            <w:tcW w:w="24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888.0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-159385</wp:posOffset>
            </wp:positionV>
            <wp:extent cx="431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-159385</wp:posOffset>
            </wp:positionV>
            <wp:extent cx="431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6032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60"/>
        <w:spacing w:after="0" w:line="234" w:lineRule="auto"/>
        <w:rPr>
          <w:sz w:val="20"/>
          <w:szCs w:val="20"/>
          <w:color w:val="auto"/>
        </w:rPr>
      </w:pPr>
      <w:r>
        <w:rPr>
          <w:rFonts w:ascii="Arial" w:cs="Arial" w:eastAsia="Arial" w:hAnsi="Arial"/>
          <w:sz w:val="18"/>
          <w:szCs w:val="18"/>
          <w:color w:val="auto"/>
        </w:rPr>
        <w:t>(in millions)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Six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6"/>
                <w:szCs w:val="16"/>
                <w:b w:val="1"/>
                <w:bCs w:val="1"/>
                <w:color w:val="auto"/>
              </w:rPr>
              <w:t>December</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68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109.7</w:t>
            </w:r>
          </w:p>
        </w:tc>
        <w:tc>
          <w:tcPr>
            <w:tcW w:w="260" w:type="dxa"/>
            <w:vAlign w:val="bottom"/>
          </w:tcPr>
          <w:p>
            <w:pPr>
              <w:spacing w:after="0"/>
              <w:rPr>
                <w:sz w:val="16"/>
                <w:szCs w:val="16"/>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Share-based compensation costs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47.6</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Acquired intangibles amortization</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54.4</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audio technology assets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(34.2 )</w:t>
            </w: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Loss on redemption of convertible notes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taxes</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(6.2 )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(5.8 )</w:t>
            </w: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Amortization of convertible debt discount and issuance costs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debt issuance costs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Amortization of cost of development services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investment loss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Foreign currency remeasurement loss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(0.6 )</w:t>
            </w: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(0.1 )</w:t>
            </w: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 net</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(70.9 )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(46.9 )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(28.7 )</w:t>
            </w: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(12.5 )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(0.1 )</w:t>
            </w: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(7.9 )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(18.9 )</w:t>
            </w: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(24.6 )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 payable</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(6.6 )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(15.3 )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55.1</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(11.9 )</w:t>
            </w:r>
          </w:p>
        </w:tc>
      </w:tr>
      <w:tr>
        <w:trPr>
          <w:trHeight w:val="18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180.7</w:t>
            </w:r>
          </w:p>
        </w:tc>
        <w:tc>
          <w:tcPr>
            <w:tcW w:w="2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77.9</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businesses, net of cash and cash equivalents acquired</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(512.2 )</w:t>
            </w: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(623.0 )</w:t>
            </w: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sale of audio technology assets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of investments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(13.2 )</w:t>
            </w: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(12.2 )</w:t>
            </w: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method investment</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(5.0 )</w:t>
            </w:r>
          </w:p>
        </w:tc>
      </w:tr>
      <w:tr>
        <w:trPr>
          <w:trHeight w:val="20"/>
        </w:trPr>
        <w:tc>
          <w:tcPr>
            <w:tcW w:w="76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1040" w:type="dxa"/>
            <w:vAlign w:val="bottom"/>
          </w:tcPr>
          <w:p>
            <w:pPr>
              <w:spacing w:after="0"/>
              <w:rPr>
                <w:sz w:val="15"/>
                <w:szCs w:val="15"/>
                <w:color w:val="auto"/>
              </w:rPr>
            </w:pPr>
          </w:p>
        </w:tc>
        <w:tc>
          <w:tcPr>
            <w:tcW w:w="84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(524.8 )</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(518.0 )</w:t>
            </w:r>
          </w:p>
        </w:tc>
      </w:tr>
      <w:tr>
        <w:trPr>
          <w:trHeight w:val="182"/>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Payment for redemption of convertible notes</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(505.6 )</w:t>
            </w: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term loan</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(11.2 )</w:t>
            </w: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shares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Payroll taxes for deferred stock and market stock units</w:t>
            </w:r>
          </w:p>
        </w:tc>
        <w:tc>
          <w:tcPr>
            <w:tcW w:w="1040" w:type="dxa"/>
            <w:vAlign w:val="bottom"/>
          </w:tcPr>
          <w:p>
            <w:pPr>
              <w:spacing w:after="0"/>
              <w:rPr>
                <w:sz w:val="16"/>
                <w:szCs w:val="16"/>
                <w:color w:val="auto"/>
              </w:rPr>
            </w:pPr>
          </w:p>
        </w:tc>
        <w:tc>
          <w:tcPr>
            <w:tcW w:w="840" w:type="dxa"/>
            <w:vAlign w:val="bottom"/>
            <w:gridSpan w:val="2"/>
          </w:tcPr>
          <w:p>
            <w:pPr>
              <w:jc w:val="right"/>
              <w:ind w:right="119"/>
              <w:spacing w:after="0"/>
              <w:rPr>
                <w:sz w:val="20"/>
                <w:szCs w:val="20"/>
                <w:color w:val="auto"/>
              </w:rPr>
            </w:pPr>
            <w:r>
              <w:rPr>
                <w:rFonts w:ascii="Arial" w:cs="Arial" w:eastAsia="Arial" w:hAnsi="Arial"/>
                <w:sz w:val="16"/>
                <w:szCs w:val="16"/>
                <w:color w:val="auto"/>
              </w:rPr>
              <w:t>(63.5 )</w:t>
            </w:r>
          </w:p>
        </w:tc>
        <w:tc>
          <w:tcPr>
            <w:tcW w:w="5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(25.8 )</w:t>
            </w: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Refundable deposit paid to vendor</w:t>
            </w:r>
          </w:p>
        </w:tc>
        <w:tc>
          <w:tcPr>
            <w:tcW w:w="10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(16.6 )</w:t>
            </w: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11.7</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(14.6 )</w:t>
            </w:r>
          </w:p>
        </w:tc>
      </w:tr>
      <w:tr>
        <w:trPr>
          <w:trHeight w:val="18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6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auto"/>
              </w:rPr>
              <w:t>Net decrease in cash and cash equivalents</w:t>
            </w:r>
          </w:p>
        </w:tc>
        <w:tc>
          <w:tcPr>
            <w:tcW w:w="1040" w:type="dxa"/>
            <w:vAlign w:val="bottom"/>
          </w:tcPr>
          <w:p>
            <w:pPr>
              <w:spacing w:after="0"/>
              <w:rPr>
                <w:sz w:val="15"/>
                <w:szCs w:val="15"/>
                <w:color w:val="auto"/>
              </w:rPr>
            </w:pPr>
          </w:p>
        </w:tc>
        <w:tc>
          <w:tcPr>
            <w:tcW w:w="84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(333.5 )</w:t>
            </w:r>
          </w:p>
        </w:tc>
        <w:tc>
          <w:tcPr>
            <w:tcW w:w="560" w:type="dxa"/>
            <w:vAlign w:val="bottom"/>
          </w:tcPr>
          <w:p>
            <w:pPr>
              <w:spacing w:after="0"/>
              <w:rPr>
                <w:sz w:val="15"/>
                <w:szCs w:val="15"/>
                <w:color w:val="auto"/>
              </w:rPr>
            </w:pPr>
          </w:p>
        </w:tc>
        <w:tc>
          <w:tcPr>
            <w:tcW w:w="11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(453.5 )</w:t>
            </w: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836.3</w:t>
            </w:r>
          </w:p>
        </w:tc>
        <w:tc>
          <w:tcPr>
            <w:tcW w:w="26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1040" w:type="dxa"/>
            <w:vAlign w:val="bottom"/>
            <w:tcBorders>
              <w:bottom w:val="single" w:sz="8" w:color="auto"/>
            </w:tcBorders>
          </w:tcPr>
          <w:p>
            <w:pPr>
              <w:jc w:val="right"/>
              <w:ind w:right="859"/>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502.8</w:t>
            </w:r>
          </w:p>
        </w:tc>
        <w:tc>
          <w:tcPr>
            <w:tcW w:w="260" w:type="dxa"/>
            <w:vAlign w:val="bottom"/>
          </w:tcPr>
          <w:p>
            <w:pPr>
              <w:spacing w:after="0"/>
              <w:rPr>
                <w:sz w:val="15"/>
                <w:szCs w:val="15"/>
                <w:color w:val="auto"/>
              </w:rPr>
            </w:pPr>
          </w:p>
        </w:tc>
        <w:tc>
          <w:tcPr>
            <w:tcW w:w="560" w:type="dxa"/>
            <w:vAlign w:val="bottom"/>
            <w:tcBorders>
              <w:bottom w:val="single" w:sz="8" w:color="auto"/>
            </w:tcBorders>
          </w:tcPr>
          <w:p>
            <w:pPr>
              <w:jc w:val="right"/>
              <w:ind w:right="40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309.9</w:t>
            </w:r>
          </w:p>
        </w:tc>
        <w:tc>
          <w:tcPr>
            <w:tcW w:w="8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7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taxes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Cash refund on taxes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6"/>
                <w:szCs w:val="16"/>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investing and financing activities:</w:t>
            </w:r>
          </w:p>
        </w:tc>
        <w:tc>
          <w:tcPr>
            <w:tcW w:w="10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and equipment in current liabilities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7"/>
                <w:szCs w:val="17"/>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-3093720</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-3093720</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-2364740</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-2364740</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-1387475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-1387475</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-1130300</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-1130300</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line="250"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26, 2021.</w:t>
      </w:r>
    </w:p>
    <w:p>
      <w:pPr>
        <w:spacing w:after="0" w:line="180"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fiscal year is the 52- or 53-week period ending on the last Saturday in June. Our fiscal 2022 and 2021 are 52-week periods ending June 25, 2022 and June 26, 2021, respectively. The fiscal periods presented in this report are 13-week and 26-week periods ended December 25, 2021, and December 26, 2020,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pandemic related to the novel coronavirus, or COVID-19,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As of December 25, 2021 and June 26, 2021, our cash equivalents included bank deposits with a carrying value of $167.2 million and $509.1 million, respectively, which approximates fair value, and are included in cash and cash equivalents on the condensed consolidated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short-term investments have been classified and accounted for as available-for-sale securities. We determine the appropriate classification of our investments at the time of purchase and reevaluate the classification at each balance sheet date. Our available-for-sale securities are carried at fair value, with unrealized gains and losses, net of taxes, reported within accumulated other comprehensive income (loss), or AOCI, in stockholders’ equity. As of December 25, 2021, the total unrealized loss reported within AOCI was $0.1 million. At June 26, 2021, there were no unrealized gains or losses.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0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immaterial amounts in each of the three and six months ended December 25, 2021, and the three and six months ended December 26, 2020.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9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80"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Accounting Standards Codification Topic 842 occurs. Operating lease cost for lease payments is recognized on a straight-line basis over the lease term.</w:t>
      </w:r>
    </w:p>
    <w:p>
      <w:pPr>
        <w:spacing w:after="0" w:line="17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Sale and Leaseback Transaction</w:t>
      </w:r>
    </w:p>
    <w:p>
      <w:pPr>
        <w:spacing w:after="0" w:line="21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 November 24, 2021, we entered into a Purchase and Sale Agreement with Escrow Instructions, or the Purchase Agreement, with S B C &amp; D Co., Inc. d/b/a South Bay Development Company, or South Bay, as amended, pursuant to which the parties agreed to consummate a sale and leaseback transaction, or the Transaction. Under the terms of the Purchase Agreement, we agreed to sell our properties located at 1109-1251 McKay Drive and 1140-1150 Ringwood Court, San Jose, California, or the Real Property, to South Bay or its affiliate, or the Buyer, for a total purchase price of $58.0 million. The net proceeds will be reduced by transaction commissions and expenses payable by us and incurred in connection with the Transaction.</w:t>
      </w:r>
    </w:p>
    <w:p>
      <w:pPr>
        <w:spacing w:after="0" w:line="159"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Upon the closing of the Transaction, we will enter into a lease agreement, or the Lease Agreement, with Buyer pursuant to which we will lease back from the Buyer the portion of the Real Property located at 1109 and 1151 McKay Drive, San Jose, California for an initial twelve-year term, unless earlier terminated or extended in accordance with the terms of the Lease Agreement. We shall have the option to extend the Lease Agreement for one additional seven-year term upon written notice to the Buyer no earlier than twelve months and no later than nine months before the end of the initial term.</w:t>
      </w:r>
    </w:p>
    <w:p>
      <w:pPr>
        <w:spacing w:after="0" w:line="155"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anticipate that the closing of the Transaction will occur in February 2022, subject to satisfaction of certain customary closing conditions for transactions of this type. In connection with the Transaction, we presented the net book value of the Real Property of $50.8 million as non-current assets held for sale in the condensed consolidated balance sheet at December 25,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Revenue Recognition</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1"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6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$1.2 million in contract assets recorded on the condensed consolidated balance sheets as of December 25, 2021 and $1.9 million as of June 26, 2021. Contract assets are presented as part of prepaid expenses and other current assets. Contract liabilities and refund liabilities were $20.2 million and $50.8 million, respectively, as of December 25, 2021 and $7.0 million and $36.1 million, respectively, as of June 26, 2021. Both contract liabilities and refund liabilities are presented as customer obligations in Note 9 Other Accrued Liabilities and Other Long-Term Liabilities. During the six months ended December 25, 2021, and the six months ended December 26, 2020, we recognized $3.3 million and $1.1 million, respectively, in revenue related to contract liabilities, which was outstanding as of the beginning of each such fiscal year.</w:t>
      </w:r>
    </w:p>
    <w:p>
      <w:pPr>
        <w:spacing w:after="0" w:line="18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As of December 25, 2021,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8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product category is presented in Note 14 Segment, Customers, and Geographical Information.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Net Income Per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7"/>
          </w:tcPr>
          <w:p>
            <w:pPr>
              <w:ind w:left="520"/>
              <w:spacing w:after="0"/>
              <w:rPr>
                <w:sz w:val="20"/>
                <w:szCs w:val="20"/>
                <w:color w:val="auto"/>
              </w:rPr>
            </w:pPr>
            <w:r>
              <w:rPr>
                <w:rFonts w:ascii="Arial" w:cs="Arial" w:eastAsia="Arial" w:hAnsi="Arial"/>
                <w:sz w:val="18"/>
                <w:szCs w:val="18"/>
                <w:color w:val="auto"/>
                <w:w w:val="91"/>
              </w:rPr>
              <w:t>The computation of basic and diluted net income per share was as follows (in millions,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7"/>
        </w:trPr>
        <w:tc>
          <w:tcPr>
            <w:tcW w:w="5160" w:type="dxa"/>
            <w:vAlign w:val="bottom"/>
          </w:tcPr>
          <w:p>
            <w:pPr>
              <w:spacing w:after="0"/>
              <w:rPr>
                <w:sz w:val="24"/>
                <w:szCs w:val="24"/>
                <w:color w:val="auto"/>
              </w:rPr>
            </w:pPr>
          </w:p>
        </w:tc>
        <w:tc>
          <w:tcPr>
            <w:tcW w:w="2740" w:type="dxa"/>
            <w:vAlign w:val="bottom"/>
            <w:gridSpan w:val="4"/>
          </w:tcPr>
          <w:p>
            <w:pPr>
              <w:jc w:val="right"/>
              <w:ind w:right="31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color w:val="auto"/>
              </w:rPr>
              <w:t>Six Months Ended</w:t>
            </w:r>
          </w:p>
        </w:tc>
        <w:tc>
          <w:tcPr>
            <w:tcW w:w="60" w:type="dxa"/>
            <w:vAlign w:val="bottom"/>
          </w:tcPr>
          <w:p>
            <w:pPr>
              <w:spacing w:after="0"/>
              <w:rPr>
                <w:sz w:val="24"/>
                <w:szCs w:val="24"/>
                <w:color w:val="auto"/>
              </w:rPr>
            </w:pPr>
          </w:p>
        </w:tc>
      </w:tr>
      <w:tr>
        <w:trPr>
          <w:trHeight w:val="217"/>
        </w:trPr>
        <w:tc>
          <w:tcPr>
            <w:tcW w:w="51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December</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160" w:type="dxa"/>
            <w:vAlign w:val="bottom"/>
          </w:tcPr>
          <w:p>
            <w:pPr>
              <w:spacing w:after="0"/>
              <w:rPr>
                <w:sz w:val="17"/>
                <w:szCs w:val="17"/>
                <w:color w:val="auto"/>
              </w:rPr>
            </w:pP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440" w:type="dxa"/>
            <w:vAlign w:val="bottom"/>
          </w:tcPr>
          <w:p>
            <w:pPr>
              <w:spacing w:after="0"/>
              <w:rPr>
                <w:sz w:val="17"/>
                <w:szCs w:val="17"/>
                <w:color w:val="auto"/>
              </w:rPr>
            </w:pPr>
          </w:p>
        </w:tc>
        <w:tc>
          <w:tcPr>
            <w:tcW w:w="12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2020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10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69.5</w:t>
            </w:r>
          </w:p>
        </w:tc>
        <w:tc>
          <w:tcPr>
            <w:tcW w:w="1260" w:type="dxa"/>
            <w:vAlign w:val="bottom"/>
            <w:gridSpan w:val="2"/>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49.6</w:t>
            </w:r>
          </w:p>
        </w:tc>
        <w:tc>
          <w:tcPr>
            <w:tcW w:w="20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109.7</w:t>
            </w:r>
          </w:p>
        </w:tc>
        <w:tc>
          <w:tcPr>
            <w:tcW w:w="54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46.8</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Shares, basic</w:t>
            </w:r>
          </w:p>
        </w:tc>
        <w:tc>
          <w:tcPr>
            <w:tcW w:w="10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6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dilutive share-based awards and convertible notes</w:t>
            </w:r>
          </w:p>
        </w:tc>
        <w:tc>
          <w:tcPr>
            <w:tcW w:w="10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Shares, diluted</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40.7</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36.4</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share:</w:t>
            </w: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Basic</w:t>
            </w:r>
          </w:p>
        </w:tc>
        <w:tc>
          <w:tcPr>
            <w:tcW w:w="1040" w:type="dxa"/>
            <w:vAlign w:val="bottom"/>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1.76</w:t>
            </w:r>
          </w:p>
        </w:tc>
        <w:tc>
          <w:tcPr>
            <w:tcW w:w="1260" w:type="dxa"/>
            <w:vAlign w:val="bottom"/>
            <w:gridSpan w:val="2"/>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2.85</w:t>
            </w:r>
          </w:p>
        </w:tc>
        <w:tc>
          <w:tcPr>
            <w:tcW w:w="54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1.36</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1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1.71</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-596265</wp:posOffset>
            </wp:positionV>
            <wp:extent cx="514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-596265</wp:posOffset>
            </wp:positionV>
            <wp:extent cx="431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-596265</wp:posOffset>
            </wp:positionV>
            <wp:extent cx="431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-596265</wp:posOffset>
            </wp:positionV>
            <wp:extent cx="431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 which were settled in August 2021.</w:t>
      </w:r>
    </w:p>
    <w:p>
      <w:pPr>
        <w:spacing w:after="0" w:line="18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Dilutive net income per share amounts do not include the potential weighted average effect of 12,987 and 179,491 shares of common stock related to certain share-based awards that were outstanding during the three months ended December 25, 2021 and December 26, 2020, respectively, and 10,209 and 502,657 shares of common stock related to certain share-based awards that were outstanding during the six months ended December 25, 2021, and December 26, 2020, respectively. These share-based awards were not included in the computation of diluted net income per share because their effect would have been antidilutive.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carrying values of cash equivalents approximate their fair values due to the short period of time to maturity.</w:t>
      </w:r>
    </w:p>
    <w:p>
      <w:pPr>
        <w:spacing w:after="0" w:line="212"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we currently do not have any bank borrowings, however, when we do have outstanding borrowing the carrying value of our bank debt approximates fair value.</w:t>
      </w:r>
    </w:p>
    <w:p>
      <w:pPr>
        <w:spacing w:after="0" w:line="172"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Our investments, which we hold as available-for-sale, consist primarily of certificates of deposit and corporate and municipal bonds are measured at fair value based on quoted prices for similar assets in active markets, quoted prices for identical assets in inactive markets, or valuations based on models where the significant inputs are observable, such as interest rates or yield curves, or can be corroborated by observable market data. At December 25, 2021, approximately $23.2 million of our investments are expected to mature within one year, and approximately $47.9 million is expected to mature beyond one year. Our total investments are presented as short-term investments in the condensed consolidated balance sheet.</w:t>
      </w:r>
    </w:p>
    <w:p>
      <w:pPr>
        <w:spacing w:after="0" w:line="15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fair value of our $400.0 million principal amount of 4.0% senior notes due 2029 is measured at fair value for disclosure purposes. The fair value of the senior notes as of December 25, 2021 and June 26, 2021 was approximately $408.0 million and $401.5 million, respectively, based on the last trading price of the senior notes for the respective periods.</w:t>
      </w:r>
    </w:p>
    <w:p>
      <w:pPr>
        <w:spacing w:after="0" w:line="182"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At December 25, 2021, our $600.0 million term loan due in December 2028 is a variable rate instrument and the carrying value of the term loan approximates its fair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Inventories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December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17"/>
                <w:szCs w:val="17"/>
                <w:color w:val="auto"/>
              </w:rPr>
            </w:pPr>
          </w:p>
        </w:tc>
      </w:tr>
      <w:tr>
        <w:trPr>
          <w:trHeight w:val="217"/>
        </w:trPr>
        <w:tc>
          <w:tcPr>
            <w:tcW w:w="4600" w:type="dxa"/>
            <w:vAlign w:val="bottom"/>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 and work-in-progress</w:t>
            </w:r>
          </w:p>
        </w:tc>
        <w:tc>
          <w:tcPr>
            <w:tcW w:w="1160" w:type="dxa"/>
            <w:vAlign w:val="bottom"/>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79.5</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w:t>
            </w:r>
          </w:p>
        </w:tc>
        <w:tc>
          <w:tcPr>
            <w:tcW w:w="6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53.8</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w:t>
            </w:r>
          </w:p>
        </w:tc>
        <w:tc>
          <w:tcPr>
            <w:tcW w:w="60" w:type="dxa"/>
            <w:vAlign w:val="bottom"/>
          </w:tcPr>
          <w:p>
            <w:pPr>
              <w:spacing w:after="0"/>
              <w:rPr>
                <w:sz w:val="17"/>
                <w:szCs w:val="17"/>
                <w:color w:val="auto"/>
              </w:rPr>
            </w:pPr>
          </w:p>
        </w:tc>
      </w:tr>
      <w:tr>
        <w:trPr>
          <w:trHeight w:val="236"/>
        </w:trPr>
        <w:tc>
          <w:tcPr>
            <w:tcW w:w="46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133.3</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August 30, 2021, we entered into an agreement and plan of merger with DSP Group, Inc., or DSPG, to acquire all of the equity of DSPG, a leading global provider of voice and wireless chipset solutions for converged communications, for $22.00 per share in an all-cash transaction, referred to as the DSPG acquisition. The DSPG acquisition closed on December 2, 2021, or the DSPG Closing Date, whereupon we obtained voice and wireless technology and product solutions for converged communications.</w:t>
      </w:r>
    </w:p>
    <w:p>
      <w:pPr>
        <w:spacing w:after="0" w:line="8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DSPG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consideration over the net tangible and identifiable intangible assets acquired and liabilities has been recorded as goodwill. Our estimate of the fair values of the acquired intangible assets at December 25, 2021, is preliminary and subject to change and has been based on established and accepted valuation techniques performed with the assistance of our third-party valuation specialists. The primary areas of the preliminary purchase price allocation that are not yet finalized relate to the fair value of certain tangible assets acquired and liabilities assumed, the valuation of intangible assets acquired and related deferred income taxes. We expect to continue to obtain information for the purpose of determining the fair value of the net assets acquired at the acquisition date throughout the remainder of the measurement period.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 price paid to acquire DSPG was $550.9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 w:name="page13"/>
    <w:bookmarkEnd w:id="12"/>
    <w:p>
      <w:pPr>
        <w:ind w:right="140" w:firstLine="509"/>
        <w:spacing w:after="0" w:line="261" w:lineRule="auto"/>
        <w:rPr>
          <w:sz w:val="20"/>
          <w:szCs w:val="20"/>
          <w:color w:val="auto"/>
        </w:rPr>
      </w:pPr>
      <w:r>
        <w:rPr>
          <w:rFonts w:ascii="Arial" w:cs="Arial" w:eastAsia="Arial" w:hAnsi="Arial"/>
          <w:sz w:val="18"/>
          <w:szCs w:val="18"/>
          <w:color w:val="auto"/>
        </w:rPr>
        <w:t>The following table summarizes the preliminary amounts recorded for the estimated fair values of the assets acquired and liabilities assumed as of the DSPG Closing Date (in millions):</w:t>
      </w:r>
    </w:p>
    <w:p>
      <w:pPr>
        <w:sectPr>
          <w:pgSz w:w="11900" w:h="16838" w:orient="portrait"/>
          <w:cols w:equalWidth="0" w:num="1">
            <w:col w:w="11180"/>
          </w:cols>
          <w:pgMar w:left="320" w:top="436" w:right="399" w:bottom="1440" w:gutter="0" w:footer="0" w:header="0"/>
        </w:sectPr>
      </w:pPr>
    </w:p>
    <w:p>
      <w:pPr>
        <w:spacing w:after="0" w:line="26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Accounts receivable, net</w:t>
      </w:r>
    </w:p>
    <w:p>
      <w:pPr>
        <w:ind w:left="1700"/>
        <w:spacing w:after="0" w:line="235" w:lineRule="auto"/>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Prepaid expenses and other current assets</w:t>
      </w:r>
    </w:p>
    <w:p>
      <w:pPr>
        <w:spacing w:after="0" w:line="2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Intangible assets</w:t>
      </w:r>
    </w:p>
    <w:p>
      <w:pPr>
        <w:ind w:left="1700"/>
        <w:spacing w:after="0" w:line="235" w:lineRule="auto"/>
        <w:rPr>
          <w:sz w:val="20"/>
          <w:szCs w:val="20"/>
          <w:color w:val="auto"/>
        </w:rPr>
      </w:pPr>
      <w:r>
        <w:rPr>
          <w:rFonts w:ascii="Arial" w:cs="Arial" w:eastAsia="Arial" w:hAnsi="Arial"/>
          <w:sz w:val="18"/>
          <w:szCs w:val="18"/>
          <w:color w:val="auto"/>
        </w:rPr>
        <w:t>Right-of-use lease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Severance pay fund</w:t>
      </w:r>
    </w:p>
    <w:p>
      <w:pPr>
        <w:ind w:left="1700"/>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Non-current other assets</w:t>
      </w:r>
    </w:p>
    <w:p>
      <w:pPr>
        <w:ind w:left="1880"/>
        <w:spacing w:after="0" w:line="234" w:lineRule="auto"/>
        <w:rPr>
          <w:sz w:val="20"/>
          <w:szCs w:val="20"/>
          <w:color w:val="auto"/>
        </w:rPr>
      </w:pPr>
      <w:r>
        <w:rPr>
          <w:rFonts w:ascii="Arial" w:cs="Arial" w:eastAsia="Arial" w:hAnsi="Arial"/>
          <w:sz w:val="18"/>
          <w:szCs w:val="18"/>
          <w:color w:val="auto"/>
        </w:rPr>
        <w:t>Total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89195" cy="128270"/>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Accounts payable</w:t>
      </w:r>
    </w:p>
    <w:p>
      <w:pPr>
        <w:ind w:left="1700"/>
        <w:spacing w:after="0" w:line="235" w:lineRule="auto"/>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Short-term lease liabilities</w:t>
      </w:r>
    </w:p>
    <w:p>
      <w:pPr>
        <w:ind w:left="1700"/>
        <w:spacing w:after="0" w:line="235" w:lineRule="auto"/>
        <w:rPr>
          <w:sz w:val="20"/>
          <w:szCs w:val="20"/>
          <w:color w:val="auto"/>
        </w:rPr>
      </w:pPr>
      <w:r>
        <w:rPr>
          <w:rFonts w:ascii="Arial" w:cs="Arial" w:eastAsia="Arial" w:hAnsi="Arial"/>
          <w:sz w:val="18"/>
          <w:szCs w:val="18"/>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Accrued severance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Other long-term liabilities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Net identifiable assets acquired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641" w:hanging="641"/>
        <w:spacing w:after="0"/>
        <w:tabs>
          <w:tab w:leader="none" w:pos="641" w:val="left"/>
        </w:tabs>
        <w:numPr>
          <w:ilvl w:val="0"/>
          <w:numId w:val="3"/>
        </w:numPr>
        <w:rPr>
          <w:rFonts w:ascii="Arial" w:cs="Arial" w:eastAsia="Arial" w:hAnsi="Arial"/>
          <w:sz w:val="18"/>
          <w:szCs w:val="18"/>
          <w:color w:val="auto"/>
        </w:rPr>
      </w:pPr>
      <w:r>
        <w:rPr>
          <w:rFonts w:ascii="Arial" w:cs="Arial" w:eastAsia="Arial" w:hAnsi="Arial"/>
          <w:sz w:val="18"/>
          <w:szCs w:val="18"/>
          <w:color w:val="auto"/>
        </w:rPr>
        <w:t>40.5</w:t>
      </w:r>
    </w:p>
    <w:p>
      <w:pPr>
        <w:spacing w:after="0" w:line="11" w:lineRule="exact"/>
        <w:rPr>
          <w:rFonts w:ascii="Arial" w:cs="Arial" w:eastAsia="Arial" w:hAnsi="Arial"/>
          <w:sz w:val="18"/>
          <w:szCs w:val="18"/>
          <w:color w:val="auto"/>
        </w:rPr>
      </w:pPr>
    </w:p>
    <w:p>
      <w:pPr>
        <w:ind w:left="641"/>
        <w:spacing w:after="0" w:line="234" w:lineRule="auto"/>
        <w:rPr>
          <w:rFonts w:ascii="Arial" w:cs="Arial" w:eastAsia="Arial" w:hAnsi="Arial"/>
          <w:sz w:val="18"/>
          <w:szCs w:val="18"/>
          <w:color w:val="auto"/>
        </w:rPr>
      </w:pPr>
      <w:r>
        <w:rPr>
          <w:rFonts w:ascii="Arial" w:cs="Arial" w:eastAsia="Arial" w:hAnsi="Arial"/>
          <w:sz w:val="18"/>
          <w:szCs w:val="18"/>
          <w:color w:val="auto"/>
        </w:rPr>
        <w:t>71.9</w:t>
      </w:r>
    </w:p>
    <w:p>
      <w:pPr>
        <w:ind w:left="641"/>
        <w:spacing w:after="0" w:line="234" w:lineRule="auto"/>
        <w:rPr>
          <w:rFonts w:ascii="Arial" w:cs="Arial" w:eastAsia="Arial" w:hAnsi="Arial"/>
          <w:sz w:val="18"/>
          <w:szCs w:val="18"/>
          <w:color w:val="auto"/>
        </w:rPr>
      </w:pPr>
      <w:r>
        <w:rPr>
          <w:rFonts w:ascii="Arial" w:cs="Arial" w:eastAsia="Arial" w:hAnsi="Arial"/>
          <w:sz w:val="18"/>
          <w:szCs w:val="18"/>
          <w:color w:val="auto"/>
        </w:rPr>
        <w:t>12.9</w:t>
      </w:r>
    </w:p>
    <w:p>
      <w:pPr>
        <w:ind w:left="641"/>
        <w:spacing w:after="0" w:line="234" w:lineRule="auto"/>
        <w:rPr>
          <w:rFonts w:ascii="Arial" w:cs="Arial" w:eastAsia="Arial" w:hAnsi="Arial"/>
          <w:sz w:val="18"/>
          <w:szCs w:val="18"/>
          <w:color w:val="auto"/>
        </w:rPr>
      </w:pPr>
      <w:r>
        <w:rPr>
          <w:rFonts w:ascii="Arial" w:cs="Arial" w:eastAsia="Arial" w:hAnsi="Arial"/>
          <w:sz w:val="18"/>
          <w:szCs w:val="18"/>
          <w:color w:val="auto"/>
        </w:rPr>
        <w:t>22.6</w:t>
      </w:r>
    </w:p>
    <w:p>
      <w:pPr>
        <w:ind w:left="741"/>
        <w:spacing w:after="0" w:line="234" w:lineRule="auto"/>
        <w:rPr>
          <w:rFonts w:ascii="Arial" w:cs="Arial" w:eastAsia="Arial" w:hAnsi="Arial"/>
          <w:sz w:val="18"/>
          <w:szCs w:val="18"/>
          <w:color w:val="auto"/>
        </w:rPr>
      </w:pPr>
      <w:r>
        <w:rPr>
          <w:rFonts w:ascii="Arial" w:cs="Arial" w:eastAsia="Arial" w:hAnsi="Arial"/>
          <w:sz w:val="18"/>
          <w:szCs w:val="18"/>
          <w:color w:val="auto"/>
        </w:rPr>
        <w:t>4.0</w:t>
      </w:r>
    </w:p>
    <w:p>
      <w:pPr>
        <w:ind w:left="741"/>
        <w:spacing w:after="0" w:line="234" w:lineRule="auto"/>
        <w:rPr>
          <w:rFonts w:ascii="Arial" w:cs="Arial" w:eastAsia="Arial" w:hAnsi="Arial"/>
          <w:sz w:val="18"/>
          <w:szCs w:val="18"/>
          <w:color w:val="auto"/>
        </w:rPr>
      </w:pPr>
      <w:r>
        <w:rPr>
          <w:rFonts w:ascii="Arial" w:cs="Arial" w:eastAsia="Arial" w:hAnsi="Arial"/>
          <w:sz w:val="18"/>
          <w:szCs w:val="18"/>
          <w:color w:val="auto"/>
        </w:rPr>
        <w:t>5.9</w:t>
      </w:r>
    </w:p>
    <w:p>
      <w:pPr>
        <w:jc w:val="right"/>
        <w:ind w:right="1720"/>
        <w:spacing w:after="0" w:line="235" w:lineRule="auto"/>
        <w:rPr>
          <w:sz w:val="20"/>
          <w:szCs w:val="20"/>
          <w:color w:val="auto"/>
        </w:rPr>
      </w:pPr>
      <w:r>
        <w:rPr>
          <w:rFonts w:ascii="Arial" w:cs="Arial" w:eastAsia="Arial" w:hAnsi="Arial"/>
          <w:sz w:val="18"/>
          <w:szCs w:val="18"/>
          <w:color w:val="auto"/>
        </w:rPr>
        <w:t>200.5</w:t>
      </w:r>
    </w:p>
    <w:p>
      <w:pPr>
        <w:jc w:val="right"/>
        <w:ind w:right="1720"/>
        <w:spacing w:after="0" w:line="235" w:lineRule="auto"/>
        <w:rPr>
          <w:sz w:val="20"/>
          <w:szCs w:val="20"/>
          <w:color w:val="auto"/>
        </w:rPr>
      </w:pPr>
      <w:r>
        <w:rPr>
          <w:rFonts w:ascii="Arial" w:cs="Arial" w:eastAsia="Arial" w:hAnsi="Arial"/>
          <w:sz w:val="18"/>
          <w:szCs w:val="18"/>
          <w:color w:val="auto"/>
        </w:rPr>
        <w:t>11.2</w:t>
      </w:r>
    </w:p>
    <w:p>
      <w:pPr>
        <w:jc w:val="right"/>
        <w:ind w:right="1720"/>
        <w:spacing w:after="0" w:line="235" w:lineRule="auto"/>
        <w:rPr>
          <w:sz w:val="20"/>
          <w:szCs w:val="20"/>
          <w:color w:val="auto"/>
        </w:rPr>
      </w:pPr>
      <w:r>
        <w:rPr>
          <w:rFonts w:ascii="Arial" w:cs="Arial" w:eastAsia="Arial" w:hAnsi="Arial"/>
          <w:sz w:val="18"/>
          <w:szCs w:val="18"/>
          <w:color w:val="auto"/>
        </w:rPr>
        <w:t>16.2</w:t>
      </w:r>
    </w:p>
    <w:p>
      <w:pPr>
        <w:jc w:val="right"/>
        <w:ind w:right="1720"/>
        <w:spacing w:after="0" w:line="235" w:lineRule="auto"/>
        <w:rPr>
          <w:sz w:val="20"/>
          <w:szCs w:val="20"/>
          <w:color w:val="auto"/>
        </w:rPr>
      </w:pPr>
      <w:r>
        <w:rPr>
          <w:rFonts w:ascii="Arial" w:cs="Arial" w:eastAsia="Arial" w:hAnsi="Arial"/>
          <w:sz w:val="18"/>
          <w:szCs w:val="18"/>
          <w:color w:val="auto"/>
        </w:rPr>
        <w:t>0.3</w:t>
      </w:r>
    </w:p>
    <w:p>
      <w:pPr>
        <w:jc w:val="right"/>
        <w:ind w:right="1720"/>
        <w:spacing w:after="0"/>
        <w:rPr>
          <w:sz w:val="20"/>
          <w:szCs w:val="20"/>
          <w:color w:val="auto"/>
        </w:rPr>
      </w:pPr>
      <w:r>
        <w:rPr>
          <w:rFonts w:ascii="Arial" w:cs="Arial" w:eastAsia="Arial" w:hAnsi="Arial"/>
          <w:sz w:val="18"/>
          <w:szCs w:val="18"/>
          <w:color w:val="auto"/>
        </w:rPr>
        <w:t>2.3</w:t>
      </w:r>
    </w:p>
    <w:p>
      <w:pPr>
        <w:spacing w:after="0" w:line="5"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388.3</w:t>
      </w:r>
    </w:p>
    <w:p>
      <w:pPr>
        <w:jc w:val="right"/>
        <w:ind w:right="1640"/>
        <w:spacing w:after="0" w:line="234" w:lineRule="auto"/>
        <w:rPr>
          <w:sz w:val="20"/>
          <w:szCs w:val="20"/>
          <w:color w:val="auto"/>
        </w:rPr>
      </w:pPr>
      <w:r>
        <w:rPr>
          <w:rFonts w:ascii="Arial" w:cs="Arial" w:eastAsia="Arial" w:hAnsi="Arial"/>
          <w:sz w:val="18"/>
          <w:szCs w:val="18"/>
          <w:color w:val="auto"/>
        </w:rPr>
        <w:t>(6.7 )</w:t>
      </w:r>
    </w:p>
    <w:p>
      <w:pPr>
        <w:jc w:val="right"/>
        <w:ind w:right="1640"/>
        <w:spacing w:after="0" w:line="235" w:lineRule="auto"/>
        <w:rPr>
          <w:sz w:val="20"/>
          <w:szCs w:val="20"/>
          <w:color w:val="auto"/>
        </w:rPr>
      </w:pPr>
      <w:r>
        <w:rPr>
          <w:rFonts w:ascii="Arial" w:cs="Arial" w:eastAsia="Arial" w:hAnsi="Arial"/>
          <w:sz w:val="18"/>
          <w:szCs w:val="18"/>
          <w:color w:val="auto"/>
        </w:rPr>
        <w:t>(18.4 )</w:t>
      </w:r>
    </w:p>
    <w:p>
      <w:pPr>
        <w:jc w:val="right"/>
        <w:ind w:right="1640"/>
        <w:spacing w:after="0" w:line="235" w:lineRule="auto"/>
        <w:rPr>
          <w:sz w:val="20"/>
          <w:szCs w:val="20"/>
          <w:color w:val="auto"/>
        </w:rPr>
      </w:pPr>
      <w:r>
        <w:rPr>
          <w:rFonts w:ascii="Arial" w:cs="Arial" w:eastAsia="Arial" w:hAnsi="Arial"/>
          <w:sz w:val="18"/>
          <w:szCs w:val="18"/>
          <w:color w:val="auto"/>
        </w:rPr>
        <w:t>(1.7 )</w:t>
      </w:r>
    </w:p>
    <w:p>
      <w:pPr>
        <w:jc w:val="right"/>
        <w:ind w:right="1640"/>
        <w:spacing w:after="0" w:line="235" w:lineRule="auto"/>
        <w:rPr>
          <w:sz w:val="20"/>
          <w:szCs w:val="20"/>
          <w:color w:val="auto"/>
        </w:rPr>
      </w:pPr>
      <w:r>
        <w:rPr>
          <w:rFonts w:ascii="Arial" w:cs="Arial" w:eastAsia="Arial" w:hAnsi="Arial"/>
          <w:sz w:val="18"/>
          <w:szCs w:val="18"/>
          <w:color w:val="auto"/>
        </w:rPr>
        <w:t>(9.4 )</w:t>
      </w:r>
    </w:p>
    <w:p>
      <w:pPr>
        <w:jc w:val="right"/>
        <w:ind w:right="1640"/>
        <w:spacing w:after="0" w:line="235" w:lineRule="auto"/>
        <w:rPr>
          <w:sz w:val="20"/>
          <w:szCs w:val="20"/>
          <w:color w:val="auto"/>
        </w:rPr>
      </w:pPr>
      <w:r>
        <w:rPr>
          <w:rFonts w:ascii="Arial" w:cs="Arial" w:eastAsia="Arial" w:hAnsi="Arial"/>
          <w:sz w:val="18"/>
          <w:szCs w:val="18"/>
          <w:color w:val="auto"/>
        </w:rPr>
        <w:t>(16.4 )</w:t>
      </w:r>
    </w:p>
    <w:p>
      <w:pPr>
        <w:jc w:val="right"/>
        <w:ind w:right="1640"/>
        <w:spacing w:after="0" w:line="234" w:lineRule="auto"/>
        <w:rPr>
          <w:sz w:val="20"/>
          <w:szCs w:val="20"/>
          <w:color w:val="auto"/>
        </w:rPr>
      </w:pPr>
      <w:r>
        <w:rPr>
          <w:rFonts w:ascii="Arial" w:cs="Arial" w:eastAsia="Arial" w:hAnsi="Arial"/>
          <w:sz w:val="18"/>
          <w:szCs w:val="18"/>
          <w:color w:val="auto"/>
        </w:rPr>
        <w:t>(38.1 )</w:t>
      </w:r>
    </w:p>
    <w:p>
      <w:pPr>
        <w:spacing w:after="0" w:line="1"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(3.3 )</w:t>
      </w:r>
    </w:p>
    <w:p>
      <w:pPr>
        <w:spacing w:after="0" w:line="7" w:lineRule="exact"/>
        <w:rPr>
          <w:sz w:val="20"/>
          <w:szCs w:val="20"/>
          <w:color w:val="auto"/>
        </w:rPr>
      </w:pPr>
    </w:p>
    <w:p>
      <w:pPr>
        <w:ind w:left="581"/>
        <w:spacing w:after="0"/>
        <w:rPr>
          <w:sz w:val="20"/>
          <w:szCs w:val="20"/>
          <w:color w:val="auto"/>
        </w:rPr>
      </w:pPr>
      <w:r>
        <w:rPr>
          <w:rFonts w:ascii="Arial" w:cs="Arial" w:eastAsia="Arial" w:hAnsi="Arial"/>
          <w:sz w:val="15"/>
          <w:szCs w:val="15"/>
          <w:color w:val="auto"/>
        </w:rPr>
        <w:t>(94.0 )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6254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4" w:lineRule="exact"/>
        <w:rPr>
          <w:sz w:val="20"/>
          <w:szCs w:val="20"/>
          <w:color w:val="auto"/>
        </w:rPr>
      </w:pPr>
    </w:p>
    <w:p>
      <w:pPr>
        <w:ind w:left="561"/>
        <w:spacing w:after="0"/>
        <w:rPr>
          <w:sz w:val="20"/>
          <w:szCs w:val="20"/>
          <w:color w:val="auto"/>
        </w:rPr>
      </w:pPr>
      <w:r>
        <w:rPr>
          <w:rFonts w:ascii="Arial" w:cs="Arial" w:eastAsia="Arial" w:hAnsi="Arial"/>
          <w:sz w:val="18"/>
          <w:szCs w:val="18"/>
          <w:color w:val="auto"/>
        </w:rPr>
        <w:t>294.3</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256.6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6254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ind w:left="561" w:hanging="561"/>
        <w:spacing w:after="0"/>
        <w:tabs>
          <w:tab w:leader="none" w:pos="561" w:val="left"/>
        </w:tabs>
        <w:numPr>
          <w:ilvl w:val="0"/>
          <w:numId w:val="4"/>
        </w:numPr>
        <w:rPr>
          <w:rFonts w:ascii="Arial" w:cs="Arial" w:eastAsia="Arial" w:hAnsi="Arial"/>
          <w:sz w:val="18"/>
          <w:szCs w:val="18"/>
          <w:color w:val="auto"/>
        </w:rPr>
      </w:pPr>
      <w:r>
        <w:rPr>
          <w:rFonts w:ascii="Arial" w:cs="Arial" w:eastAsia="Arial" w:hAnsi="Arial"/>
          <w:sz w:val="18"/>
          <w:szCs w:val="18"/>
          <w:color w:val="auto"/>
        </w:rPr>
        <w:t>550.9</w:t>
      </w:r>
    </w:p>
    <w:p>
      <w:pPr>
        <w:spacing w:after="0" w:line="130" w:lineRule="exact"/>
        <w:rPr>
          <w:sz w:val="20"/>
          <w:szCs w:val="20"/>
          <w:color w:val="auto"/>
        </w:rPr>
      </w:pPr>
    </w:p>
    <w:p>
      <w:pPr>
        <w:sectPr>
          <w:pgSz w:w="11900" w:h="16838" w:orient="portrait"/>
          <w:cols w:equalWidth="0" w:num="2">
            <w:col w:w="7779" w:space="720"/>
            <w:col w:w="2681"/>
          </w:cols>
          <w:pgMar w:left="320" w:top="436" w:right="39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The following table summarizes the preliminary estimated fair value of the intangible assets as of the DSPG Closing Date (in millions):</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Estimated Fair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0"/>
              </w:rPr>
              <w:t>Average Useful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Lives in Years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 process research and development</w:t>
            </w:r>
          </w:p>
        </w:tc>
        <w:tc>
          <w:tcPr>
            <w:tcW w:w="124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0"/>
                <w:szCs w:val="20"/>
                <w:color w:val="auto"/>
              </w:rPr>
            </w:pPr>
            <w:r>
              <w:rPr>
                <w:rFonts w:ascii="Arial" w:cs="Arial" w:eastAsia="Arial" w:hAnsi="Arial"/>
                <w:sz w:val="18"/>
                <w:szCs w:val="18"/>
                <w:color w:val="auto"/>
              </w:rPr>
              <w:t>Backlog</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2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940" w:type="dxa"/>
            <w:vAlign w:val="bottom"/>
          </w:tcPr>
          <w:p>
            <w:pPr>
              <w:ind w:left="180"/>
              <w:spacing w:after="0"/>
              <w:rPr>
                <w:sz w:val="20"/>
                <w:szCs w:val="20"/>
                <w:color w:val="auto"/>
              </w:rPr>
            </w:pPr>
            <w:r>
              <w:rPr>
                <w:rFonts w:ascii="Arial" w:cs="Arial" w:eastAsia="Arial" w:hAnsi="Arial"/>
                <w:sz w:val="18"/>
                <w:szCs w:val="18"/>
                <w:color w:val="auto"/>
              </w:rPr>
              <w:t>Estimated fair value of acquired intangibles</w:t>
            </w:r>
          </w:p>
        </w:tc>
        <w:tc>
          <w:tcPr>
            <w:tcW w:w="124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-245110</wp:posOffset>
            </wp:positionV>
            <wp:extent cx="431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4% to 18%.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In-process research and development consists of advanced semiconductor telecommunications products for the Internet of Things, or IoT, market.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complete the in-process research and development project in calendar year 2023.</w:t>
      </w:r>
    </w:p>
    <w:p>
      <w:pPr>
        <w:spacing w:after="0" w:line="8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DSPG as of the DSPG Closing Date. As of December 25, 2021, none of the goodwill is expected to be deductible for income tax purposes.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type w:val="continuous"/>
        </w:sectPr>
      </w:pPr>
    </w:p>
    <w:bookmarkStart w:id="13" w:name="page14"/>
    <w:bookmarkEnd w:id="13"/>
    <w:p>
      <w:pPr>
        <w:ind w:left="520"/>
        <w:spacing w:after="0"/>
        <w:rPr>
          <w:sz w:val="20"/>
          <w:szCs w:val="20"/>
          <w:color w:val="auto"/>
        </w:rPr>
      </w:pPr>
      <w:r>
        <w:rPr>
          <w:rFonts w:ascii="Arial" w:cs="Arial" w:eastAsia="Arial" w:hAnsi="Arial"/>
          <w:sz w:val="18"/>
          <w:szCs w:val="18"/>
          <w:color w:val="auto"/>
        </w:rPr>
        <w:t>Prior to the DSPG acquisition, we did not have an existing relationship or transactions with DSPG.</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condensed consolidated financial statements include $11.3 million of revenue from DSPG from the DSPG Closing Date, and a net loss of $16.4 million through December 25,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color w:val="auto"/>
                <w:w w:val="88"/>
              </w:rPr>
              <w:t>December 2021</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color w:val="auto"/>
              </w:rPr>
              <w:t>June 2021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7"/>
        </w:trPr>
        <w:tc>
          <w:tcPr>
            <w:tcW w:w="274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27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Gross 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920" w:type="dxa"/>
            <w:vAlign w:val="bottom"/>
          </w:tcPr>
          <w:p>
            <w:pPr>
              <w:jc w:val="right"/>
              <w:ind w:right="60"/>
              <w:spacing w:after="0" w:line="149" w:lineRule="exact"/>
              <w:rPr>
                <w:sz w:val="20"/>
                <w:szCs w:val="20"/>
                <w:color w:val="auto"/>
              </w:rPr>
            </w:pPr>
            <w:r>
              <w:rPr>
                <w:rFonts w:ascii="Arial" w:cs="Arial" w:eastAsia="Arial" w:hAnsi="Arial"/>
                <w:sz w:val="14"/>
                <w:szCs w:val="14"/>
                <w:color w:val="auto"/>
                <w:w w:val="96"/>
              </w:rPr>
              <w:t>Net Carrying</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Gross 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w w:val="98"/>
              </w:rPr>
              <w:t>Accumulated</w:t>
            </w:r>
          </w:p>
        </w:tc>
        <w:tc>
          <w:tcPr>
            <w:tcW w:w="12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2"/>
                <w:szCs w:val="12"/>
                <w:color w:val="auto"/>
              </w:rPr>
            </w:pPr>
          </w:p>
        </w:tc>
      </w:tr>
      <w:tr>
        <w:trPr>
          <w:trHeight w:val="181"/>
        </w:trPr>
        <w:tc>
          <w:tcPr>
            <w:tcW w:w="274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Life in Years</w:t>
            </w:r>
          </w:p>
        </w:tc>
        <w:tc>
          <w:tcPr>
            <w:tcW w:w="220" w:type="dxa"/>
            <w:vAlign w:val="bottom"/>
          </w:tcPr>
          <w:p>
            <w:pPr>
              <w:spacing w:after="0"/>
              <w:rPr>
                <w:sz w:val="15"/>
                <w:szCs w:val="15"/>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99"/>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920" w:type="dxa"/>
            <w:vAlign w:val="bottom"/>
          </w:tcPr>
          <w:p>
            <w:pPr>
              <w:jc w:val="right"/>
              <w:ind w:right="260"/>
              <w:spacing w:after="0"/>
              <w:rPr>
                <w:sz w:val="20"/>
                <w:szCs w:val="20"/>
                <w:color w:val="auto"/>
              </w:rPr>
            </w:pPr>
            <w:r>
              <w:rPr>
                <w:rFonts w:ascii="Arial" w:cs="Arial" w:eastAsia="Arial" w:hAnsi="Arial"/>
                <w:sz w:val="14"/>
                <w:szCs w:val="14"/>
                <w:color w:val="auto"/>
              </w:rPr>
              <w:t>Value</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color w:val="auto"/>
              </w:rPr>
              <w:t>Value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79"/>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5"/>
                <w:szCs w:val="15"/>
                <w:color w:val="auto"/>
              </w:rPr>
            </w:pPr>
          </w:p>
        </w:tc>
        <w:tc>
          <w:tcPr>
            <w:tcW w:w="900" w:type="dxa"/>
            <w:vAlign w:val="bottom"/>
          </w:tcPr>
          <w:p>
            <w:pPr>
              <w:jc w:val="right"/>
              <w:ind w:right="260"/>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5"/>
                <w:szCs w:val="15"/>
                <w:color w:val="auto"/>
              </w:rPr>
            </w:pPr>
          </w:p>
        </w:tc>
      </w:tr>
      <w:tr>
        <w:trPr>
          <w:trHeight w:val="183"/>
        </w:trPr>
        <w:tc>
          <w:tcPr>
            <w:tcW w:w="2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Audio and video technology</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w:t>
            </w:r>
          </w:p>
        </w:tc>
        <w:tc>
          <w:tcPr>
            <w:tcW w:w="1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189.6</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(87.7</w:t>
            </w:r>
          </w:p>
        </w:tc>
        <w:tc>
          <w:tcPr>
            <w:tcW w:w="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101.9</w:t>
            </w:r>
          </w:p>
        </w:tc>
        <w:tc>
          <w:tcPr>
            <w:tcW w:w="1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138.6</w:t>
            </w:r>
          </w:p>
        </w:tc>
        <w:tc>
          <w:tcPr>
            <w:tcW w:w="16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(97.6</w:t>
            </w:r>
          </w:p>
        </w:tc>
        <w:tc>
          <w:tcPr>
            <w:tcW w:w="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41.0</w:t>
            </w:r>
          </w:p>
        </w:tc>
        <w:tc>
          <w:tcPr>
            <w:tcW w:w="60" w:type="dxa"/>
            <w:vAlign w:val="bottom"/>
            <w:shd w:val="clear" w:color="auto" w:fill="CFF0FC"/>
          </w:tcPr>
          <w:p>
            <w:pPr>
              <w:spacing w:after="0"/>
              <w:rPr>
                <w:sz w:val="15"/>
                <w:szCs w:val="15"/>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(80.2 )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(63.8 )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61.7</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Wireless connectivity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(14.2 )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Video interface technology</w:t>
            </w: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(38.7 )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(25.1 )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56.9</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Display driver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(17.5 )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Backlog</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Licensed technology and other</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Patents</w:t>
            </w: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In process research and development</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Not applicable</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60" w:type="dxa"/>
            <w:vAlign w:val="bottom"/>
          </w:tcPr>
          <w:p>
            <w:pPr>
              <w:spacing w:after="0"/>
              <w:rPr>
                <w:sz w:val="16"/>
                <w:szCs w:val="16"/>
                <w:color w:val="auto"/>
              </w:rPr>
            </w:pPr>
          </w:p>
        </w:tc>
      </w:tr>
      <w:tr>
        <w:trPr>
          <w:trHeight w:val="223"/>
        </w:trPr>
        <w:tc>
          <w:tcPr>
            <w:tcW w:w="274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6"/>
                <w:szCs w:val="16"/>
                <w:color w:val="auto"/>
              </w:rPr>
              <w:t>Acquired intangibles totals</w:t>
            </w:r>
          </w:p>
        </w:tc>
        <w:tc>
          <w:tcPr>
            <w:tcW w:w="10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708.6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(261.0</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447.6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544.7</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(243.2</w:t>
            </w:r>
          </w:p>
        </w:tc>
        <w:tc>
          <w:tcPr>
            <w:tcW w:w="18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301.5</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-25400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 total amortization expense for the acquired intangible assets was $29.2 million and $31.6 million for the three months ended December 25, 2021, and December 26, 2020, respectively, and $54.4 million and $57.0 million for the six months ended December 25, 2021 and December 26, 2020, respectively. During the three months ended December 25, 2021, and December 26, 2020, $19.9 million and $22.9 million, respectively, and $36.8 million and $41.6 million for the six months ended December 25, 2021 and December 26, 2020, respectively, of amortization expense was included in our condensed consolidated statements of income in cost of revenue; the remainder was included in acquired intangibles amortization.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jc w:val="both"/>
        <w:ind w:right="220" w:firstLine="509"/>
        <w:spacing w:after="0" w:line="324" w:lineRule="auto"/>
        <w:rPr>
          <w:sz w:val="20"/>
          <w:szCs w:val="20"/>
          <w:color w:val="auto"/>
        </w:rPr>
      </w:pPr>
      <w:r>
        <w:rPr>
          <w:rFonts w:ascii="Arial" w:cs="Arial" w:eastAsia="Arial" w:hAnsi="Arial"/>
          <w:sz w:val="16"/>
          <w:szCs w:val="16"/>
          <w:color w:val="auto"/>
        </w:rPr>
        <w:t>Goodwill represents the excess of the purchase price over the fair value of net tangible and identifiable intangible assets acquired. The changes in our goodwill balance for the six months ended December 25, 2021 reflect our preliminary estimate of goodwill associated with the acquisition of DSPG.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2029, some of which include options to extend the lease for up to 5 years. For the six months ended December 25, 2021 and December 26, 2020, we recorded approximately $5.7 million and $5.0 million, respectively, of operating leases expense. Our short-term leases are immaterial.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25, 2021, and June 26, 2021, the components of leases and lease costs are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December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June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00" w:type="dxa"/>
            <w:vAlign w:val="bottom"/>
            <w:gridSpan w:val="2"/>
          </w:tcPr>
          <w:p>
            <w:pPr>
              <w:jc w:val="right"/>
              <w:ind w:right="11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Operating lease right-of-use assets</w:t>
            </w:r>
          </w:p>
        </w:tc>
        <w:tc>
          <w:tcPr>
            <w:tcW w:w="15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9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44.0</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240" w:type="dxa"/>
            <w:vAlign w:val="bottom"/>
          </w:tcPr>
          <w:p>
            <w:pPr>
              <w:spacing w:after="0" w:line="183" w:lineRule="exact"/>
              <w:rPr>
                <w:sz w:val="20"/>
                <w:szCs w:val="20"/>
                <w:color w:val="auto"/>
              </w:rPr>
            </w:pPr>
            <w:r>
              <w:rPr>
                <w:rFonts w:ascii="Arial" w:cs="Arial" w:eastAsia="Arial" w:hAnsi="Arial"/>
                <w:sz w:val="18"/>
                <w:szCs w:val="18"/>
                <w:color w:val="auto"/>
              </w:rPr>
              <w:t>Operating lease liabilities</w:t>
            </w:r>
          </w:p>
        </w:tc>
        <w:tc>
          <w:tcPr>
            <w:tcW w:w="2700" w:type="dxa"/>
            <w:vAlign w:val="bottom"/>
            <w:gridSpan w:val="2"/>
          </w:tcPr>
          <w:p>
            <w:pPr>
              <w:jc w:val="right"/>
              <w:ind w:right="93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8"/>
                <w:szCs w:val="18"/>
                <w:color w:val="auto"/>
              </w:rPr>
              <w:t>9.5</w:t>
            </w:r>
          </w:p>
        </w:tc>
        <w:tc>
          <w:tcPr>
            <w:tcW w:w="48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9.3</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long-term</w:t>
            </w:r>
          </w:p>
        </w:tc>
        <w:tc>
          <w:tcPr>
            <w:tcW w:w="15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35.2</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240" w:type="dxa"/>
            <w:vAlign w:val="bottom"/>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2700" w:type="dxa"/>
            <w:vAlign w:val="bottom"/>
            <w:gridSpan w:val="2"/>
          </w:tcPr>
          <w:p>
            <w:pPr>
              <w:jc w:val="right"/>
              <w:ind w:right="930"/>
              <w:spacing w:after="0" w:line="18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w w:val="91"/>
              </w:rPr>
              <w:t>44.7</w:t>
            </w:r>
          </w:p>
        </w:tc>
        <w:tc>
          <w:tcPr>
            <w:tcW w:w="4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33.3</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80" w:type="dxa"/>
            <w:vAlign w:val="bottom"/>
            <w:vMerge w:val="restart"/>
          </w:tcPr>
          <w:p>
            <w:pPr>
              <w:jc w:val="right"/>
              <w:ind w:right="710"/>
              <w:spacing w:after="0"/>
              <w:rPr>
                <w:sz w:val="20"/>
                <w:szCs w:val="20"/>
                <w:color w:val="auto"/>
              </w:rPr>
            </w:pPr>
            <w:r>
              <w:rPr>
                <w:rFonts w:ascii="Arial" w:cs="Arial" w:eastAsia="Arial" w:hAnsi="Arial"/>
                <w:sz w:val="18"/>
                <w:szCs w:val="18"/>
                <w:color w:val="auto"/>
              </w:rPr>
              <w:t>14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-916940</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-899795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-916940</wp:posOffset>
            </wp:positionV>
            <wp:extent cx="34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-899795</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-630555</wp:posOffset>
            </wp:positionV>
            <wp:extent cx="431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-630555</wp:posOffset>
            </wp:positionV>
            <wp:extent cx="342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Supplemental cash flow information related to leases, including from acquisitions, is as follows (in millions):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56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Six Months Ended</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w w:val="89"/>
              </w:rPr>
              <w:t>December</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420" w:type="dxa"/>
            <w:vAlign w:val="bottom"/>
          </w:tcPr>
          <w:p>
            <w:pPr>
              <w:spacing w:after="0"/>
              <w:rPr>
                <w:sz w:val="17"/>
                <w:szCs w:val="17"/>
                <w:color w:val="auto"/>
              </w:rPr>
            </w:pPr>
          </w:p>
        </w:tc>
        <w:tc>
          <w:tcPr>
            <w:tcW w:w="11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5"/>
              </w:rPr>
              <w:t>Cash paid for operating leases included in operating cash flows</w:t>
            </w:r>
          </w:p>
        </w:tc>
        <w:tc>
          <w:tcPr>
            <w:tcW w:w="100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8"/>
                <w:szCs w:val="18"/>
                <w:color w:val="auto"/>
                <w:w w:val="99"/>
              </w:rPr>
              <w:t>Supplemental non-cash information related to lease liabilities</w:t>
            </w:r>
          </w:p>
        </w:tc>
        <w:tc>
          <w:tcPr>
            <w:tcW w:w="10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arising from obtaining right-of-use assets</w:t>
            </w:r>
          </w:p>
        </w:tc>
        <w:tc>
          <w:tcPr>
            <w:tcW w:w="100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25, 2021, the weighted average remaining lease term is 6.2 years, and the weighted average discount rate is 3.8%.</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left="277"/>
              <w:spacing w:after="0"/>
              <w:rPr>
                <w:sz w:val="20"/>
                <w:szCs w:val="20"/>
                <w:color w:val="auto"/>
              </w:rPr>
            </w:pPr>
            <w:r>
              <w:rPr>
                <w:rFonts w:ascii="Arial" w:cs="Arial" w:eastAsia="Arial" w:hAnsi="Arial"/>
                <w:sz w:val="18"/>
                <w:szCs w:val="18"/>
                <w:color w:val="auto"/>
                <w:w w:val="91"/>
              </w:rPr>
              <w:t>Operating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left="257"/>
              <w:spacing w:after="0" w:line="202" w:lineRule="exact"/>
              <w:rPr>
                <w:sz w:val="20"/>
                <w:szCs w:val="20"/>
                <w:color w:val="auto"/>
              </w:rPr>
            </w:pPr>
            <w:r>
              <w:rPr>
                <w:rFonts w:ascii="Arial" w:cs="Arial" w:eastAsia="Arial" w:hAnsi="Arial"/>
                <w:sz w:val="18"/>
                <w:szCs w:val="18"/>
                <w:color w:val="auto"/>
                <w:w w:val="85"/>
              </w:rPr>
              <w:t>Lease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gridSpan w:val="5"/>
          </w:tcPr>
          <w:p>
            <w:pPr>
              <w:jc w:val="center"/>
              <w:ind w:left="257"/>
              <w:spacing w:after="0"/>
              <w:rPr>
                <w:sz w:val="20"/>
                <w:szCs w:val="20"/>
                <w:color w:val="auto"/>
              </w:rPr>
            </w:pPr>
            <w:r>
              <w:rPr>
                <w:rFonts w:ascii="Arial" w:cs="Arial" w:eastAsia="Arial" w:hAnsi="Arial"/>
                <w:sz w:val="18"/>
                <w:szCs w:val="18"/>
                <w:color w:val="auto"/>
                <w:w w:val="87"/>
              </w:rPr>
              <w:t>Payments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Remainder of 2022</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7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6"/>
              </w:rPr>
              <w:t>14.2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future minimum operating lease payments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50.2</w:t>
            </w:r>
          </w:p>
        </w:tc>
        <w:tc>
          <w:tcPr>
            <w:tcW w:w="100" w:type="dxa"/>
            <w:vAlign w:val="bottom"/>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(5.5 )</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lease liabilities</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gridSpan w:val="2"/>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7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6"/>
              </w:rPr>
              <w:t>44.7</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74"/>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9. Other Accrued Liabilities and Other Long-Term Liabilities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6520" w:type="dxa"/>
            <w:vAlign w:val="bottom"/>
            <w:gridSpan w:val="3"/>
          </w:tcPr>
          <w:p>
            <w:pPr>
              <w:ind w:left="520"/>
              <w:spacing w:after="0"/>
              <w:rPr>
                <w:sz w:val="20"/>
                <w:szCs w:val="20"/>
                <w:color w:val="auto"/>
              </w:rPr>
            </w:pPr>
            <w:r>
              <w:rPr>
                <w:rFonts w:ascii="Arial" w:cs="Arial" w:eastAsia="Arial" w:hAnsi="Arial"/>
                <w:sz w:val="18"/>
                <w:szCs w:val="18"/>
                <w:color w:val="auto"/>
              </w:rPr>
              <w:t>Other accrued liabilities consisted of the following (in millions):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7"/>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tcPr>
          <w:p>
            <w:pPr>
              <w:jc w:val="right"/>
              <w:ind w:right="340"/>
              <w:spacing w:after="0"/>
              <w:rPr>
                <w:sz w:val="20"/>
                <w:szCs w:val="20"/>
                <w:color w:val="auto"/>
              </w:rPr>
            </w:pPr>
            <w:r>
              <w:rPr>
                <w:rFonts w:ascii="Arial" w:cs="Arial" w:eastAsia="Arial" w:hAnsi="Arial"/>
                <w:sz w:val="18"/>
                <w:szCs w:val="18"/>
                <w:color w:val="auto"/>
              </w:rPr>
              <w:t>December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24"/>
                <w:szCs w:val="24"/>
                <w:color w:val="auto"/>
              </w:rPr>
            </w:pPr>
          </w:p>
        </w:tc>
      </w:tr>
      <w:tr>
        <w:trPr>
          <w:trHeight w:val="217"/>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196"/>
        </w:trPr>
        <w:tc>
          <w:tcPr>
            <w:tcW w:w="1700" w:type="dxa"/>
            <w:vAlign w:val="bottom"/>
          </w:tcPr>
          <w:p>
            <w:pPr>
              <w:spacing w:after="0"/>
              <w:rPr>
                <w:sz w:val="17"/>
                <w:szCs w:val="17"/>
                <w:color w:val="auto"/>
              </w:rPr>
            </w:pPr>
          </w:p>
        </w:tc>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Customer obligations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70.5</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43.1</w:t>
            </w:r>
          </w:p>
        </w:tc>
        <w:tc>
          <w:tcPr>
            <w:tcW w:w="60" w:type="dxa"/>
            <w:vAlign w:val="bottom"/>
            <w:shd w:val="clear" w:color="auto" w:fill="CFF0FC"/>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Inventory obligations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17.0</w:t>
            </w: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short-term</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60" w:type="dxa"/>
            <w:vAlign w:val="bottom"/>
            <w:shd w:val="clear" w:color="auto" w:fill="CFF0FC"/>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26.8</w:t>
            </w:r>
          </w:p>
        </w:tc>
        <w:tc>
          <w:tcPr>
            <w:tcW w:w="6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42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138.5</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96.2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440"/>
        </w:trPr>
        <w:tc>
          <w:tcPr>
            <w:tcW w:w="6520" w:type="dxa"/>
            <w:vAlign w:val="bottom"/>
            <w:gridSpan w:val="3"/>
          </w:tcPr>
          <w:p>
            <w:pPr>
              <w:ind w:left="520"/>
              <w:spacing w:after="0"/>
              <w:rPr>
                <w:sz w:val="20"/>
                <w:szCs w:val="20"/>
                <w:color w:val="auto"/>
              </w:rPr>
            </w:pPr>
            <w:r>
              <w:rPr>
                <w:rFonts w:ascii="Arial" w:cs="Arial" w:eastAsia="Arial" w:hAnsi="Arial"/>
                <w:sz w:val="18"/>
                <w:szCs w:val="18"/>
                <w:color w:val="auto"/>
              </w:rPr>
              <w:t>Other long-term liabilities consisted of the following (in millions):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7"/>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tcPr>
          <w:p>
            <w:pPr>
              <w:jc w:val="right"/>
              <w:ind w:right="400"/>
              <w:spacing w:after="0"/>
              <w:rPr>
                <w:sz w:val="20"/>
                <w:szCs w:val="20"/>
                <w:color w:val="auto"/>
              </w:rPr>
            </w:pPr>
            <w:r>
              <w:rPr>
                <w:rFonts w:ascii="Arial" w:cs="Arial" w:eastAsia="Arial" w:hAnsi="Arial"/>
                <w:sz w:val="18"/>
                <w:szCs w:val="18"/>
                <w:color w:val="auto"/>
                <w:w w:val="98"/>
              </w:rPr>
              <w:t>December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24"/>
                <w:szCs w:val="24"/>
                <w:color w:val="auto"/>
              </w:rPr>
            </w:pPr>
          </w:p>
        </w:tc>
      </w:tr>
      <w:tr>
        <w:trPr>
          <w:trHeight w:val="217"/>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196"/>
        </w:trPr>
        <w:tc>
          <w:tcPr>
            <w:tcW w:w="1700" w:type="dxa"/>
            <w:vAlign w:val="bottom"/>
          </w:tcPr>
          <w:p>
            <w:pPr>
              <w:spacing w:after="0"/>
              <w:rPr>
                <w:sz w:val="17"/>
                <w:szCs w:val="17"/>
                <w:color w:val="auto"/>
              </w:rPr>
            </w:pPr>
          </w:p>
        </w:tc>
        <w:tc>
          <w:tcPr>
            <w:tcW w:w="4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 long-term</w:t>
            </w:r>
          </w:p>
        </w:tc>
        <w:tc>
          <w:tcPr>
            <w:tcW w:w="2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35.2</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24.0</w:t>
            </w:r>
          </w:p>
        </w:tc>
        <w:tc>
          <w:tcPr>
            <w:tcW w:w="60" w:type="dxa"/>
            <w:vAlign w:val="bottom"/>
            <w:shd w:val="clear" w:color="auto" w:fill="CFF0FC"/>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27.1</w:t>
            </w:r>
          </w:p>
        </w:tc>
        <w:tc>
          <w:tcPr>
            <w:tcW w:w="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Income taxes payable, long-term</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28.3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15.4</w:t>
            </w:r>
          </w:p>
        </w:tc>
        <w:tc>
          <w:tcPr>
            <w:tcW w:w="60" w:type="dxa"/>
            <w:vAlign w:val="bottom"/>
            <w:shd w:val="clear" w:color="auto" w:fill="CFF0FC"/>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6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4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154.8</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78.5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-3016885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-2999740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-1379220</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-1362075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-1379220</wp:posOffset>
            </wp:positionV>
            <wp:extent cx="342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-1362075</wp:posOffset>
            </wp:positionV>
            <wp:extent cx="342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431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5" w:name="page16"/>
    <w:bookmarkEnd w:id="15"/>
    <w:p>
      <w:pPr>
        <w:ind w:right="8200" w:firstLine="8"/>
        <w:spacing w:after="0" w:line="362"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Indemnifications and Contingencies </w:t>
      </w:r>
      <w:r>
        <w:rPr>
          <w:rFonts w:ascii="Arial" w:cs="Arial" w:eastAsia="Arial" w:hAnsi="Arial"/>
          <w:sz w:val="18"/>
          <w:szCs w:val="18"/>
          <w:i w:val="1"/>
          <w:iCs w:val="1"/>
          <w:color w:val="auto"/>
        </w:rPr>
        <w:t>Indemnifications</w:t>
      </w:r>
    </w:p>
    <w:p>
      <w:pPr>
        <w:spacing w:after="0" w:line="1"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323" w:lineRule="exact"/>
        <w:rPr>
          <w:sz w:val="20"/>
          <w:szCs w:val="20"/>
          <w:color w:val="auto"/>
        </w:rPr>
      </w:pPr>
    </w:p>
    <w:p>
      <w:pPr>
        <w:jc w:val="center"/>
        <w:ind w:right="10360" w:firstLine="8"/>
        <w:spacing w:after="0" w:line="407" w:lineRule="auto"/>
        <w:tabs>
          <w:tab w:leader="none" w:pos="2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i w:val="1"/>
          <w:iCs w:val="1"/>
          <w:color w:val="auto"/>
        </w:rPr>
        <w:t>Senior Debt</w:t>
      </w:r>
    </w:p>
    <w:p>
      <w:pPr>
        <w:spacing w:after="0" w:line="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4"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9"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57" w:lineRule="exact"/>
        <w:rPr>
          <w:sz w:val="20"/>
          <w:szCs w:val="20"/>
          <w:color w:val="auto"/>
        </w:rPr>
      </w:pPr>
    </w:p>
    <w:tbl>
      <w:tblPr>
        <w:tblLayout w:type="fixed"/>
        <w:tblInd w:w="2260" w:type="dxa"/>
        <w:tblCellMar>
          <w:top w:w="0" w:type="dxa"/>
          <w:left w:w="0" w:type="dxa"/>
          <w:bottom w:w="0" w:type="dxa"/>
          <w:right w:w="0" w:type="dxa"/>
        </w:tblCellMar>
      </w:tblPr>
      <w:tr>
        <w:trPr>
          <w:trHeight w:val="217"/>
        </w:trPr>
        <w:tc>
          <w:tcPr>
            <w:tcW w:w="5020" w:type="dxa"/>
            <w:vAlign w:val="bottom"/>
          </w:tcPr>
          <w:p>
            <w:pPr>
              <w:ind w:left="234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18"/>
                <w:szCs w:val="18"/>
                <w:color w:val="auto"/>
              </w:rPr>
            </w:pPr>
          </w:p>
        </w:tc>
        <w:tc>
          <w:tcPr>
            <w:tcW w:w="1620" w:type="dxa"/>
            <w:vAlign w:val="bottom"/>
            <w:gridSpan w:val="2"/>
          </w:tcPr>
          <w:p>
            <w:pPr>
              <w:jc w:val="right"/>
              <w:ind w:right="670"/>
              <w:spacing w:after="0"/>
              <w:rPr>
                <w:sz w:val="20"/>
                <w:szCs w:val="20"/>
                <w:color w:val="auto"/>
              </w:rPr>
            </w:pPr>
            <w:r>
              <w:rPr>
                <w:rFonts w:ascii="Arial" w:cs="Arial" w:eastAsia="Arial" w:hAnsi="Arial"/>
                <w:sz w:val="18"/>
                <w:szCs w:val="18"/>
                <w:color w:val="auto"/>
              </w:rPr>
              <w:t>Price</w:t>
            </w:r>
          </w:p>
        </w:tc>
      </w:tr>
      <w:tr>
        <w:trPr>
          <w:trHeight w:val="196"/>
        </w:trPr>
        <w:tc>
          <w:tcPr>
            <w:tcW w:w="50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7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101 %</w:t>
            </w: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 and thereafter</w:t>
            </w:r>
          </w:p>
        </w:tc>
        <w:tc>
          <w:tcPr>
            <w:tcW w:w="172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100 %</w:t>
            </w:r>
          </w:p>
        </w:tc>
      </w:tr>
    </w:tbl>
    <w:p>
      <w:pPr>
        <w:spacing w:after="0" w:line="9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ind w:right="20"/>
        <w:spacing w:after="0" w:line="261" w:lineRule="auto"/>
        <w:rPr>
          <w:sz w:val="20"/>
          <w:szCs w:val="20"/>
          <w:color w:val="auto"/>
        </w:rPr>
      </w:pPr>
      <w:r>
        <w:rPr>
          <w:rFonts w:ascii="Arial" w:cs="Arial" w:eastAsia="Arial" w:hAnsi="Arial"/>
          <w:sz w:val="18"/>
          <w:szCs w:val="18"/>
          <w:color w:val="auto"/>
        </w:rPr>
        <w:t>dispose of assets; (vii) incur liens; (viii) enter into transactions with affiliates; (ix) enter into agreements restricting its subsidiaries’ ability to pay dividends; and (x) consolidate, merge or sell all or substantially all of its assets.</w:t>
      </w:r>
    </w:p>
    <w:p>
      <w:pPr>
        <w:spacing w:after="0" w:line="6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condensed consolidated balance sheet, </w:t>
      </w:r>
      <w:r>
        <w:rPr>
          <w:rFonts w:ascii="Arial" w:cs="Arial" w:eastAsia="Arial" w:hAnsi="Arial"/>
          <w:sz w:val="18"/>
          <w:szCs w:val="18"/>
          <w:color w:val="252525"/>
        </w:rPr>
        <w:t>are</w:t>
      </w:r>
      <w:r>
        <w:rPr>
          <w:rFonts w:ascii="Arial" w:cs="Arial" w:eastAsia="Arial" w:hAnsi="Arial"/>
          <w:sz w:val="18"/>
          <w:szCs w:val="18"/>
          <w:color w:val="auto"/>
        </w:rPr>
        <w:t xml:space="preserve"> </w:t>
      </w:r>
      <w:r>
        <w:rPr>
          <w:rFonts w:ascii="Arial" w:cs="Arial" w:eastAsia="Arial" w:hAnsi="Arial"/>
          <w:sz w:val="18"/>
          <w:szCs w:val="18"/>
          <w:color w:val="252525"/>
        </w:rPr>
        <w:t xml:space="preserve">amortized as interest expense </w:t>
      </w:r>
      <w:r>
        <w:rPr>
          <w:rFonts w:ascii="Arial" w:cs="Arial" w:eastAsia="Arial" w:hAnsi="Arial"/>
          <w:sz w:val="18"/>
          <w:szCs w:val="18"/>
          <w:color w:val="000000"/>
        </w:rPr>
        <w:t>over 99 months. The total interest expense recorded on the Senior Notes during the three and six months ended December 25,</w:t>
      </w:r>
      <w:r>
        <w:rPr>
          <w:rFonts w:ascii="Arial" w:cs="Arial" w:eastAsia="Arial" w:hAnsi="Arial"/>
          <w:sz w:val="18"/>
          <w:szCs w:val="18"/>
          <w:color w:val="252525"/>
        </w:rPr>
        <w:t xml:space="preserve"> </w:t>
      </w:r>
      <w:r>
        <w:rPr>
          <w:rFonts w:ascii="Arial" w:cs="Arial" w:eastAsia="Arial" w:hAnsi="Arial"/>
          <w:sz w:val="18"/>
          <w:szCs w:val="18"/>
          <w:color w:val="000000"/>
        </w:rPr>
        <w:t>2021 was $4.1 million and $8.3 million, respectively.</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Revolving Credit Facility</w:t>
      </w:r>
    </w:p>
    <w:p>
      <w:pPr>
        <w:spacing w:after="0" w:line="104" w:lineRule="exact"/>
        <w:rPr>
          <w:sz w:val="20"/>
          <w:szCs w:val="20"/>
          <w:color w:val="auto"/>
        </w:rPr>
      </w:pPr>
    </w:p>
    <w:p>
      <w:pPr>
        <w:ind w:right="40" w:firstLine="464"/>
        <w:spacing w:after="0" w:line="274" w:lineRule="auto"/>
        <w:rPr>
          <w:sz w:val="20"/>
          <w:szCs w:val="20"/>
          <w:color w:val="auto"/>
        </w:rPr>
      </w:pPr>
      <w:r>
        <w:rPr>
          <w:rFonts w:ascii="Arial" w:cs="Arial" w:eastAsia="Arial" w:hAnsi="Arial"/>
          <w:sz w:val="16"/>
          <w:szCs w:val="16"/>
          <w:color w:val="auto"/>
        </w:rPr>
        <w:t>On March 11, 2021, we entered into a Second Amended and Restated Credit Agreement, with the lenders party thereto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55" w:lineRule="exact"/>
        <w:rPr>
          <w:sz w:val="20"/>
          <w:szCs w:val="20"/>
          <w:color w:val="auto"/>
        </w:rPr>
      </w:pPr>
    </w:p>
    <w:p>
      <w:pPr>
        <w:ind w:right="120" w:firstLine="464"/>
        <w:spacing w:after="0" w:line="239" w:lineRule="auto"/>
        <w:rPr>
          <w:sz w:val="20"/>
          <w:szCs w:val="20"/>
          <w:color w:val="auto"/>
        </w:rPr>
      </w:pPr>
      <w:r>
        <w:rPr>
          <w:rFonts w:ascii="Arial" w:cs="Arial" w:eastAsia="Arial" w:hAnsi="Arial"/>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December 25, 2021, there was no balance outstanding under the revolving credit facility.</w:t>
      </w:r>
    </w:p>
    <w:p>
      <w:pPr>
        <w:spacing w:after="0" w:line="83" w:lineRule="exact"/>
        <w:rPr>
          <w:sz w:val="20"/>
          <w:szCs w:val="20"/>
          <w:color w:val="auto"/>
        </w:rPr>
      </w:pPr>
    </w:p>
    <w:p>
      <w:pPr>
        <w:ind w:right="40" w:firstLine="464"/>
        <w:spacing w:after="0" w:line="291"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39" w:lineRule="exact"/>
        <w:rPr>
          <w:sz w:val="20"/>
          <w:szCs w:val="20"/>
          <w:color w:val="auto"/>
        </w:rPr>
      </w:pPr>
    </w:p>
    <w:p>
      <w:pPr>
        <w:ind w:right="40" w:firstLine="464"/>
        <w:spacing w:after="0" w:line="241"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81" w:lineRule="exact"/>
        <w:rPr>
          <w:sz w:val="20"/>
          <w:szCs w:val="20"/>
          <w:color w:val="auto"/>
        </w:rPr>
      </w:pPr>
    </w:p>
    <w:p>
      <w:pPr>
        <w:ind w:right="20" w:firstLine="464"/>
        <w:spacing w:after="0" w:line="238"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86" w:lineRule="exact"/>
        <w:rPr>
          <w:sz w:val="20"/>
          <w:szCs w:val="20"/>
          <w:color w:val="auto"/>
        </w:rPr>
      </w:pPr>
    </w:p>
    <w:p>
      <w:pPr>
        <w:ind w:firstLine="464"/>
        <w:spacing w:after="0" w:line="276" w:lineRule="auto"/>
        <w:rPr>
          <w:sz w:val="20"/>
          <w:szCs w:val="20"/>
          <w:color w:val="auto"/>
        </w:rPr>
      </w:pPr>
      <w:r>
        <w:rPr>
          <w:rFonts w:ascii="Arial" w:cs="Arial" w:eastAsia="Arial" w:hAnsi="Arial"/>
          <w:sz w:val="16"/>
          <w:szCs w:val="16"/>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right="60"/>
        <w:spacing w:after="0" w:line="248" w:lineRule="auto"/>
        <w:rPr>
          <w:sz w:val="20"/>
          <w:szCs w:val="20"/>
          <w:color w:val="auto"/>
        </w:rPr>
      </w:pPr>
      <w:r>
        <w:rPr>
          <w:rFonts w:ascii="Arial" w:cs="Arial" w:eastAsia="Arial" w:hAnsi="Arial"/>
          <w:sz w:val="18"/>
          <w:szCs w:val="18"/>
          <w:color w:val="auto"/>
        </w:rPr>
        <w:t>and thereafter 3.75 to 1.0. The interest coverage ratio is Consolidated EBITDA to interest expense for the four consecutive quarters ending with the quarter of measurement. The interest coverage ratio must not be less than 3.50 to 1.0 during the term of the Credit Agreement. As of December 25, 2021, we remain in compliance with the restrictive covenants.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4" w:lineRule="exact"/>
        <w:rPr>
          <w:sz w:val="20"/>
          <w:szCs w:val="20"/>
          <w:color w:val="auto"/>
        </w:rPr>
      </w:pPr>
    </w:p>
    <w:p>
      <w:pPr>
        <w:ind w:firstLine="464"/>
        <w:spacing w:after="0" w:line="241"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81" w:lineRule="exact"/>
        <w:rPr>
          <w:sz w:val="20"/>
          <w:szCs w:val="20"/>
          <w:color w:val="auto"/>
        </w:rPr>
      </w:pPr>
    </w:p>
    <w:p>
      <w:pPr>
        <w:ind w:right="160" w:firstLine="464"/>
        <w:spacing w:after="0" w:line="274"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spacing w:after="0" w:line="1" w:lineRule="exact"/>
        <w:rPr>
          <w:sz w:val="20"/>
          <w:szCs w:val="20"/>
          <w:color w:val="auto"/>
        </w:rPr>
      </w:pPr>
    </w:p>
    <w:p>
      <w:pPr>
        <w:ind w:right="80" w:firstLine="8"/>
        <w:spacing w:after="0" w:line="239"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81" w:lineRule="exact"/>
        <w:rPr>
          <w:sz w:val="20"/>
          <w:szCs w:val="20"/>
          <w:color w:val="auto"/>
        </w:rPr>
      </w:pPr>
    </w:p>
    <w:p>
      <w:pPr>
        <w:ind w:firstLine="464"/>
        <w:spacing w:after="0" w:line="270"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56" w:lineRule="exact"/>
        <w:rPr>
          <w:sz w:val="20"/>
          <w:szCs w:val="20"/>
          <w:color w:val="auto"/>
        </w:rPr>
      </w:pPr>
    </w:p>
    <w:p>
      <w:pPr>
        <w:ind w:right="80" w:firstLine="464"/>
        <w:spacing w:after="0" w:line="248" w:lineRule="auto"/>
        <w:rPr>
          <w:sz w:val="20"/>
          <w:szCs w:val="20"/>
          <w:color w:val="auto"/>
        </w:rPr>
      </w:pPr>
      <w:r>
        <w:rPr>
          <w:rFonts w:ascii="Arial" w:cs="Arial" w:eastAsia="Arial" w:hAnsi="Arial"/>
          <w:sz w:val="18"/>
          <w:szCs w:val="18"/>
          <w:color w:val="auto"/>
        </w:rPr>
        <w:t>Debt issuance costs relating to the Term Loan Facility of $11.2 million, netted against the debt amount on the condensed consolidated balance sheet, are amortized as interest expense over 96 months. The total interest expense recorded on the Term Loan during both the three and six months ended December 25, 2021, was $1.4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04"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Conversion Deadline. The conversion rate was equal to 13.7267 shares per $1,000 principal amount of the Convertible Notes, which was the initial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of 13.6947 shares per $1,000 principal amount of the Convertible Notes plus a number of additional shares equal to 0.0320 shares per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Convertible Notes. We elected to settle any conversions by Combination Settlement (as defined in the Convertible Notes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Indenture) with a Specified Dollar Amount (as defined in the Convertible Notes Indenture) per $1,000 principal amount of Convertible Notes equal 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$1,000, plus a number of shares of the our common stock, to be determined pursuant to the Convertible Notes Indenture, together with additional cash, if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applicable, in lieu of delivering any fractional shares of common stock. As a result of this election, on August 4, 2021, we settled or redeemed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remaining outstanding Convertible Notes for $505.6 million in cash representing the principal amount outstanding and delivered approximately 3.5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in common stock from our treasury stock for additional amounts, resulting in a loss of approximately $8.1 million which is included in Interest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on our condensed consolidated statements of income included elsewhere in this report.</w:t>
      </w: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580" w:type="dxa"/>
            <w:vAlign w:val="bottom"/>
            <w:gridSpan w:val="4"/>
          </w:tcPr>
          <w:p>
            <w:pPr>
              <w:jc w:val="right"/>
              <w:ind w:right="2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630"/>
              <w:spacing w:after="0"/>
              <w:rPr>
                <w:sz w:val="20"/>
                <w:szCs w:val="20"/>
                <w:color w:val="auto"/>
              </w:rPr>
            </w:pPr>
            <w:r>
              <w:rPr>
                <w:rFonts w:ascii="Arial" w:cs="Arial" w:eastAsia="Arial" w:hAnsi="Arial"/>
                <w:sz w:val="18"/>
                <w:szCs w:val="18"/>
                <w:color w:val="auto"/>
              </w:rPr>
              <w:t>Six Months Ended</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December</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2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20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36.6</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23.4</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72.2</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Income tax benefit on share-based compensation</w:t>
            </w:r>
          </w:p>
        </w:tc>
        <w:tc>
          <w:tcPr>
            <w:tcW w:w="960" w:type="dxa"/>
            <w:vAlign w:val="bottom"/>
            <w:tcBorders>
              <w:bottom w:val="single" w:sz="8" w:color="auto"/>
            </w:tcBorders>
            <w:shd w:val="clear" w:color="auto" w:fill="CFF0FC"/>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(11.4</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r>
      <w:tr>
        <w:trPr>
          <w:trHeight w:val="615"/>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-784860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-784860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-784860</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-784860</wp:posOffset>
            </wp:positionV>
            <wp:extent cx="603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-496570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-479425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-496570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-479425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-496570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-479425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340" w:type="dxa"/>
            <w:vAlign w:val="bottom"/>
            <w:gridSpan w:val="4"/>
          </w:tcPr>
          <w:p>
            <w:pPr>
              <w:jc w:val="right"/>
              <w:ind w:right="15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w:t>
            </w:r>
          </w:p>
        </w:tc>
        <w:tc>
          <w:tcPr>
            <w:tcW w:w="80" w:type="dxa"/>
            <w:vAlign w:val="bottom"/>
          </w:tcPr>
          <w:p>
            <w:pPr>
              <w:spacing w:after="0"/>
              <w:rPr>
                <w:sz w:val="17"/>
                <w:szCs w:val="17"/>
                <w:color w:val="auto"/>
              </w:rPr>
            </w:pPr>
          </w:p>
        </w:tc>
      </w:tr>
      <w:tr>
        <w:trPr>
          <w:trHeight w:val="217"/>
        </w:trPr>
        <w:tc>
          <w:tcPr>
            <w:tcW w:w="45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December</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4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2021</w:t>
            </w:r>
          </w:p>
        </w:tc>
        <w:tc>
          <w:tcPr>
            <w:tcW w:w="380" w:type="dxa"/>
            <w:vAlign w:val="bottom"/>
          </w:tcPr>
          <w:p>
            <w:pPr>
              <w:spacing w:after="0"/>
              <w:rPr>
                <w:sz w:val="17"/>
                <w:szCs w:val="17"/>
                <w:color w:val="auto"/>
              </w:rPr>
            </w:pPr>
          </w:p>
        </w:tc>
        <w:tc>
          <w:tcPr>
            <w:tcW w:w="11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7"/>
                <w:szCs w:val="17"/>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86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7"/>
                <w:szCs w:val="17"/>
                <w:color w:val="auto"/>
              </w:rPr>
            </w:pPr>
          </w:p>
        </w:tc>
      </w:tr>
      <w:tr>
        <w:trPr>
          <w:trHeight w:val="203"/>
        </w:trPr>
        <w:tc>
          <w:tcPr>
            <w:tcW w:w="45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54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860" w:type="dxa"/>
            <w:vAlign w:val="bottom"/>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1100" w:type="dxa"/>
            <w:vAlign w:val="bottom"/>
            <w:gridSpan w:val="2"/>
          </w:tcPr>
          <w:p>
            <w:pPr>
              <w:jc w:val="right"/>
              <w:ind w:right="710"/>
              <w:spacing w:after="0" w:line="18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24.6</w:t>
            </w:r>
          </w:p>
        </w:tc>
        <w:tc>
          <w:tcPr>
            <w:tcW w:w="52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8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-159385</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-159385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wp:posOffset>
            </wp:positionV>
            <wp:extent cx="431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-159385</wp:posOffset>
            </wp:positionV>
            <wp:extent cx="431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As of October 29, 2019, no new awards may be granted under the 2010 Incentive Plan or the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twice, effective October 27, 2020 and October 26, 2021, respectively. The cumulative number of shares approved by stockholders under the 2019 Incentive Plan was 4,590,000 as of October 26, 2021. The 2019 ESPP authorizes the Company to provide eligible employees with an opportunity to acquire an equity interest in the Company through the purchase of stock at a discount, with an initial authorization of 1,500,000 shares.</w:t>
      </w:r>
    </w:p>
    <w:p>
      <w:pPr>
        <w:spacing w:after="0" w:line="5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was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320" w:type="dxa"/>
            <w:vAlign w:val="bottom"/>
          </w:tcPr>
          <w:p>
            <w:pPr>
              <w:spacing w:after="0"/>
              <w:rPr>
                <w:sz w:val="16"/>
                <w:szCs w:val="16"/>
                <w:color w:val="auto"/>
              </w:rPr>
            </w:pPr>
          </w:p>
        </w:tc>
        <w:tc>
          <w:tcPr>
            <w:tcW w:w="1420" w:type="dxa"/>
            <w:vAlign w:val="bottom"/>
          </w:tcPr>
          <w:p>
            <w:pPr>
              <w:jc w:val="center"/>
              <w:ind w:right="239"/>
              <w:spacing w:after="0"/>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59"/>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Option</w:t>
            </w:r>
          </w:p>
        </w:tc>
        <w:tc>
          <w:tcPr>
            <w:tcW w:w="320" w:type="dxa"/>
            <w:vAlign w:val="bottom"/>
          </w:tcPr>
          <w:p>
            <w:pPr>
              <w:spacing w:after="0"/>
              <w:rPr>
                <w:sz w:val="16"/>
                <w:szCs w:val="16"/>
                <w:color w:val="auto"/>
              </w:rPr>
            </w:pPr>
          </w:p>
        </w:tc>
        <w:tc>
          <w:tcPr>
            <w:tcW w:w="1420" w:type="dxa"/>
            <w:vAlign w:val="bottom"/>
          </w:tcPr>
          <w:p>
            <w:pPr>
              <w:jc w:val="center"/>
              <w:ind w:right="239"/>
              <w:spacing w:after="0"/>
              <w:rPr>
                <w:sz w:val="20"/>
                <w:szCs w:val="20"/>
                <w:color w:val="auto"/>
              </w:rPr>
            </w:pPr>
            <w:r>
              <w:rPr>
                <w:rFonts w:ascii="Arial" w:cs="Arial" w:eastAsia="Arial" w:hAnsi="Arial"/>
                <w:sz w:val="16"/>
                <w:szCs w:val="16"/>
                <w:color w:val="auto"/>
                <w:w w:val="90"/>
              </w:rPr>
              <w:t>Average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w w:val="97"/>
              </w:rPr>
              <w:t>Intrinsic</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Awards</w:t>
            </w:r>
          </w:p>
        </w:tc>
        <w:tc>
          <w:tcPr>
            <w:tcW w:w="320" w:type="dxa"/>
            <w:vAlign w:val="bottom"/>
          </w:tcPr>
          <w:p>
            <w:pPr>
              <w:spacing w:after="0"/>
              <w:rPr>
                <w:sz w:val="16"/>
                <w:szCs w:val="16"/>
                <w:color w:val="auto"/>
              </w:rPr>
            </w:pPr>
          </w:p>
        </w:tc>
        <w:tc>
          <w:tcPr>
            <w:tcW w:w="1420" w:type="dxa"/>
            <w:vAlign w:val="bottom"/>
          </w:tcPr>
          <w:p>
            <w:pPr>
              <w:jc w:val="center"/>
              <w:ind w:right="259"/>
              <w:spacing w:after="0"/>
              <w:rPr>
                <w:sz w:val="20"/>
                <w:szCs w:val="20"/>
                <w:color w:val="auto"/>
              </w:rPr>
            </w:pPr>
            <w:r>
              <w:rPr>
                <w:rFonts w:ascii="Arial" w:cs="Arial" w:eastAsia="Arial" w:hAnsi="Arial"/>
                <w:sz w:val="16"/>
                <w:szCs w:val="16"/>
                <w:color w:val="auto"/>
                <w:w w:val="91"/>
              </w:rPr>
              <w:t>Exercise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59"/>
              <w:spacing w:after="0"/>
              <w:rPr>
                <w:sz w:val="20"/>
                <w:szCs w:val="20"/>
                <w:color w:val="auto"/>
              </w:rPr>
            </w:pPr>
            <w:r>
              <w:rPr>
                <w:rFonts w:ascii="Arial" w:cs="Arial" w:eastAsia="Arial" w:hAnsi="Arial"/>
                <w:sz w:val="16"/>
                <w:szCs w:val="16"/>
                <w:color w:val="auto"/>
                <w:w w:val="87"/>
              </w:rPr>
              <w:t>Value</w:t>
            </w:r>
          </w:p>
        </w:tc>
        <w:tc>
          <w:tcPr>
            <w:tcW w:w="0" w:type="dxa"/>
            <w:vAlign w:val="bottom"/>
          </w:tcPr>
          <w:p>
            <w:pPr>
              <w:spacing w:after="0"/>
              <w:rPr>
                <w:sz w:val="1"/>
                <w:szCs w:val="1"/>
                <w:color w:val="auto"/>
              </w:rPr>
            </w:pPr>
          </w:p>
        </w:tc>
      </w:tr>
      <w:tr>
        <w:trPr>
          <w:trHeight w:val="199"/>
        </w:trPr>
        <w:tc>
          <w:tcPr>
            <w:tcW w:w="3200" w:type="dxa"/>
            <w:vAlign w:val="bottom"/>
          </w:tcPr>
          <w:p>
            <w:pPr>
              <w:spacing w:after="0"/>
              <w:rPr>
                <w:sz w:val="17"/>
                <w:szCs w:val="17"/>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Outstanding</w:t>
            </w:r>
          </w:p>
        </w:tc>
        <w:tc>
          <w:tcPr>
            <w:tcW w:w="320" w:type="dxa"/>
            <w:vAlign w:val="bottom"/>
          </w:tcPr>
          <w:p>
            <w:pPr>
              <w:spacing w:after="0"/>
              <w:rPr>
                <w:sz w:val="17"/>
                <w:szCs w:val="17"/>
                <w:color w:val="auto"/>
              </w:rPr>
            </w:pPr>
          </w:p>
        </w:tc>
        <w:tc>
          <w:tcPr>
            <w:tcW w:w="1420" w:type="dxa"/>
            <w:vAlign w:val="bottom"/>
          </w:tcPr>
          <w:p>
            <w:pPr>
              <w:jc w:val="center"/>
              <w:ind w:right="239"/>
              <w:spacing w:after="0"/>
              <w:rPr>
                <w:sz w:val="20"/>
                <w:szCs w:val="20"/>
                <w:color w:val="auto"/>
              </w:rPr>
            </w:pPr>
            <w:r>
              <w:rPr>
                <w:rFonts w:ascii="Arial" w:cs="Arial" w:eastAsia="Arial" w:hAnsi="Arial"/>
                <w:sz w:val="16"/>
                <w:szCs w:val="16"/>
                <w:color w:val="auto"/>
                <w:w w:val="93"/>
              </w:rPr>
              <w:t>Price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259"/>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183"/>
        </w:trPr>
        <w:tc>
          <w:tcPr>
            <w:tcW w:w="3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as of June 2021</w:t>
            </w:r>
          </w:p>
        </w:tc>
        <w:tc>
          <w:tcPr>
            <w:tcW w:w="18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55,061</w:t>
            </w: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66.68</w:t>
            </w:r>
          </w:p>
        </w:tc>
        <w:tc>
          <w:tcPr>
            <w:tcW w:w="2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540" w:type="dxa"/>
            <w:vAlign w:val="bottom"/>
            <w:tcBorders>
              <w:top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(19,684 )</w:t>
            </w:r>
          </w:p>
        </w:tc>
        <w:tc>
          <w:tcPr>
            <w:tcW w:w="3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72.39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200" w:type="dxa"/>
            <w:vAlign w:val="bottom"/>
            <w:shd w:val="clear" w:color="auto" w:fill="CFF0FC"/>
          </w:tcPr>
          <w:p>
            <w:pPr>
              <w:spacing w:after="0" w:line="146" w:lineRule="exact"/>
              <w:rPr>
                <w:sz w:val="20"/>
                <w:szCs w:val="20"/>
                <w:color w:val="auto"/>
              </w:rPr>
            </w:pPr>
            <w:r>
              <w:rPr>
                <w:rFonts w:ascii="Arial" w:cs="Arial" w:eastAsia="Arial" w:hAnsi="Arial"/>
                <w:sz w:val="16"/>
                <w:szCs w:val="16"/>
                <w:color w:val="auto"/>
                <w:w w:val="98"/>
              </w:rPr>
              <w:t>Outstanding and Exercisable as of December</w:t>
            </w:r>
          </w:p>
        </w:tc>
        <w:tc>
          <w:tcPr>
            <w:tcW w:w="1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35,377</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63.51</w:t>
            </w:r>
          </w:p>
        </w:tc>
        <w:tc>
          <w:tcPr>
            <w:tcW w:w="4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8"/>
        </w:trPr>
        <w:tc>
          <w:tcPr>
            <w:tcW w:w="3200" w:type="dxa"/>
            <w:vAlign w:val="bottom"/>
            <w:shd w:val="clear" w:color="auto" w:fill="CFF0FC"/>
          </w:tcPr>
          <w:p>
            <w:pPr>
              <w:spacing w:after="0" w:line="138" w:lineRule="exact"/>
              <w:rPr>
                <w:sz w:val="20"/>
                <w:szCs w:val="20"/>
                <w:color w:val="auto"/>
              </w:rPr>
            </w:pPr>
            <w:r>
              <w:rPr>
                <w:rFonts w:ascii="Arial" w:cs="Arial" w:eastAsia="Arial" w:hAnsi="Arial"/>
                <w:sz w:val="16"/>
                <w:szCs w:val="16"/>
                <w:color w:val="auto"/>
              </w:rPr>
              <w:t>2021</w:t>
            </w:r>
          </w:p>
        </w:tc>
        <w:tc>
          <w:tcPr>
            <w:tcW w:w="18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vMerge w:val="continue"/>
            <w:shd w:val="clear" w:color="auto" w:fill="CFF0FC"/>
          </w:tcPr>
          <w:p>
            <w:pPr>
              <w:spacing w:after="0"/>
              <w:rPr>
                <w:sz w:val="15"/>
                <w:szCs w:val="15"/>
                <w:color w:val="auto"/>
              </w:rPr>
            </w:pPr>
          </w:p>
        </w:tc>
        <w:tc>
          <w:tcPr>
            <w:tcW w:w="460" w:type="dxa"/>
            <w:vAlign w:val="bottom"/>
            <w:gridSpan w:val="2"/>
            <w:vMerge w:val="continue"/>
            <w:shd w:val="clear" w:color="auto" w:fill="CFF0FC"/>
          </w:tcPr>
          <w:p>
            <w:pPr>
              <w:spacing w:after="0"/>
              <w:rPr>
                <w:sz w:val="15"/>
                <w:szCs w:val="15"/>
                <w:color w:val="auto"/>
              </w:rPr>
            </w:pPr>
          </w:p>
        </w:tc>
        <w:tc>
          <w:tcPr>
            <w:tcW w:w="154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23, 2021 of $278.28.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Our 2019 Incentive Plan provides for the grant of RSUs to our employees, consultants, and directors with initial grants occurring in 2019, and previously our 2019 Inducement Equity Plan and our 2010 Incentive Plan provided for the grant of deferred stock units, or DSUs, to our employees, consultants, and directors with initial grants occurring in 2006. An RSU and a DSU are each a promise to deliver shares of our common stock at a future date in accordance with the terms of the grant agreement and the words can be used interchangeably. Accordingly, any reference to RSU is intended to signify both an RSU and a DSU.</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granted generally vest ratably over three to four years from the vesting commencement date.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was as follows: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r>
      <w:tr>
        <w:trPr>
          <w:trHeight w:val="176"/>
        </w:trPr>
        <w:tc>
          <w:tcPr>
            <w:tcW w:w="506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RSU</w:t>
            </w:r>
          </w:p>
        </w:tc>
        <w:tc>
          <w:tcPr>
            <w:tcW w:w="180" w:type="dxa"/>
            <w:vAlign w:val="bottom"/>
          </w:tcPr>
          <w:p>
            <w:pPr>
              <w:spacing w:after="0"/>
              <w:rPr>
                <w:sz w:val="15"/>
                <w:szCs w:val="15"/>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6"/>
        </w:trPr>
        <w:tc>
          <w:tcPr>
            <w:tcW w:w="506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Awards</w:t>
            </w:r>
          </w:p>
        </w:tc>
        <w:tc>
          <w:tcPr>
            <w:tcW w:w="180" w:type="dxa"/>
            <w:vAlign w:val="bottom"/>
          </w:tcPr>
          <w:p>
            <w:pPr>
              <w:spacing w:after="0"/>
              <w:rPr>
                <w:sz w:val="15"/>
                <w:szCs w:val="15"/>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5"/>
                <w:szCs w:val="15"/>
                <w:color w:val="auto"/>
              </w:rPr>
            </w:pPr>
          </w:p>
        </w:tc>
      </w:tr>
      <w:tr>
        <w:trPr>
          <w:trHeight w:val="181"/>
        </w:trPr>
        <w:tc>
          <w:tcPr>
            <w:tcW w:w="506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Outstanding</w:t>
            </w:r>
          </w:p>
        </w:tc>
        <w:tc>
          <w:tcPr>
            <w:tcW w:w="180" w:type="dxa"/>
            <w:vAlign w:val="bottom"/>
          </w:tcPr>
          <w:p>
            <w:pPr>
              <w:spacing w:after="0"/>
              <w:rPr>
                <w:sz w:val="15"/>
                <w:szCs w:val="15"/>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2021</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1,323,286</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541,669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Delivered</w:t>
            </w: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(502,701 )</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(82,694 )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0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as of December 2021</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1,279,560</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356.1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23, 2021 of $278.28.</w:t>
      </w:r>
    </w:p>
    <w:p>
      <w:pPr>
        <w:spacing w:after="0" w:line="212"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149,743 shares valued at $27.6 million were withheld to meet statutory tax withholding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9" w:lineRule="exact"/>
        <w:rPr>
          <w:sz w:val="20"/>
          <w:szCs w:val="20"/>
          <w:color w:val="auto"/>
        </w:rPr>
      </w:pPr>
    </w:p>
    <w:p>
      <w:pPr>
        <w:ind w:firstLine="469"/>
        <w:spacing w:after="0" w:line="220" w:lineRule="auto"/>
        <w:rPr>
          <w:sz w:val="20"/>
          <w:szCs w:val="20"/>
          <w:color w:val="auto"/>
        </w:rPr>
      </w:pPr>
      <w:r>
        <w:rPr>
          <w:rFonts w:ascii="Arial" w:cs="Arial" w:eastAsia="Arial" w:hAnsi="Arial"/>
          <w:sz w:val="18"/>
          <w:szCs w:val="18"/>
          <w:color w:val="auto"/>
        </w:rPr>
        <w:t>For MSU awards granted after fiscal 2020,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and a 200% payout will occur if our TSR performance exceeds the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Performance payouts between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equal to 100% of target.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0" w:name="page21"/>
    <w:bookmarkEnd w:id="20"/>
    <w:p>
      <w:pPr>
        <w:ind w:right="100" w:firstLine="509"/>
        <w:spacing w:after="0" w:line="248" w:lineRule="auto"/>
        <w:rPr>
          <w:sz w:val="20"/>
          <w:szCs w:val="20"/>
          <w:color w:val="auto"/>
        </w:rPr>
      </w:pPr>
      <w:r>
        <w:rPr>
          <w:rFonts w:ascii="Arial" w:cs="Arial" w:eastAsia="Arial" w:hAnsi="Arial"/>
          <w:sz w:val="18"/>
          <w:szCs w:val="18"/>
          <w:color w:val="auto"/>
        </w:rPr>
        <w:t>For MSU awards granted after fiscal 2020,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2"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For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82"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75"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 Of the shares delivered, 105,719 shares valued at $18.3 million were withheld to meet statutory tax withholding requirements.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MSU activity was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6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rPr>
              <w:t>MSU</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6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Outstanding</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5"/>
                <w:szCs w:val="15"/>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2021</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347,027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88"/>
        </w:trPr>
        <w:tc>
          <w:tcPr>
            <w:tcW w:w="5000" w:type="dxa"/>
            <w:vAlign w:val="bottom"/>
          </w:tcPr>
          <w:p>
            <w:pPr>
              <w:ind w:left="180"/>
              <w:spacing w:after="0" w:line="189"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134,728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5000" w:type="dxa"/>
            <w:vAlign w:val="bottom"/>
          </w:tcPr>
          <w:p>
            <w:pPr>
              <w:ind w:left="180"/>
              <w:spacing w:after="0"/>
              <w:rPr>
                <w:sz w:val="20"/>
                <w:szCs w:val="20"/>
                <w:color w:val="auto"/>
              </w:rPr>
            </w:pPr>
            <w:r>
              <w:rPr>
                <w:rFonts w:ascii="Arial" w:cs="Arial" w:eastAsia="Arial" w:hAnsi="Arial"/>
                <w:sz w:val="18"/>
                <w:szCs w:val="18"/>
                <w:color w:val="auto"/>
              </w:rPr>
              <w:t>Delivered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(203,883 )</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(18,554 )</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6"/>
        </w:trPr>
        <w:tc>
          <w:tcPr>
            <w:tcW w:w="50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as of December 2021</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259,318</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CFF0FC"/>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CFF0FC"/>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72.2</w:t>
            </w:r>
          </w:p>
        </w:tc>
        <w:tc>
          <w:tcPr>
            <w:tcW w:w="60" w:type="dxa"/>
            <w:vAlign w:val="bottom"/>
            <w:tcBorders>
              <w:top w:val="single" w:sz="8" w:color="CFF0FC"/>
            </w:tcBorders>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-159385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23, 2021 of $278.28.</w:t>
      </w:r>
    </w:p>
    <w:p>
      <w:pPr>
        <w:spacing w:after="0" w:line="212"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ratable basis. The unrecognized share-based compensation cost of our outstanding MSUs was approximately $25.5 million as of December 25, 2021, which will be recognized over a weighted average period of approximately 1.2 years.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Our 2019 Incentive Plan, our 2010 Incentive Plan and our 2019 Inducement Equity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68"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We have granted PSUs to our executive officers and other management members under our 2010 Incentive Plan, our 2019 Incentive Plan and our 2019 Inducement Equity Plan, which are designed to vest in three tranches with the target quantity for each tranche equal to one-third of the total PSU grant. Generally,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and during fiscal 2022 it is based on non-GAAP earnings per share). The potential payout ranges from 0% to 200% of the target grant quantity and is adjusted on a linear basis with a payout triggering if our measurement result equals greater than 75% of the target with a maximum payout achieved at 125% of target.</w:t>
      </w:r>
    </w:p>
    <w:p>
      <w:pPr>
        <w:spacing w:after="0" w:line="177" w:lineRule="exact"/>
        <w:rPr>
          <w:sz w:val="20"/>
          <w:szCs w:val="20"/>
          <w:color w:val="auto"/>
        </w:rPr>
      </w:pPr>
    </w:p>
    <w:p>
      <w:pPr>
        <w:ind w:right="220" w:firstLine="509"/>
        <w:spacing w:after="0" w:line="235"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 w:name="page22"/>
    <w:bookmarkEnd w:id="21"/>
    <w:p>
      <w:pPr>
        <w:ind w:right="580"/>
        <w:spacing w:after="0" w:line="246" w:lineRule="auto"/>
        <w:rPr>
          <w:sz w:val="20"/>
          <w:szCs w:val="20"/>
          <w:color w:val="auto"/>
        </w:rPr>
      </w:pPr>
      <w:r>
        <w:rPr>
          <w:rFonts w:ascii="Arial" w:cs="Arial" w:eastAsia="Arial" w:hAnsi="Arial"/>
          <w:sz w:val="18"/>
          <w:szCs w:val="18"/>
          <w:color w:val="auto"/>
        </w:rPr>
        <w:t>withholding. Until delivery of shares, the grantee has no rights as a stockholder with respect to any shares underlying the PSU award. Of the shares delivered, 94,642 shares valued at $17.6 million were withheld to meet statutory tax withholding requirements.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PSU activity was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6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PSU</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6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5"/>
                <w:szCs w:val="15"/>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2021</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317,392</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88"/>
        </w:trPr>
        <w:tc>
          <w:tcPr>
            <w:tcW w:w="5000" w:type="dxa"/>
            <w:vAlign w:val="bottom"/>
          </w:tcPr>
          <w:p>
            <w:pPr>
              <w:ind w:left="180"/>
              <w:spacing w:after="0" w:line="189" w:lineRule="exact"/>
              <w:rPr>
                <w:sz w:val="20"/>
                <w:szCs w:val="20"/>
                <w:color w:val="auto"/>
              </w:rPr>
            </w:pPr>
            <w:r>
              <w:rPr>
                <w:rFonts w:ascii="Arial" w:cs="Arial" w:eastAsia="Arial" w:hAnsi="Arial"/>
                <w:sz w:val="18"/>
                <w:szCs w:val="18"/>
                <w:color w:val="auto"/>
              </w:rPr>
              <w:t>Awarded</w:t>
            </w: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185,676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5000" w:type="dxa"/>
            <w:vAlign w:val="bottom"/>
          </w:tcPr>
          <w:p>
            <w:pPr>
              <w:ind w:left="180"/>
              <w:spacing w:after="0"/>
              <w:rPr>
                <w:sz w:val="20"/>
                <w:szCs w:val="20"/>
                <w:color w:val="auto"/>
              </w:rPr>
            </w:pPr>
            <w:r>
              <w:rPr>
                <w:rFonts w:ascii="Arial" w:cs="Arial" w:eastAsia="Arial" w:hAnsi="Arial"/>
                <w:sz w:val="18"/>
                <w:szCs w:val="18"/>
                <w:color w:val="auto"/>
              </w:rPr>
              <w:t>Released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(208,023 )</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(22,741 )</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6"/>
        </w:trPr>
        <w:tc>
          <w:tcPr>
            <w:tcW w:w="50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as of December 2021</w:t>
            </w: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272,304</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CFF0FC"/>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CFF0FC"/>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75.8</w:t>
            </w:r>
          </w:p>
        </w:tc>
        <w:tc>
          <w:tcPr>
            <w:tcW w:w="60" w:type="dxa"/>
            <w:vAlign w:val="bottom"/>
            <w:tcBorders>
              <w:top w:val="single" w:sz="8" w:color="CFF0FC"/>
            </w:tcBorders>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-159385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23, 2021 of $278.28.</w:t>
      </w:r>
    </w:p>
    <w:p>
      <w:pPr>
        <w:spacing w:after="0" w:line="212"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$31.7 million as of December 25, 2021, which will be recognized over a weighted average period of approximately 1.2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2019 Incentive Plan authorizes the grant of phantom stock units to non-employee directors, officers and employees. We initially granted phantom stock units to certain non-officer employees in October 2019 and there have been no subsequent phantom stock unit grants.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$277.85 per unit at December 25, 2021 and our accrued liability for such units was $7.9 million.</w:t>
      </w:r>
    </w:p>
    <w:p>
      <w:pPr>
        <w:sectPr>
          <w:pgSz w:w="11900" w:h="16838" w:orient="portrait"/>
          <w:cols w:equalWidth="0" w:num="1">
            <w:col w:w="11240"/>
          </w:cols>
          <w:pgMar w:left="320" w:top="530" w:right="339" w:bottom="1440" w:gutter="0" w:footer="0" w:header="0"/>
        </w:sectPr>
      </w:pP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as of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8"/>
          <w:szCs w:val="18"/>
          <w:color w:val="auto"/>
        </w:rPr>
        <w:t>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Balance as of December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Phantom</w:t>
      </w:r>
    </w:p>
    <w:p>
      <w:pPr>
        <w:spacing w:after="0" w:line="12" w:lineRule="exact"/>
        <w:rPr>
          <w:sz w:val="20"/>
          <w:szCs w:val="20"/>
          <w:color w:val="auto"/>
        </w:rPr>
      </w:pPr>
    </w:p>
    <w:p>
      <w:pPr>
        <w:jc w:val="center"/>
        <w:ind w:right="2760"/>
        <w:spacing w:after="0"/>
        <w:rPr>
          <w:sz w:val="20"/>
          <w:szCs w:val="20"/>
          <w:color w:val="auto"/>
        </w:rPr>
      </w:pPr>
      <w:r>
        <w:rPr>
          <w:rFonts w:ascii="Arial" w:cs="Arial" w:eastAsia="Arial" w:hAnsi="Arial"/>
          <w:sz w:val="17"/>
          <w:szCs w:val="17"/>
          <w:color w:val="auto"/>
        </w:rPr>
        <w:t>Stock Units</w:t>
      </w:r>
    </w:p>
    <w:p>
      <w:pPr>
        <w:spacing w:after="0" w:line="7" w:lineRule="exact"/>
        <w:rPr>
          <w:sz w:val="20"/>
          <w:szCs w:val="20"/>
          <w:color w:val="auto"/>
        </w:rPr>
      </w:pPr>
    </w:p>
    <w:p>
      <w:pPr>
        <w:jc w:val="center"/>
        <w:ind w:right="2760"/>
        <w:spacing w:after="0"/>
        <w:rPr>
          <w:sz w:val="20"/>
          <w:szCs w:val="20"/>
          <w:color w:val="auto"/>
        </w:rPr>
      </w:pPr>
      <w:r>
        <w:rPr>
          <w:rFonts w:ascii="Arial" w:cs="Arial" w:eastAsia="Arial" w:hAnsi="Arial"/>
          <w:sz w:val="16"/>
          <w:szCs w:val="16"/>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934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402,458</w:t>
      </w:r>
    </w:p>
    <w:p>
      <w:pPr>
        <w:jc w:val="right"/>
        <w:ind w:right="2400"/>
        <w:spacing w:after="0" w:line="234" w:lineRule="auto"/>
        <w:rPr>
          <w:sz w:val="20"/>
          <w:szCs w:val="20"/>
          <w:color w:val="auto"/>
        </w:rPr>
      </w:pPr>
      <w:r>
        <w:rPr>
          <w:rFonts w:ascii="Arial" w:cs="Arial" w:eastAsia="Arial" w:hAnsi="Arial"/>
          <w:sz w:val="18"/>
          <w:szCs w:val="18"/>
          <w:color w:val="auto"/>
        </w:rPr>
        <w:t>(196,420 )</w:t>
      </w:r>
    </w:p>
    <w:p>
      <w:pPr>
        <w:spacing w:after="0" w:line="1"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(18,217 )</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187,821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-1905</wp:posOffset>
            </wp:positionV>
            <wp:extent cx="9347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14605</wp:posOffset>
            </wp:positionV>
            <wp:extent cx="9347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6880" w:space="720"/>
            <w:col w:w="3640"/>
          </w:cols>
          <w:pgMar w:left="320" w:top="530" w:right="339" w:bottom="1440" w:gutter="0" w:footer="0" w:header="0"/>
          <w:type w:val="continuous"/>
        </w:sectPr>
      </w:pPr>
    </w:p>
    <w:p>
      <w:pPr>
        <w:ind w:right="360" w:firstLine="569"/>
        <w:spacing w:after="0" w:line="261" w:lineRule="auto"/>
        <w:rPr>
          <w:sz w:val="20"/>
          <w:szCs w:val="20"/>
          <w:color w:val="auto"/>
        </w:rPr>
      </w:pPr>
      <w:r>
        <w:rPr>
          <w:rFonts w:ascii="Arial" w:cs="Arial" w:eastAsia="Arial" w:hAnsi="Arial"/>
          <w:sz w:val="18"/>
          <w:szCs w:val="18"/>
          <w:color w:val="auto"/>
        </w:rPr>
        <w:t>The unrecognized share-based compensation cost of our outstanding phantom stock units was approximately $44.3 million as of December 25, 2021, which will be recognized over a weighted average period of approximately 0.9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04"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six months ended December 25, 2021 were as follows (in millions, except for shares purchased and weighted average price):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30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96,475</w:t>
            </w:r>
          </w:p>
        </w:tc>
        <w:tc>
          <w:tcPr>
            <w:tcW w:w="2240" w:type="dxa"/>
            <w:vAlign w:val="bottom"/>
          </w:tcPr>
          <w:p>
            <w:pPr>
              <w:spacing w:after="0"/>
              <w:rPr>
                <w:sz w:val="18"/>
                <w:szCs w:val="18"/>
                <w:color w:val="auto"/>
              </w:rPr>
            </w:pPr>
          </w:p>
        </w:tc>
      </w:tr>
      <w:tr>
        <w:trPr>
          <w:trHeight w:val="203"/>
        </w:trPr>
        <w:tc>
          <w:tcPr>
            <w:tcW w:w="2260" w:type="dxa"/>
            <w:vAlign w:val="bottom"/>
          </w:tcPr>
          <w:p>
            <w:pPr>
              <w:spacing w:after="0"/>
              <w:rPr>
                <w:sz w:val="17"/>
                <w:szCs w:val="17"/>
                <w:color w:val="auto"/>
              </w:rPr>
            </w:pPr>
          </w:p>
        </w:tc>
        <w:tc>
          <w:tcPr>
            <w:tcW w:w="2840" w:type="dxa"/>
            <w:vAlign w:val="bottom"/>
          </w:tcPr>
          <w:p>
            <w:pPr>
              <w:spacing w:after="0" w:line="202" w:lineRule="exact"/>
              <w:rPr>
                <w:sz w:val="20"/>
                <w:szCs w:val="20"/>
                <w:color w:val="auto"/>
              </w:rPr>
            </w:pPr>
            <w:r>
              <w:rPr>
                <w:rFonts w:ascii="Arial" w:cs="Arial" w:eastAsia="Arial" w:hAnsi="Arial"/>
                <w:sz w:val="18"/>
                <w:szCs w:val="18"/>
                <w:color w:val="auto"/>
              </w:rPr>
              <w:t>Weighted average purchase price</w:t>
            </w:r>
          </w:p>
        </w:tc>
        <w:tc>
          <w:tcPr>
            <w:tcW w:w="3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74.98</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received</w:t>
            </w:r>
          </w:p>
        </w:tc>
        <w:tc>
          <w:tcPr>
            <w:tcW w:w="306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2240" w:type="dxa"/>
            <w:vAlign w:val="bottom"/>
          </w:tcPr>
          <w:p>
            <w:pPr>
              <w:spacing w:after="0"/>
              <w:rPr>
                <w:sz w:val="17"/>
                <w:szCs w:val="17"/>
                <w:color w:val="auto"/>
              </w:rPr>
            </w:pPr>
          </w:p>
        </w:tc>
      </w:tr>
      <w:tr>
        <w:trPr>
          <w:trHeight w:val="230"/>
        </w:trPr>
        <w:tc>
          <w:tcPr>
            <w:tcW w:w="226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3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2240" w:type="dxa"/>
            <w:vAlign w:val="bottom"/>
          </w:tcPr>
          <w:p>
            <w:pPr>
              <w:spacing w:after="0"/>
              <w:rPr>
                <w:sz w:val="20"/>
                <w:szCs w:val="20"/>
                <w:color w:val="auto"/>
              </w:rPr>
            </w:pPr>
          </w:p>
        </w:tc>
      </w:tr>
      <w:tr>
        <w:trPr>
          <w:trHeight w:val="607"/>
        </w:trPr>
        <w:tc>
          <w:tcPr>
            <w:tcW w:w="2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60" w:type="dxa"/>
            <w:vAlign w:val="bottom"/>
          </w:tcPr>
          <w:p>
            <w:pPr>
              <w:jc w:val="right"/>
              <w:ind w:right="2350"/>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Income Taxes</w:t>
      </w:r>
    </w:p>
    <w:p>
      <w:pPr>
        <w:spacing w:after="0" w:line="94"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75" w:lineRule="exact"/>
        <w:rPr>
          <w:sz w:val="20"/>
          <w:szCs w:val="20"/>
          <w:color w:val="auto"/>
        </w:rPr>
      </w:pPr>
    </w:p>
    <w:p>
      <w:pPr>
        <w:ind w:right="40" w:firstLine="509"/>
        <w:spacing w:after="0" w:line="257" w:lineRule="auto"/>
        <w:rPr>
          <w:sz w:val="20"/>
          <w:szCs w:val="20"/>
          <w:color w:val="auto"/>
        </w:rPr>
      </w:pPr>
      <w:r>
        <w:rPr>
          <w:rFonts w:ascii="Arial" w:cs="Arial" w:eastAsia="Arial" w:hAnsi="Arial"/>
          <w:sz w:val="16"/>
          <w:szCs w:val="16"/>
          <w:color w:val="auto"/>
        </w:rPr>
        <w:t>The provision for income taxes of $2.0 million and $2.4 million for the three months ended December 25, 2021 and December 26, 2020, respectively, represented estimated federal, foreign, and state income taxes. The effective tax rate for the three months ended December 25, 2021 diverged from the combined U.S. federal and state statutory tax rate primarily because of the benefit of income taxed at lower rates, research credits and foreign tax credits, partially offset by foreign withholding taxes, non-deductible officer compensation, non-deductible stock-based compensation, and global intangible low-taxed income, or GILTI. The effective tax rate for the three months ended December 26, 2020, diverged from the combined U.S. federal and state</w:t>
      </w:r>
    </w:p>
    <w:p>
      <w:pPr>
        <w:spacing w:after="0" w:line="1"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statutory tax rate, primarily because of income taxed at lower rates, the benefit of research credits and foreign tax credits, partially offset by foreign withholding taxes, non-deductible stock-based compensation and GILTI.</w:t>
      </w:r>
    </w:p>
    <w:p>
      <w:pPr>
        <w:spacing w:after="0" w:line="1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6"/>
          <w:szCs w:val="16"/>
          <w:color w:val="auto"/>
        </w:rPr>
        <w:t>The provision for income taxes of $7.9 million and $6.0 million for the six months ended December 25, 2021 and December 26, 2020, respectively, represented estimated federal, foreign, and state income taxes. The effective tax rate for the six months ended December 25, 2021 diverged from the combined U.S. federal and state statutory tax rate primarily because of income taxed at lower rates, the benefit of research credits and foreign tax credits, partially offset by foreign withholding taxes, non-deductible officer compensation, non-deductible stock-based compensation, and GILTI. The effective tax rate for the six months ended December 26, 2020, diverged from the combined U.S. federal and state statutory tax rate, primarily because of the benefit of</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income taxed at lower rates, research credits and foreign tax credits, partially offset by foreign withholding taxes, non-deductible stock-based compensation and GILTI.</w:t>
      </w:r>
    </w:p>
    <w:p>
      <w:pPr>
        <w:spacing w:after="0" w:line="171" w:lineRule="exact"/>
        <w:rPr>
          <w:sz w:val="20"/>
          <w:szCs w:val="20"/>
          <w:color w:val="auto"/>
        </w:rPr>
      </w:pPr>
    </w:p>
    <w:p>
      <w:pPr>
        <w:ind w:right="100" w:firstLine="509"/>
        <w:spacing w:after="0" w:line="225" w:lineRule="auto"/>
        <w:rPr>
          <w:sz w:val="20"/>
          <w:szCs w:val="20"/>
          <w:color w:val="auto"/>
        </w:rPr>
      </w:pPr>
      <w:r>
        <w:rPr>
          <w:rFonts w:ascii="Arial" w:cs="Arial" w:eastAsia="Arial" w:hAnsi="Arial"/>
          <w:sz w:val="18"/>
          <w:szCs w:val="18"/>
          <w:color w:val="auto"/>
        </w:rPr>
        <w:t>The total liability for gross unrecognized tax benefits related to uncertain tax positions increased $9.0 million during the six months ended December 25, 2021, to $31.6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25, 2021 were $2.4 million; this balance increased by $0.7 million compared to June 26, 2021.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9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major tax jurisdictions are the United States, Hong Kong SAR, Israel, Japan and the United Kingdom. From fiscal 2014 onward, we remain subject to examination by one or more of these jurisdictions.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08"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We operate in one segment: the development, marketing, and sale of semiconductor products used in electronic devices and products. We generate our revenue from three broad product categories: the IoT product market, the personal computing, or PC, product market, and the Mobile product market. We sell our products to OEMs and to contract manufacturers that provide manufacturing services to OEMs.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color w:val="auto"/>
                <w:w w:val="97"/>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270"/>
              <w:spacing w:after="0"/>
              <w:rPr>
                <w:sz w:val="20"/>
                <w:szCs w:val="20"/>
                <w:color w:val="auto"/>
              </w:rPr>
            </w:pPr>
            <w:r>
              <w:rPr>
                <w:rFonts w:ascii="Arial" w:cs="Arial" w:eastAsia="Arial" w:hAnsi="Arial"/>
                <w:sz w:val="18"/>
                <w:szCs w:val="18"/>
                <w:color w:val="auto"/>
                <w:w w:val="98"/>
              </w:rPr>
              <w:t>Six Months Ended</w:t>
            </w:r>
          </w:p>
        </w:tc>
        <w:tc>
          <w:tcPr>
            <w:tcW w:w="1680" w:type="dxa"/>
            <w:vAlign w:val="bottom"/>
          </w:tcPr>
          <w:p>
            <w:pPr>
              <w:spacing w:after="0"/>
              <w:rPr>
                <w:sz w:val="18"/>
                <w:szCs w:val="18"/>
                <w:color w:val="auto"/>
              </w:rPr>
            </w:pPr>
          </w:p>
        </w:tc>
      </w:tr>
      <w:tr>
        <w:trPr>
          <w:trHeight w:val="217"/>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December</w:t>
            </w:r>
          </w:p>
        </w:tc>
        <w:tc>
          <w:tcPr>
            <w:tcW w:w="1680" w:type="dxa"/>
            <w:vAlign w:val="bottom"/>
          </w:tcPr>
          <w:p>
            <w:pPr>
              <w:spacing w:after="0"/>
              <w:rPr>
                <w:sz w:val="18"/>
                <w:szCs w:val="18"/>
                <w:color w:val="auto"/>
              </w:rPr>
            </w:pPr>
          </w:p>
        </w:tc>
      </w:tr>
      <w:tr>
        <w:trPr>
          <w:trHeight w:val="196"/>
        </w:trPr>
        <w:tc>
          <w:tcPr>
            <w:tcW w:w="1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4"/>
              </w:rPr>
              <w:t>2020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China</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277.2</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275.3</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Taiwan</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127.6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166.6</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Japan</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88.3</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191.4</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1680" w:type="dxa"/>
            <w:vAlign w:val="bottom"/>
          </w:tcPr>
          <w:p>
            <w:pPr>
              <w:spacing w:after="0"/>
              <w:rPr>
                <w:sz w:val="17"/>
                <w:szCs w:val="17"/>
                <w:color w:val="auto"/>
              </w:rPr>
            </w:pPr>
          </w:p>
        </w:tc>
      </w:tr>
      <w:tr>
        <w:trPr>
          <w:trHeight w:val="378"/>
        </w:trPr>
        <w:tc>
          <w:tcPr>
            <w:tcW w:w="1700" w:type="dxa"/>
            <w:vAlign w:val="bottom"/>
          </w:tcPr>
          <w:p>
            <w:pPr>
              <w:spacing w:after="0"/>
              <w:rPr>
                <w:sz w:val="24"/>
                <w:szCs w:val="24"/>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80" w:type="dxa"/>
            <w:vAlign w:val="bottom"/>
          </w:tcPr>
          <w:p>
            <w:pPr>
              <w:spacing w:after="0"/>
              <w:rPr>
                <w:sz w:val="24"/>
                <w:szCs w:val="24"/>
                <w:color w:val="auto"/>
              </w:rPr>
            </w:pPr>
          </w:p>
        </w:tc>
      </w:tr>
      <w:tr>
        <w:trPr>
          <w:trHeight w:val="365"/>
        </w:trPr>
        <w:tc>
          <w:tcPr>
            <w:tcW w:w="17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80" w:type="dxa"/>
            <w:vAlign w:val="bottom"/>
          </w:tcPr>
          <w:p>
            <w:pPr>
              <w:spacing w:after="0"/>
              <w:rPr>
                <w:sz w:val="24"/>
                <w:szCs w:val="24"/>
                <w:color w:val="auto"/>
              </w:rPr>
            </w:pPr>
          </w:p>
        </w:tc>
      </w:tr>
      <w:tr>
        <w:trPr>
          <w:trHeight w:val="236"/>
        </w:trPr>
        <w:tc>
          <w:tcPr>
            <w:tcW w:w="1700" w:type="dxa"/>
            <w:vAlign w:val="bottom"/>
          </w:tcPr>
          <w:p>
            <w:pPr>
              <w:spacing w:after="0"/>
              <w:rPr>
                <w:sz w:val="20"/>
                <w:szCs w:val="20"/>
                <w:color w:val="auto"/>
              </w:rPr>
            </w:pPr>
          </w:p>
        </w:tc>
        <w:tc>
          <w:tcPr>
            <w:tcW w:w="34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420.5</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357.6</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793.2</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686.0</w:t>
            </w:r>
          </w:p>
        </w:tc>
        <w:tc>
          <w:tcPr>
            <w:tcW w:w="1680" w:type="dxa"/>
            <w:vAlign w:val="bottom"/>
          </w:tcPr>
          <w:p>
            <w:pPr>
              <w:spacing w:after="0"/>
              <w:rPr>
                <w:sz w:val="20"/>
                <w:szCs w:val="20"/>
                <w:color w:val="auto"/>
              </w:rPr>
            </w:pPr>
          </w:p>
        </w:tc>
      </w:tr>
      <w:tr>
        <w:trPr>
          <w:trHeight w:val="615"/>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-504825</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-487680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-504825</wp:posOffset>
            </wp:positionV>
            <wp:extent cx="34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-487680</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-504825</wp:posOffset>
            </wp:positionV>
            <wp:extent cx="342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-487680</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-504825</wp:posOffset>
            </wp:positionV>
            <wp:extent cx="34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-487680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Net revenue from our customers for each product category was as follows (in millions):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4"/>
          </w:tcPr>
          <w:p>
            <w:pPr>
              <w:jc w:val="right"/>
              <w:ind w:right="250"/>
              <w:spacing w:after="0"/>
              <w:rPr>
                <w:sz w:val="20"/>
                <w:szCs w:val="20"/>
                <w:color w:val="auto"/>
              </w:rPr>
            </w:pPr>
            <w:r>
              <w:rPr>
                <w:rFonts w:ascii="Arial" w:cs="Arial" w:eastAsia="Arial" w:hAnsi="Arial"/>
                <w:sz w:val="18"/>
                <w:szCs w:val="18"/>
                <w:color w:val="auto"/>
                <w:w w:val="97"/>
              </w:rPr>
              <w:t>Three Months Ended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4"/>
          </w:tcPr>
          <w:p>
            <w:pPr>
              <w:jc w:val="right"/>
              <w:ind w:right="190"/>
              <w:spacing w:after="0"/>
              <w:rPr>
                <w:sz w:val="20"/>
                <w:szCs w:val="20"/>
                <w:color w:val="auto"/>
              </w:rPr>
            </w:pPr>
            <w:r>
              <w:rPr>
                <w:rFonts w:ascii="Arial" w:cs="Arial" w:eastAsia="Arial" w:hAnsi="Arial"/>
                <w:sz w:val="18"/>
                <w:szCs w:val="18"/>
                <w:color w:val="auto"/>
                <w:w w:val="97"/>
              </w:rPr>
              <w:t>Six Months Ended</w:t>
            </w:r>
          </w:p>
        </w:tc>
        <w:tc>
          <w:tcPr>
            <w:tcW w:w="60" w:type="dxa"/>
            <w:vAlign w:val="bottom"/>
          </w:tcPr>
          <w:p>
            <w:pPr>
              <w:spacing w:after="0"/>
              <w:rPr>
                <w:sz w:val="17"/>
                <w:szCs w:val="17"/>
                <w:color w:val="auto"/>
              </w:rPr>
            </w:pPr>
          </w:p>
        </w:tc>
      </w:tr>
      <w:tr>
        <w:trPr>
          <w:trHeight w:val="217"/>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December</w:t>
            </w:r>
          </w:p>
        </w:tc>
        <w:tc>
          <w:tcPr>
            <w:tcW w:w="60" w:type="dxa"/>
            <w:vAlign w:val="bottom"/>
          </w:tcPr>
          <w:p>
            <w:pPr>
              <w:spacing w:after="0"/>
              <w:rPr>
                <w:sz w:val="18"/>
                <w:szCs w:val="18"/>
                <w:color w:val="auto"/>
              </w:rPr>
            </w:pPr>
          </w:p>
        </w:tc>
      </w:tr>
      <w:tr>
        <w:trPr>
          <w:trHeight w:val="196"/>
        </w:trPr>
        <w:tc>
          <w:tcPr>
            <w:tcW w:w="3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r>
      <w:tr>
        <w:trPr>
          <w:trHeight w:val="196"/>
        </w:trPr>
        <w:tc>
          <w:tcPr>
            <w:tcW w:w="3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IoT product applications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467.2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283.7</w:t>
            </w:r>
          </w:p>
        </w:tc>
        <w:tc>
          <w:tcPr>
            <w:tcW w:w="60" w:type="dxa"/>
            <w:vAlign w:val="bottom"/>
            <w:shd w:val="clear" w:color="auto" w:fill="CFF0FC"/>
          </w:tcPr>
          <w:p>
            <w:pPr>
              <w:spacing w:after="0"/>
              <w:rPr>
                <w:sz w:val="17"/>
                <w:szCs w:val="17"/>
                <w:color w:val="auto"/>
              </w:rPr>
            </w:pPr>
          </w:p>
        </w:tc>
      </w:tr>
      <w:tr>
        <w:trPr>
          <w:trHeight w:val="378"/>
        </w:trPr>
        <w:tc>
          <w:tcPr>
            <w:tcW w:w="352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w:t>
            </w:r>
          </w:p>
        </w:tc>
        <w:tc>
          <w:tcPr>
            <w:tcW w:w="60" w:type="dxa"/>
            <w:vAlign w:val="bottom"/>
          </w:tcPr>
          <w:p>
            <w:pPr>
              <w:spacing w:after="0"/>
              <w:rPr>
                <w:sz w:val="24"/>
                <w:szCs w:val="24"/>
                <w:color w:val="auto"/>
              </w:rPr>
            </w:pPr>
          </w:p>
        </w:tc>
      </w:tr>
      <w:tr>
        <w:trPr>
          <w:trHeight w:val="203"/>
        </w:trPr>
        <w:tc>
          <w:tcPr>
            <w:tcW w:w="3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Mobile product applications</w:t>
            </w: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154.7</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35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420.5</w:t>
            </w: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357.6</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793.2</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686.0</w:t>
            </w:r>
          </w:p>
        </w:tc>
        <w:tc>
          <w:tcPr>
            <w:tcW w:w="6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-159385</wp:posOffset>
            </wp:positionV>
            <wp:extent cx="431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-159385</wp:posOffset>
            </wp:positionV>
            <wp:extent cx="431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3429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A reclassification has been made to the prior periods revenue presentation in the above table in order to conform to the current period revenue presentation. The reclassification of $7.9 million and $14.2 million during the three and six months ended December 2020, respectively, moved virtual reality product revenue from Mobile product applications to IoT product applications.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74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7"/>
                <w:szCs w:val="17"/>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91"/>
              </w:rPr>
              <w:t>Six Months Ended</w:t>
            </w:r>
          </w:p>
        </w:tc>
      </w:tr>
      <w:tr>
        <w:trPr>
          <w:trHeight w:val="217"/>
        </w:trPr>
        <w:tc>
          <w:tcPr>
            <w:tcW w:w="49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right="830"/>
              <w:spacing w:after="0"/>
              <w:rPr>
                <w:sz w:val="20"/>
                <w:szCs w:val="20"/>
                <w:color w:val="auto"/>
              </w:rPr>
            </w:pPr>
            <w:r>
              <w:rPr>
                <w:rFonts w:ascii="Arial" w:cs="Arial" w:eastAsia="Arial" w:hAnsi="Arial"/>
                <w:sz w:val="18"/>
                <w:szCs w:val="18"/>
                <w:color w:val="auto"/>
                <w:w w:val="89"/>
              </w:rPr>
              <w:t>December</w:t>
            </w: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670"/>
              <w:spacing w:after="0"/>
              <w:rPr>
                <w:sz w:val="20"/>
                <w:szCs w:val="20"/>
                <w:color w:val="auto"/>
              </w:rPr>
            </w:pPr>
            <w:r>
              <w:rPr>
                <w:rFonts w:ascii="Arial" w:cs="Arial" w:eastAsia="Arial" w:hAnsi="Arial"/>
                <w:sz w:val="18"/>
                <w:szCs w:val="18"/>
                <w:color w:val="auto"/>
                <w:w w:val="89"/>
              </w:rPr>
              <w:t>December</w:t>
            </w:r>
          </w:p>
        </w:tc>
      </w:tr>
      <w:tr>
        <w:trPr>
          <w:trHeight w:val="196"/>
        </w:trPr>
        <w:tc>
          <w:tcPr>
            <w:tcW w:w="4940" w:type="dxa"/>
            <w:vAlign w:val="bottom"/>
          </w:tcPr>
          <w:p>
            <w:pPr>
              <w:spacing w:after="0"/>
              <w:rPr>
                <w:sz w:val="17"/>
                <w:szCs w:val="17"/>
                <w:color w:val="auto"/>
              </w:rPr>
            </w:pPr>
          </w:p>
        </w:tc>
        <w:tc>
          <w:tcPr>
            <w:tcW w:w="9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2021</w:t>
            </w:r>
          </w:p>
        </w:tc>
        <w:tc>
          <w:tcPr>
            <w:tcW w:w="1820" w:type="dxa"/>
            <w:vAlign w:val="bottom"/>
            <w:gridSpan w:val="3"/>
          </w:tcPr>
          <w:p>
            <w:pPr>
              <w:jc w:val="center"/>
              <w:ind w:left="410"/>
              <w:spacing w:after="0" w:line="196" w:lineRule="exact"/>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7"/>
                <w:szCs w:val="17"/>
                <w:color w:val="auto"/>
              </w:rPr>
            </w:pPr>
          </w:p>
        </w:tc>
        <w:tc>
          <w:tcPr>
            <w:tcW w:w="760" w:type="dxa"/>
            <w:vAlign w:val="bottom"/>
          </w:tcPr>
          <w:p>
            <w:pPr>
              <w:jc w:val="center"/>
              <w:ind w:left="230"/>
              <w:spacing w:after="0" w:line="196" w:lineRule="exact"/>
              <w:rPr>
                <w:sz w:val="20"/>
                <w:szCs w:val="20"/>
                <w:color w:val="auto"/>
              </w:rPr>
            </w:pPr>
            <w:r>
              <w:rPr>
                <w:rFonts w:ascii="Arial" w:cs="Arial" w:eastAsia="Arial" w:hAnsi="Arial"/>
                <w:sz w:val="18"/>
                <w:szCs w:val="18"/>
                <w:color w:val="auto"/>
                <w:w w:val="89"/>
              </w:rPr>
              <w:t>2021</w:t>
            </w:r>
          </w:p>
        </w:tc>
        <w:tc>
          <w:tcPr>
            <w:tcW w:w="1540" w:type="dxa"/>
            <w:vAlign w:val="bottom"/>
            <w:gridSpan w:val="3"/>
          </w:tcPr>
          <w:p>
            <w:pPr>
              <w:jc w:val="center"/>
              <w:ind w:left="330"/>
              <w:spacing w:after="0" w:line="196" w:lineRule="exact"/>
              <w:rPr>
                <w:sz w:val="20"/>
                <w:szCs w:val="20"/>
                <w:color w:val="auto"/>
              </w:rPr>
            </w:pPr>
            <w:r>
              <w:rPr>
                <w:rFonts w:ascii="Arial" w:cs="Arial" w:eastAsia="Arial" w:hAnsi="Arial"/>
                <w:sz w:val="18"/>
                <w:szCs w:val="18"/>
                <w:color w:val="auto"/>
                <w:w w:val="89"/>
              </w:rPr>
              <w:t>2020</w:t>
            </w: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 A</w:t>
            </w:r>
          </w:p>
        </w:tc>
        <w:tc>
          <w:tcPr>
            <w:tcW w:w="920" w:type="dxa"/>
            <w:vAlign w:val="bottom"/>
            <w:tcBorders>
              <w:top w:val="single" w:sz="8" w:color="auto"/>
            </w:tcBorders>
            <w:shd w:val="clear" w:color="auto" w:fill="CFF0FC"/>
          </w:tcPr>
          <w:p>
            <w:pPr>
              <w:jc w:val="center"/>
              <w:ind w:left="290"/>
              <w:spacing w:after="0" w:line="196" w:lineRule="exact"/>
              <w:rPr>
                <w:sz w:val="20"/>
                <w:szCs w:val="20"/>
                <w:color w:val="auto"/>
              </w:rPr>
            </w:pPr>
            <w:r>
              <w:rPr>
                <w:rFonts w:ascii="Arial" w:cs="Arial" w:eastAsia="Arial" w:hAnsi="Arial"/>
                <w:sz w:val="18"/>
                <w:szCs w:val="18"/>
                <w:color w:val="auto"/>
                <w:w w:val="94"/>
              </w:rPr>
              <w:t>13%</w:t>
            </w: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center"/>
              <w:ind w:left="230"/>
              <w:spacing w:after="0" w:line="196" w:lineRule="exact"/>
              <w:rPr>
                <w:sz w:val="20"/>
                <w:szCs w:val="20"/>
                <w:color w:val="auto"/>
              </w:rPr>
            </w:pPr>
            <w:r>
              <w:rPr>
                <w:rFonts w:ascii="Arial" w:cs="Arial" w:eastAsia="Arial" w:hAnsi="Arial"/>
                <w:sz w:val="18"/>
                <w:szCs w:val="18"/>
                <w:color w:val="auto"/>
                <w:w w:val="88"/>
              </w:rPr>
              <w:t>12%</w:t>
            </w:r>
          </w:p>
        </w:tc>
        <w:tc>
          <w:tcPr>
            <w:tcW w:w="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11%</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Customer B</w:t>
            </w:r>
          </w:p>
        </w:tc>
        <w:tc>
          <w:tcPr>
            <w:tcW w:w="92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94"/>
              </w:rPr>
              <w:t>12%</w:t>
            </w:r>
          </w:p>
        </w:tc>
        <w:tc>
          <w:tcPr>
            <w:tcW w:w="1820" w:type="dxa"/>
            <w:vAlign w:val="bottom"/>
            <w:gridSpan w:val="3"/>
          </w:tcPr>
          <w:p>
            <w:pPr>
              <w:jc w:val="center"/>
              <w:ind w:left="410"/>
              <w:spacing w:after="0" w:line="202" w:lineRule="exact"/>
              <w:rPr>
                <w:sz w:val="20"/>
                <w:szCs w:val="20"/>
                <w:color w:val="auto"/>
              </w:rPr>
            </w:pPr>
            <w:r>
              <w:rPr>
                <w:rFonts w:ascii="Arial" w:cs="Arial" w:eastAsia="Arial" w:hAnsi="Arial"/>
                <w:sz w:val="18"/>
                <w:szCs w:val="18"/>
                <w:color w:val="auto"/>
                <w:w w:val="88"/>
              </w:rPr>
              <w:t>13%</w:t>
            </w:r>
          </w:p>
        </w:tc>
        <w:tc>
          <w:tcPr>
            <w:tcW w:w="880" w:type="dxa"/>
            <w:vAlign w:val="bottom"/>
            <w:gridSpan w:val="2"/>
          </w:tcPr>
          <w:p>
            <w:pPr>
              <w:jc w:val="center"/>
              <w:ind w:left="350"/>
              <w:spacing w:after="0" w:line="202" w:lineRule="exact"/>
              <w:rPr>
                <w:sz w:val="20"/>
                <w:szCs w:val="20"/>
                <w:color w:val="auto"/>
              </w:rPr>
            </w:pPr>
            <w:r>
              <w:rPr>
                <w:rFonts w:ascii="Arial" w:cs="Arial" w:eastAsia="Arial" w:hAnsi="Arial"/>
                <w:sz w:val="18"/>
                <w:szCs w:val="18"/>
                <w:color w:val="auto"/>
                <w:w w:val="88"/>
              </w:rPr>
              <w:t>12%</w:t>
            </w:r>
          </w:p>
        </w:tc>
        <w:tc>
          <w:tcPr>
            <w:tcW w:w="1540" w:type="dxa"/>
            <w:vAlign w:val="bottom"/>
            <w:gridSpan w:val="3"/>
          </w:tcPr>
          <w:p>
            <w:pPr>
              <w:jc w:val="center"/>
              <w:ind w:left="330"/>
              <w:spacing w:after="0" w:line="202" w:lineRule="exact"/>
              <w:rPr>
                <w:sz w:val="20"/>
                <w:szCs w:val="20"/>
                <w:color w:val="auto"/>
              </w:rPr>
            </w:pPr>
            <w:r>
              <w:rPr>
                <w:rFonts w:ascii="Arial" w:cs="Arial" w:eastAsia="Arial" w:hAnsi="Arial"/>
                <w:sz w:val="18"/>
                <w:szCs w:val="18"/>
                <w:color w:val="auto"/>
                <w:w w:val="88"/>
              </w:rPr>
              <w:t>11%</w:t>
            </w: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C</w:t>
            </w:r>
          </w:p>
        </w:tc>
        <w:tc>
          <w:tcPr>
            <w:tcW w:w="920" w:type="dxa"/>
            <w:vAlign w:val="bottom"/>
            <w:shd w:val="clear" w:color="auto" w:fill="CFF0FC"/>
          </w:tcPr>
          <w:p>
            <w:pPr>
              <w:jc w:val="center"/>
              <w:ind w:left="29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3"/>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88"/>
              </w:rPr>
              <w:t>18%</w:t>
            </w:r>
          </w:p>
        </w:tc>
        <w:tc>
          <w:tcPr>
            <w:tcW w:w="880" w:type="dxa"/>
            <w:vAlign w:val="bottom"/>
            <w:gridSpan w:val="2"/>
            <w:shd w:val="clear" w:color="auto" w:fill="CFF0FC"/>
          </w:tcPr>
          <w:p>
            <w:pPr>
              <w:jc w:val="center"/>
              <w:ind w:left="35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center"/>
              <w:ind w:left="350"/>
              <w:spacing w:after="0" w:line="202" w:lineRule="exact"/>
              <w:rPr>
                <w:sz w:val="20"/>
                <w:szCs w:val="20"/>
                <w:color w:val="auto"/>
              </w:rPr>
            </w:pPr>
            <w:r>
              <w:rPr>
                <w:rFonts w:ascii="Arial" w:cs="Arial" w:eastAsia="Arial" w:hAnsi="Arial"/>
                <w:sz w:val="18"/>
                <w:szCs w:val="18"/>
                <w:color w:val="auto"/>
                <w:w w:val="94"/>
              </w:rPr>
              <w:t>20%</w:t>
            </w:r>
          </w:p>
        </w:tc>
      </w:tr>
    </w:tbl>
    <w:p>
      <w:pPr>
        <w:spacing w:after="0" w:line="236" w:lineRule="auto"/>
        <w:rPr>
          <w:sz w:val="20"/>
          <w:szCs w:val="20"/>
          <w:color w:val="auto"/>
        </w:rPr>
      </w:pPr>
      <w:r>
        <w:rPr>
          <w:rFonts w:ascii="Arial" w:cs="Arial" w:eastAsia="Arial" w:hAnsi="Arial"/>
          <w:sz w:val="18"/>
          <w:szCs w:val="18"/>
          <w:color w:val="auto"/>
        </w:rPr>
        <w:t>____________________</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10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December</w:t>
            </w:r>
          </w:p>
        </w:tc>
        <w:tc>
          <w:tcPr>
            <w:tcW w:w="120" w:type="dxa"/>
            <w:vAlign w:val="bottom"/>
          </w:tcPr>
          <w:p>
            <w:pPr>
              <w:spacing w:after="0"/>
              <w:rPr>
                <w:sz w:val="17"/>
                <w:szCs w:val="17"/>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June</w:t>
            </w:r>
          </w:p>
        </w:tc>
      </w:tr>
      <w:tr>
        <w:trPr>
          <w:trHeight w:val="217"/>
        </w:trPr>
        <w:tc>
          <w:tcPr>
            <w:tcW w:w="5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r>
      <w:tr>
        <w:trPr>
          <w:trHeight w:val="399"/>
        </w:trPr>
        <w:tc>
          <w:tcPr>
            <w:tcW w:w="5100" w:type="dxa"/>
            <w:vAlign w:val="bottom"/>
          </w:tcPr>
          <w:p>
            <w:pPr>
              <w:spacing w:after="0"/>
              <w:rPr>
                <w:sz w:val="20"/>
                <w:szCs w:val="20"/>
                <w:color w:val="auto"/>
              </w:rPr>
            </w:pPr>
            <w:r>
              <w:rPr>
                <w:rFonts w:ascii="Arial" w:cs="Arial" w:eastAsia="Arial" w:hAnsi="Arial"/>
                <w:sz w:val="18"/>
                <w:szCs w:val="18"/>
                <w:color w:val="auto"/>
              </w:rPr>
              <w:t>Customer A</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B</w:t>
            </w:r>
          </w:p>
        </w:tc>
        <w:tc>
          <w:tcPr>
            <w:tcW w:w="13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10%</w:t>
            </w:r>
          </w:p>
        </w:tc>
        <w:tc>
          <w:tcPr>
            <w:tcW w:w="14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88"/>
              </w:rPr>
              <w:t>15%</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108" w:lineRule="exact"/>
        <w:rPr>
          <w:sz w:val="20"/>
          <w:szCs w:val="20"/>
          <w:color w:val="auto"/>
        </w:rPr>
      </w:pPr>
    </w:p>
    <w:p>
      <w:pPr>
        <w:ind w:right="480" w:firstLine="509"/>
        <w:spacing w:after="0" w:line="324" w:lineRule="auto"/>
        <w:rPr>
          <w:sz w:val="20"/>
          <w:szCs w:val="20"/>
          <w:color w:val="auto"/>
        </w:rPr>
      </w:pPr>
      <w:r>
        <w:rPr>
          <w:rFonts w:ascii="Arial" w:cs="Arial" w:eastAsia="Arial" w:hAnsi="Arial"/>
          <w:sz w:val="16"/>
          <w:szCs w:val="16"/>
          <w:color w:val="auto"/>
        </w:rPr>
        <w:t>Our comprehensive income generally consists of net income. We recognize foreign currency remeasurement adjustments and foreign currency transaction gains and losses in our condensed consolidated statements of income as the U.S. dollar is the functional currency of our foreign entities.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During the first quarter of fiscal 2022, we initiated restructuring activities which included severance costs which were for activities intended to further improve efficiencies in our operational activities. The restructuring costs related to these activities were recorded to the restructuring costs line item within our condensed consolidated statements of income. These activities are expected to be complete by the end of the third quarter of fiscal 2022. The restructuring liability activity for these restructuring activities during fiscal 2022 was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jc w:val="right"/>
              <w:ind w:right="740"/>
              <w:spacing w:after="0"/>
              <w:rPr>
                <w:sz w:val="20"/>
                <w:szCs w:val="20"/>
                <w:color w:val="auto"/>
              </w:rPr>
            </w:pPr>
            <w:r>
              <w:rPr>
                <w:rFonts w:ascii="Arial" w:cs="Arial" w:eastAsia="Arial" w:hAnsi="Arial"/>
                <w:sz w:val="18"/>
                <w:szCs w:val="18"/>
                <w:color w:val="auto"/>
              </w:rPr>
              <w:t>Employee Severance</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2900" w:type="dxa"/>
            <w:vAlign w:val="bottom"/>
            <w:vMerge w:val="restart"/>
          </w:tcPr>
          <w:p>
            <w:pPr>
              <w:spacing w:after="0"/>
              <w:rPr>
                <w:sz w:val="20"/>
                <w:szCs w:val="20"/>
                <w:color w:val="auto"/>
              </w:rPr>
            </w:pPr>
            <w:r>
              <w:rPr>
                <w:rFonts w:ascii="Arial" w:cs="Arial" w:eastAsia="Arial" w:hAnsi="Arial"/>
                <w:sz w:val="18"/>
                <w:szCs w:val="18"/>
                <w:color w:val="auto"/>
              </w:rPr>
              <w:t>Balance, June 26, 2021</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2"/>
          </w:tcPr>
          <w:p>
            <w:pPr>
              <w:jc w:val="right"/>
              <w:ind w:right="1040"/>
              <w:spacing w:after="0"/>
              <w:rPr>
                <w:sz w:val="20"/>
                <w:szCs w:val="20"/>
                <w:color w:val="auto"/>
              </w:rPr>
            </w:pPr>
            <w:r>
              <w:rPr>
                <w:rFonts w:ascii="Arial" w:cs="Arial" w:eastAsia="Arial" w:hAnsi="Arial"/>
                <w:sz w:val="18"/>
                <w:szCs w:val="18"/>
                <w:color w:val="auto"/>
              </w:rPr>
              <w:t>and Benefits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90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Accruals</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Cash payments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(0.8 )</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p>
        </w:tc>
        <w:tc>
          <w:tcPr>
            <w:tcW w:w="29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as of December 2021</w:t>
            </w:r>
          </w:p>
        </w:tc>
        <w:tc>
          <w:tcPr>
            <w:tcW w:w="17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8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60" w:type="dxa"/>
            <w:vAlign w:val="bottom"/>
          </w:tcPr>
          <w:p>
            <w:pPr>
              <w:jc w:val="right"/>
              <w:ind w:right="73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p>
      <w:pPr>
        <w:jc w:val="both"/>
        <w:ind w:firstLine="509"/>
        <w:spacing w:after="0" w:line="243" w:lineRule="auto"/>
        <w:rPr>
          <w:sz w:val="20"/>
          <w:szCs w:val="20"/>
          <w:color w:val="auto"/>
        </w:rPr>
      </w:pPr>
      <w:r>
        <w:rPr>
          <w:rFonts w:ascii="Arial" w:cs="Arial" w:eastAsia="Arial" w:hAnsi="Arial"/>
          <w:sz w:val="18"/>
          <w:szCs w:val="18"/>
          <w:color w:val="auto"/>
        </w:rPr>
        <w:t>During the second quarter of fiscal 2022, we initiated restructuring activities, which included severance costs for activities intended to gain synergies from the DSPG acquisition. The restructuring costs related to these activities were recorded to the restructuring costs line item within our condensed consolidated statements of income, and the restructuring activities are expected to be complete by the end of fiscal 2022. The restructuring liability activity for these restructuring activities during fiscal 2022 was as follows (in millions):</w:t>
      </w:r>
    </w:p>
    <w:p>
      <w:pPr>
        <w:spacing w:after="0" w:line="278"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00" w:type="dxa"/>
            <w:vAlign w:val="bottom"/>
            <w:gridSpan w:val="2"/>
          </w:tcPr>
          <w:p>
            <w:pPr>
              <w:jc w:val="right"/>
              <w:ind w:right="740"/>
              <w:spacing w:after="0"/>
              <w:rPr>
                <w:sz w:val="20"/>
                <w:szCs w:val="20"/>
                <w:color w:val="auto"/>
              </w:rPr>
            </w:pPr>
            <w:r>
              <w:rPr>
                <w:rFonts w:ascii="Arial" w:cs="Arial" w:eastAsia="Arial" w:hAnsi="Arial"/>
                <w:sz w:val="18"/>
                <w:szCs w:val="18"/>
                <w:color w:val="auto"/>
              </w:rPr>
              <w:t>Employee Severance</w:t>
            </w:r>
          </w:p>
        </w:tc>
        <w:tc>
          <w:tcPr>
            <w:tcW w:w="0" w:type="dxa"/>
            <w:vAlign w:val="bottom"/>
          </w:tcPr>
          <w:p>
            <w:pPr>
              <w:spacing w:after="0"/>
              <w:rPr>
                <w:sz w:val="1"/>
                <w:szCs w:val="1"/>
                <w:color w:val="auto"/>
              </w:rPr>
            </w:pPr>
          </w:p>
        </w:tc>
      </w:tr>
      <w:tr>
        <w:trPr>
          <w:trHeight w:val="217"/>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 June 26, 2021</w:t>
            </w:r>
          </w:p>
        </w:tc>
        <w:tc>
          <w:tcPr>
            <w:tcW w:w="360" w:type="dxa"/>
            <w:vAlign w:val="bottom"/>
          </w:tcPr>
          <w:p>
            <w:pPr>
              <w:spacing w:after="0"/>
              <w:rPr>
                <w:sz w:val="18"/>
                <w:szCs w:val="18"/>
                <w:color w:val="auto"/>
              </w:rPr>
            </w:pPr>
          </w:p>
        </w:tc>
        <w:tc>
          <w:tcPr>
            <w:tcW w:w="2500" w:type="dxa"/>
            <w:vAlign w:val="bottom"/>
            <w:gridSpan w:val="2"/>
          </w:tcPr>
          <w:p>
            <w:pPr>
              <w:jc w:val="right"/>
              <w:ind w:right="1040"/>
              <w:spacing w:after="0"/>
              <w:rPr>
                <w:sz w:val="20"/>
                <w:szCs w:val="20"/>
                <w:color w:val="auto"/>
              </w:rPr>
            </w:pPr>
            <w:r>
              <w:rPr>
                <w:rFonts w:ascii="Arial" w:cs="Arial" w:eastAsia="Arial" w:hAnsi="Arial"/>
                <w:sz w:val="18"/>
                <w:szCs w:val="18"/>
                <w:color w:val="auto"/>
              </w:rPr>
              <w:t>and Benefits</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360" w:type="dxa"/>
            <w:vAlign w:val="bottom"/>
          </w:tcPr>
          <w:p>
            <w:pPr>
              <w:spacing w:after="0"/>
              <w:rPr>
                <w:sz w:val="17"/>
                <w:szCs w:val="17"/>
                <w:color w:val="auto"/>
              </w:rPr>
            </w:pP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payments</w:t>
            </w:r>
          </w:p>
        </w:tc>
        <w:tc>
          <w:tcPr>
            <w:tcW w:w="36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196"/>
        </w:trPr>
        <w:tc>
          <w:tcPr>
            <w:tcW w:w="466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as of December 2021</w:t>
            </w: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1220"/>
        <w:spacing w:after="0" w:line="36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This Quarterly Report on Form 10-Q for the quarter ended December 25, 2021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mobile product applications market and the PC product applications market for a substantial portion of our revenue; risks related to the volatility of our net revenue from our solutions for mobile product applications; our dependence on one or more large customers; the risk that our business, results of operations and financial condition (including liquidity) and prospects may be materially and adversely affected by health epidemics, including the COVID-19 pandemic; our exposure to industry downturns and cyclicality in our target markets; the risk that our product solutions for new markets will not be successful; global supply chain disruptions and component shortages that are currently affecting the semiconductor industry as a whole;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26, 2021,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375"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On March 11, 2020, the World Health Organization declared the COVID-19 outbreak a global pandemic.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swift and effective measures to stem the spread, while in other countries in which we operate governments were slow to react or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 and its variants.</w:t>
      </w:r>
    </w:p>
    <w:p>
      <w:pPr>
        <w:spacing w:after="0" w:line="7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health and wellbeing of our workforce is our highest priority. Many of our employees have worked from home since the COVID-19 outbreak was declared a pandemic in order to minimize the potential risk of spread of COVID-19 in our office environment. As the broad roll-out of vaccines continues in various countries in which we operate, many employees who have been fully vaccinated have returned to the office environment on a part- or full-time basis. As more employees return to the office, we will continue to adhere to return to work protocols, based on guidance from local and global health organizations and applicable laws and regulations.</w:t>
      </w:r>
    </w:p>
    <w:p>
      <w:pPr>
        <w:spacing w:after="0" w:line="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While the severity and duration of business disruption to our customers and suppliers due to the COVID-19 pandemic continues to remain uncertain, we expect that the ongoing global vaccination programs will continue to moderate the overall severity and duration and remain optimistic the most significant impact has passed. As more COVID-19 variants continue to emerge, some of which may be more infectious and may have greater resistance to the existing vaccines, we could experience renewed and sustained business disruption. To date, we have not incurred significant disruptions to our business or a materially negative impact on our condensed consolidated results of operations and financial condition from the COVID-19 outbreak, and we continue to believe our business will not be severely impacted as steps continue to be taken globally to mitigate the spread, vaccinate large portions of the population and achieve herd immunity.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jc w:val="both"/>
        <w:ind w:right="420" w:firstLine="509"/>
        <w:spacing w:after="0" w:line="270" w:lineRule="auto"/>
        <w:rPr>
          <w:sz w:val="20"/>
          <w:szCs w:val="20"/>
          <w:color w:val="auto"/>
        </w:rPr>
      </w:pPr>
      <w:r>
        <w:rPr>
          <w:rFonts w:ascii="Arial" w:cs="Arial" w:eastAsia="Arial" w:hAnsi="Arial"/>
          <w:sz w:val="17"/>
          <w:szCs w:val="17"/>
          <w:color w:val="auto"/>
        </w:rPr>
        <w:t>We will continue to evaluate the nature and scope of the impact of COVID-19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We are a leading worldwide developer and supplier of custom-designed semiconductor solutions that is changing the way humans engage with connected devices and data, engineering exceptional experiences throughout the home, at work, in the car and on the go. Our current served markets include Internet of Things, or IoT, personal computer, or PC, and Mobile. We deliver complete chip, firmware and software semiconductor solutions that include connectivity products, audio input and output System-On-Chips, or SoCs, high-definition video and vision SoCs, SoCs with artificial intelligence capabilities, touch controllers, touchpads, display drivers and fingerprint biometric sensors.</w:t>
      </w:r>
    </w:p>
    <w:p>
      <w:pPr>
        <w:spacing w:after="0" w:line="6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We are a market leader in providing premium mixed signal semiconductor solutions to our target markets. Our Original Equipment Manufacturer, or OEM, customers include many of the world’s largest OEMs for smart home devices, automotive solutions, notebook computers and peripherals, smartphones and tablets, and many large OEMs for audio and video products. We generally supply our product solutions to our OEM customers through their contract manufacturers, which take delivery of our products and pay us directly for such products.</w:t>
      </w:r>
    </w:p>
    <w:p>
      <w:pPr>
        <w:spacing w:after="0" w:line="172"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application specific integrated circuits, or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6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59"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1"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firstLine="509"/>
        <w:spacing w:after="0" w:line="243" w:lineRule="auto"/>
        <w:rPr>
          <w:sz w:val="20"/>
          <w:szCs w:val="20"/>
          <w:color w:val="auto"/>
        </w:rPr>
      </w:pPr>
      <w:r>
        <w:rPr>
          <w:rFonts w:ascii="Arial" w:cs="Arial" w:eastAsia="Arial" w:hAnsi="Arial"/>
          <w:sz w:val="18"/>
          <w:szCs w:val="18"/>
          <w:color w:val="auto"/>
        </w:rPr>
        <w:t>Interest and other expense, net, primarily reflects loss on extinguishment of debt as discussed in Note 11 Debt to the condensed consolidated financial statements contained elsewhere in this Report, interest expense on our senior notes, convertible notes and revolving line of credit as well as the amortization of debt issuance costs and discount on our convertible notes, partially offset by interest income earned on our cash, cash equivalents and short-term investments.</w:t>
      </w:r>
    </w:p>
    <w:p>
      <w:pPr>
        <w:spacing w:after="0" w:line="188"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212" w:lineRule="exact"/>
        <w:rPr>
          <w:sz w:val="20"/>
          <w:szCs w:val="20"/>
          <w:color w:val="auto"/>
        </w:rPr>
      </w:pPr>
    </w:p>
    <w:p>
      <w:pPr>
        <w:ind w:right="400" w:firstLine="509"/>
        <w:spacing w:after="0" w:line="291" w:lineRule="auto"/>
        <w:rPr>
          <w:sz w:val="20"/>
          <w:szCs w:val="20"/>
          <w:color w:val="auto"/>
        </w:rPr>
      </w:pPr>
      <w:r>
        <w:rPr>
          <w:rFonts w:ascii="Arial" w:cs="Arial" w:eastAsia="Arial" w:hAnsi="Arial"/>
          <w:sz w:val="17"/>
          <w:szCs w:val="17"/>
          <w:color w:val="auto"/>
        </w:rPr>
        <w:t>On August 30, 2021, we entered into an agreement and plan of merger with DSP Group, Inc, or DSPG, to acquire all of the equity of DSPG for $22.00 per share of common stock. The transaction closed on December 2, 2021, for purchase consideration of $550.9 million.</w:t>
      </w:r>
    </w:p>
    <w:p>
      <w:pPr>
        <w:spacing w:after="0" w:line="147"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We financed the transaction through a combination of cash on hand and a new $600.0 million incremental term loan facility under our existing senior credit facility.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DSPG are included in our condensed consolidated financial statements for the periods from December 3,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12"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On July 17, 2020, we entered into a definitive agreement to acquire all of the equity interests in DisplayLink Corporation, or DisplayLink, a leader in high-performance video compression technology. The acquisition closed on July 31, 2020. Our purchase consideration was $444.0 million. The results of DisplayLink are included in our condensed consolidated financial statements for the periods from August 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On July 2, 2020, we entered into definitive agreements with Broadcom, Inc., or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condensed consolidated financial statements for periods from July 24,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1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December 25, 2021, compared with our critical accounting policies and estimates disclosed in Management’s Discussion and Analysis of Financial Condition and Results of Operations included in our Annual Report on Form 10-K for the fiscal year ended June 26,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right="440" w:firstLine="509"/>
        <w:spacing w:after="0" w:line="271" w:lineRule="auto"/>
        <w:rPr>
          <w:sz w:val="20"/>
          <w:szCs w:val="20"/>
          <w:color w:val="auto"/>
        </w:rPr>
      </w:pPr>
      <w:r>
        <w:rPr>
          <w:rFonts w:ascii="Arial" w:cs="Arial" w:eastAsia="Arial" w:hAnsi="Arial"/>
          <w:sz w:val="16"/>
          <w:szCs w:val="16"/>
          <w:color w:val="auto"/>
        </w:rPr>
        <w:t>Beginning in fiscal 2022, we are accounting for virtual reality revenue in IoT product applications rather than Mobile product applications. To conform the prior period revenue presentation to the current period revenue presentation, we reclassified $7.9 million and $14.1 million virtual reality product revenue from Mobile product applications to IoT product applications for the three and six months ended December 26, 2020, respectively.</w:t>
      </w:r>
    </w:p>
    <w:p>
      <w:pPr>
        <w:ind w:right="180"/>
        <w:spacing w:after="0" w:line="243"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20" w:type="dxa"/>
            <w:vAlign w:val="bottom"/>
            <w:gridSpan w:val="10"/>
          </w:tcPr>
          <w:p>
            <w:pPr>
              <w:jc w:val="center"/>
              <w:ind w:right="470"/>
              <w:spacing w:after="0"/>
              <w:rPr>
                <w:sz w:val="20"/>
                <w:szCs w:val="20"/>
                <w:color w:val="auto"/>
              </w:rPr>
            </w:pPr>
            <w:r>
              <w:rPr>
                <w:rFonts w:ascii="Arial" w:cs="Arial" w:eastAsia="Arial" w:hAnsi="Arial"/>
                <w:sz w:val="18"/>
                <w:szCs w:val="18"/>
                <w:b w:val="1"/>
                <w:bCs w:val="1"/>
                <w:color w:val="auto"/>
                <w:w w:val="91"/>
              </w:rPr>
              <w:t>Three Months Ended December</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40" w:type="dxa"/>
            <w:vAlign w:val="bottom"/>
            <w:gridSpan w:val="9"/>
          </w:tcPr>
          <w:p>
            <w:pPr>
              <w:jc w:val="center"/>
              <w:ind w:right="930"/>
              <w:spacing w:after="0"/>
              <w:rPr>
                <w:sz w:val="20"/>
                <w:szCs w:val="20"/>
                <w:color w:val="auto"/>
              </w:rPr>
            </w:pPr>
            <w:r>
              <w:rPr>
                <w:rFonts w:ascii="Arial" w:cs="Arial" w:eastAsia="Arial" w:hAnsi="Arial"/>
                <w:sz w:val="18"/>
                <w:szCs w:val="18"/>
                <w:b w:val="1"/>
                <w:bCs w:val="1"/>
                <w:color w:val="auto"/>
                <w:w w:val="90"/>
              </w:rPr>
              <w:t>Six Months Ended December</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4"/>
              </w:rPr>
              <w:t>2021</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4"/>
              </w:rPr>
              <w:t>2020</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gridSpan w:val="2"/>
          </w:tcPr>
          <w:p>
            <w:pPr>
              <w:jc w:val="right"/>
              <w:ind w:right="300"/>
              <w:spacing w:after="0" w:line="196" w:lineRule="exact"/>
              <w:rPr>
                <w:sz w:val="20"/>
                <w:szCs w:val="20"/>
                <w:color w:val="auto"/>
              </w:rPr>
            </w:pPr>
            <w:r>
              <w:rPr>
                <w:rFonts w:ascii="Arial" w:cs="Arial" w:eastAsia="Arial" w:hAnsi="Arial"/>
                <w:sz w:val="18"/>
                <w:szCs w:val="18"/>
                <w:b w:val="1"/>
                <w:bCs w:val="1"/>
                <w:color w:val="auto"/>
                <w:w w:val="90"/>
              </w:rPr>
              <w:t>Change</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6"/>
              </w:rPr>
              <w:t>% Change</w:t>
            </w: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89"/>
              </w:rPr>
              <w:t>2021</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4"/>
              </w:rPr>
              <w:t>2020</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w w:val="87"/>
              </w:rPr>
              <w:t>Change</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4"/>
              </w:rPr>
              <w:t>% Change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IoT product applications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261.5</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163.0</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center"/>
              <w:ind w:right="1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98.5</w:t>
            </w:r>
          </w:p>
        </w:tc>
        <w:tc>
          <w:tcPr>
            <w:tcW w:w="2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60.4</w:t>
            </w:r>
          </w:p>
        </w:tc>
        <w:tc>
          <w:tcPr>
            <w:tcW w:w="44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467.2</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183.5</w:t>
            </w:r>
          </w:p>
        </w:tc>
        <w:tc>
          <w:tcPr>
            <w:tcW w:w="2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64.7</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PC product applications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(8.8 )</w:t>
            </w:r>
          </w:p>
        </w:tc>
        <w:tc>
          <w:tcPr>
            <w:tcW w:w="13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(9.6 %)</w:t>
            </w: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(0.7 )</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2"/>
        </w:trPr>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Mobile product applications</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(26.8 )</w:t>
            </w:r>
          </w:p>
        </w:tc>
        <w:tc>
          <w:tcPr>
            <w:tcW w:w="13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(26.0 %)</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(75.6 )</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196"/>
        </w:trPr>
        <w:tc>
          <w:tcPr>
            <w:tcW w:w="282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420.5</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357.6</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w:t>
            </w:r>
          </w:p>
        </w:tc>
        <w:tc>
          <w:tcPr>
            <w:tcW w:w="20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2"/>
          </w:tcPr>
          <w:p>
            <w:pPr>
              <w:jc w:val="right"/>
              <w:ind w:right="190"/>
              <w:spacing w:after="0" w:line="196" w:lineRule="exact"/>
              <w:rPr>
                <w:sz w:val="20"/>
                <w:szCs w:val="20"/>
                <w:color w:val="auto"/>
              </w:rPr>
            </w:pPr>
            <w:r>
              <w:rPr>
                <w:rFonts w:ascii="Arial" w:cs="Arial" w:eastAsia="Arial" w:hAnsi="Arial"/>
                <w:sz w:val="18"/>
                <w:szCs w:val="18"/>
                <w:color w:val="auto"/>
              </w:rPr>
              <w:t>17.6 %</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793.2</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686.0</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107.2</w:t>
            </w:r>
          </w:p>
        </w:tc>
        <w:tc>
          <w:tcPr>
            <w:tcW w:w="20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50"/>
              <w:spacing w:after="0" w:line="196" w:lineRule="exact"/>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225.1</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150.4</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74.7</w:t>
            </w:r>
          </w:p>
        </w:tc>
        <w:tc>
          <w:tcPr>
            <w:tcW w:w="2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49.7 %</w:t>
            </w:r>
          </w:p>
        </w:tc>
        <w:tc>
          <w:tcPr>
            <w:tcW w:w="1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423.2</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284.9</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138.3</w:t>
            </w:r>
          </w:p>
        </w:tc>
        <w:tc>
          <w:tcPr>
            <w:tcW w:w="2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15.0 %</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line="162"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4"/>
                <w:szCs w:val="14"/>
                <w:color w:val="auto"/>
              </w:rPr>
            </w:pPr>
          </w:p>
        </w:tc>
        <w:tc>
          <w:tcPr>
            <w:tcW w:w="13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12.2 %</w:t>
            </w: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8"/>
              </w:rPr>
              <w:t>Acquired intangibles amortization</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5.7 %</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03"/>
        </w:trPr>
        <w:tc>
          <w:tcPr>
            <w:tcW w:w="282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750.0 %</w:t>
            </w: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9"/>
              </w:rPr>
              <w:t>Gain on sale of audio technology</w:t>
            </w:r>
          </w:p>
        </w:tc>
        <w:tc>
          <w:tcPr>
            <w:tcW w:w="14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(34.2 )</w:t>
            </w:r>
          </w:p>
        </w:tc>
        <w:tc>
          <w:tcPr>
            <w:tcW w:w="20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(34.2 )</w:t>
            </w:r>
          </w:p>
        </w:tc>
        <w:tc>
          <w:tcPr>
            <w:tcW w:w="2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77.6</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58.5</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c>
          <w:tcPr>
            <w:tcW w:w="20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2"/>
          </w:tcPr>
          <w:p>
            <w:pPr>
              <w:jc w:val="right"/>
              <w:ind w:right="190"/>
              <w:spacing w:after="0" w:line="196" w:lineRule="exact"/>
              <w:rPr>
                <w:sz w:val="20"/>
                <w:szCs w:val="20"/>
                <w:color w:val="auto"/>
              </w:rPr>
            </w:pPr>
            <w:r>
              <w:rPr>
                <w:rFonts w:ascii="Arial" w:cs="Arial" w:eastAsia="Arial" w:hAnsi="Arial"/>
                <w:sz w:val="18"/>
                <w:szCs w:val="18"/>
                <w:color w:val="auto"/>
              </w:rPr>
              <w:t>32.6 %</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138.2</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64.5</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73.7</w:t>
            </w:r>
          </w:p>
        </w:tc>
        <w:tc>
          <w:tcPr>
            <w:tcW w:w="20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50"/>
              <w:spacing w:after="0" w:line="196" w:lineRule="exact"/>
              <w:rPr>
                <w:sz w:val="20"/>
                <w:szCs w:val="20"/>
                <w:color w:val="auto"/>
              </w:rPr>
            </w:pPr>
            <w:r>
              <w:rPr>
                <w:rFonts w:ascii="Arial" w:cs="Arial" w:eastAsia="Arial" w:hAnsi="Arial"/>
                <w:sz w:val="18"/>
                <w:szCs w:val="18"/>
                <w:color w:val="auto"/>
              </w:rPr>
              <w:t>114.3 %</w:t>
            </w: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expense, net</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(5.7 )</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(6.0 )</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5.0 %</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(11.6 )</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(10.7 )</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(0.9 )</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Arial" w:cs="Arial" w:eastAsia="Arial" w:hAnsi="Arial"/>
                <w:sz w:val="18"/>
                <w:szCs w:val="18"/>
                <w:color w:val="auto"/>
              </w:rPr>
              <w:t>Loss on redemption of convertible</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(8.1 )</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(8.1 )</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rPr>
              <w:t>Income before provision for</w:t>
            </w:r>
          </w:p>
        </w:tc>
        <w:tc>
          <w:tcPr>
            <w:tcW w:w="14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37.0 %</w:t>
            </w:r>
          </w:p>
        </w:tc>
        <w:tc>
          <w:tcPr>
            <w:tcW w:w="1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FF0FC"/>
          </w:tcPr>
          <w:p>
            <w:pPr>
              <w:spacing w:after="0"/>
              <w:rPr>
                <w:sz w:val="13"/>
                <w:szCs w:val="13"/>
                <w:color w:val="auto"/>
              </w:rPr>
            </w:pPr>
          </w:p>
        </w:tc>
        <w:tc>
          <w:tcPr>
            <w:tcW w:w="11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120.3 %</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(0.4 )</w:t>
            </w:r>
          </w:p>
        </w:tc>
        <w:tc>
          <w:tcPr>
            <w:tcW w:w="13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(16.7 %)</w:t>
            </w: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investment loss</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(0.4 )</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(0.5 )</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20.0 %</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(0.9 )</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6"/>
        </w:trPr>
        <w:tc>
          <w:tcPr>
            <w:tcW w:w="282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5</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49.6</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center"/>
              <w:ind w:right="10"/>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19.9</w:t>
            </w:r>
          </w:p>
        </w:tc>
        <w:tc>
          <w:tcPr>
            <w:tcW w:w="20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2"/>
          </w:tcPr>
          <w:p>
            <w:pPr>
              <w:jc w:val="right"/>
              <w:ind w:right="190"/>
              <w:spacing w:after="0" w:line="182" w:lineRule="exact"/>
              <w:rPr>
                <w:sz w:val="20"/>
                <w:szCs w:val="20"/>
                <w:color w:val="auto"/>
              </w:rPr>
            </w:pPr>
            <w:r>
              <w:rPr>
                <w:rFonts w:ascii="Arial" w:cs="Arial" w:eastAsia="Arial" w:hAnsi="Arial"/>
                <w:sz w:val="18"/>
                <w:szCs w:val="18"/>
                <w:color w:val="auto"/>
              </w:rPr>
              <w:t>40.1 %</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109.7</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46.8</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62.9</w:t>
            </w:r>
          </w:p>
        </w:tc>
        <w:tc>
          <w:tcPr>
            <w:tcW w:w="20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50"/>
              <w:spacing w:after="0" w:line="182" w:lineRule="exact"/>
              <w:rPr>
                <w:sz w:val="20"/>
                <w:szCs w:val="20"/>
                <w:color w:val="auto"/>
              </w:rPr>
            </w:pPr>
            <w:r>
              <w:rPr>
                <w:rFonts w:ascii="Arial" w:cs="Arial" w:eastAsia="Arial" w:hAnsi="Arial"/>
                <w:sz w:val="18"/>
                <w:szCs w:val="18"/>
                <w:color w:val="auto"/>
              </w:rPr>
              <w:t>134.4 %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-2910840</wp:posOffset>
            </wp:positionV>
            <wp:extent cx="6032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-2910840</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-2910840</wp:posOffset>
            </wp:positionV>
            <wp:extent cx="6032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-2910840</wp:posOffset>
            </wp:positionV>
            <wp:extent cx="5143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-2910840</wp:posOffset>
            </wp:positionV>
            <wp:extent cx="514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-2910840</wp:posOffset>
            </wp:positionV>
            <wp:extent cx="514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-2636520</wp:posOffset>
            </wp:positionV>
            <wp:extent cx="603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-2636520</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-2636520</wp:posOffset>
            </wp:positionV>
            <wp:extent cx="6032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-2636520</wp:posOffset>
            </wp:positionV>
            <wp:extent cx="5143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-2636520</wp:posOffset>
            </wp:positionV>
            <wp:extent cx="514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-2636520</wp:posOffset>
            </wp:positionV>
            <wp:extent cx="5143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-1642110</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-1642110</wp:posOffset>
            </wp:positionV>
            <wp:extent cx="5969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-1642110</wp:posOffset>
            </wp:positionV>
            <wp:extent cx="6032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-1642110</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-1642110</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-1642110</wp:posOffset>
            </wp:positionV>
            <wp:extent cx="5143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-639445</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-639445</wp:posOffset>
            </wp:positionV>
            <wp:extent cx="596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-639445</wp:posOffset>
            </wp:positionV>
            <wp:extent cx="6032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-639445</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-639445</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-639445</wp:posOffset>
            </wp:positionV>
            <wp:extent cx="5143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ind w:right="100" w:firstLine="509"/>
        <w:spacing w:after="0" w:line="261"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320" w:type="dxa"/>
            <w:vAlign w:val="bottom"/>
            <w:gridSpan w:val="5"/>
            <w:vMerge w:val="restart"/>
          </w:tcPr>
          <w:p>
            <w:pPr>
              <w:jc w:val="center"/>
              <w:ind w:right="420"/>
              <w:spacing w:after="0"/>
              <w:rPr>
                <w:sz w:val="20"/>
                <w:szCs w:val="20"/>
                <w:color w:val="auto"/>
              </w:rPr>
            </w:pPr>
            <w:r>
              <w:rPr>
                <w:rFonts w:ascii="Arial" w:cs="Arial" w:eastAsia="Arial" w:hAnsi="Arial"/>
                <w:sz w:val="18"/>
                <w:szCs w:val="18"/>
                <w:b w:val="1"/>
                <w:bCs w:val="1"/>
                <w:color w:val="auto"/>
                <w:w w:val="90"/>
              </w:rPr>
              <w:t>Three Months Ended</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Percentage</w:t>
            </w:r>
          </w:p>
        </w:tc>
        <w:tc>
          <w:tcPr>
            <w:tcW w:w="2220" w:type="dxa"/>
            <w:vAlign w:val="bottom"/>
            <w:gridSpan w:val="4"/>
            <w:vMerge w:val="restart"/>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12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320" w:type="dxa"/>
            <w:vAlign w:val="bottom"/>
            <w:gridSpan w:val="5"/>
            <w:vMerge w:val="continue"/>
          </w:tcPr>
          <w:p>
            <w:pPr>
              <w:spacing w:after="0"/>
              <w:rPr>
                <w:sz w:val="17"/>
                <w:szCs w:val="17"/>
                <w:color w:val="auto"/>
              </w:rPr>
            </w:pPr>
          </w:p>
        </w:tc>
        <w:tc>
          <w:tcPr>
            <w:tcW w:w="13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3"/>
              </w:rPr>
              <w:t>Point</w:t>
            </w:r>
          </w:p>
        </w:tc>
        <w:tc>
          <w:tcPr>
            <w:tcW w:w="2220" w:type="dxa"/>
            <w:vAlign w:val="bottom"/>
            <w:gridSpan w:val="4"/>
            <w:vMerge w:val="continue"/>
          </w:tcPr>
          <w:p>
            <w:pPr>
              <w:spacing w:after="0"/>
              <w:rPr>
                <w:sz w:val="17"/>
                <w:szCs w:val="17"/>
                <w:color w:val="auto"/>
              </w:rPr>
            </w:pPr>
          </w:p>
        </w:tc>
        <w:tc>
          <w:tcPr>
            <w:tcW w:w="1280" w:type="dxa"/>
            <w:vAlign w:val="bottom"/>
            <w:gridSpan w:val="2"/>
          </w:tcPr>
          <w:p>
            <w:pPr>
              <w:jc w:val="center"/>
              <w:ind w:right="230"/>
              <w:spacing w:after="0" w:line="198" w:lineRule="exact"/>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21"/>
        </w:trPr>
        <w:tc>
          <w:tcPr>
            <w:tcW w:w="4060" w:type="dxa"/>
            <w:vAlign w:val="bottom"/>
          </w:tcPr>
          <w:p>
            <w:pPr>
              <w:spacing w:after="0"/>
              <w:rPr>
                <w:sz w:val="19"/>
                <w:szCs w:val="19"/>
                <w:color w:val="auto"/>
              </w:rPr>
            </w:pPr>
          </w:p>
        </w:tc>
        <w:tc>
          <w:tcPr>
            <w:tcW w:w="1340" w:type="dxa"/>
            <w:vAlign w:val="bottom"/>
            <w:gridSpan w:val="3"/>
          </w:tcPr>
          <w:p>
            <w:pPr>
              <w:jc w:val="center"/>
              <w:ind w:left="478"/>
              <w:spacing w:after="0"/>
              <w:rPr>
                <w:sz w:val="20"/>
                <w:szCs w:val="20"/>
                <w:color w:val="auto"/>
              </w:rPr>
            </w:pPr>
            <w:r>
              <w:rPr>
                <w:rFonts w:ascii="Arial" w:cs="Arial" w:eastAsia="Arial" w:hAnsi="Arial"/>
                <w:sz w:val="18"/>
                <w:szCs w:val="18"/>
                <w:b w:val="1"/>
                <w:bCs w:val="1"/>
                <w:color w:val="auto"/>
                <w:w w:val="89"/>
              </w:rPr>
              <w:t>December</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Increase/</w:t>
            </w:r>
          </w:p>
        </w:tc>
        <w:tc>
          <w:tcPr>
            <w:tcW w:w="22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w:t>
            </w:r>
          </w:p>
        </w:tc>
        <w:tc>
          <w:tcPr>
            <w:tcW w:w="128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18"/>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99"/>
              <w:spacing w:after="0" w:line="196" w:lineRule="exact"/>
              <w:rPr>
                <w:sz w:val="20"/>
                <w:szCs w:val="20"/>
                <w:color w:val="auto"/>
              </w:rPr>
            </w:pPr>
            <w:r>
              <w:rPr>
                <w:rFonts w:ascii="Arial" w:cs="Arial" w:eastAsia="Arial" w:hAnsi="Arial"/>
                <w:sz w:val="18"/>
                <w:szCs w:val="18"/>
                <w:b w:val="1"/>
                <w:bCs w:val="1"/>
                <w:color w:val="auto"/>
                <w:w w:val="89"/>
              </w:rPr>
              <w:t>2020</w:t>
            </w:r>
          </w:p>
        </w:tc>
        <w:tc>
          <w:tcPr>
            <w:tcW w:w="42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6"/>
              </w:rPr>
              <w:t>(Decrease)</w:t>
            </w:r>
          </w:p>
        </w:tc>
        <w:tc>
          <w:tcPr>
            <w:tcW w:w="3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6"/>
              </w:rPr>
              <w:t>(Decrease)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IoT product applications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62.2 %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45.6 %</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16.6 %</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58.9</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41.3</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color w:val="auto"/>
              </w:rPr>
              <w:t>PC product applications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19.7 %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25.6 %</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(5.9 %)</w:t>
            </w:r>
          </w:p>
        </w:tc>
        <w:tc>
          <w:tcPr>
            <w:tcW w:w="11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21.6 %</w:t>
            </w: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25.1 %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Mobile product applications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18.1 %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28.8 %</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(10.7 %)</w:t>
            </w:r>
          </w:p>
        </w:tc>
        <w:tc>
          <w:tcPr>
            <w:tcW w:w="1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19.5 %</w:t>
            </w:r>
          </w:p>
        </w:tc>
        <w:tc>
          <w:tcPr>
            <w:tcW w:w="11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33.6 %</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ind w:left="200"/>
              <w:spacing w:after="0"/>
              <w:rPr>
                <w:sz w:val="20"/>
                <w:szCs w:val="20"/>
                <w:color w:val="auto"/>
              </w:rPr>
            </w:pPr>
            <w:r>
              <w:rPr>
                <w:rFonts w:ascii="Arial" w:cs="Arial" w:eastAsia="Arial" w:hAnsi="Arial"/>
                <w:sz w:val="16"/>
                <w:szCs w:val="16"/>
                <w:color w:val="auto"/>
              </w:rPr>
              <w:t>Net revenue</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100.0 %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100.0 %</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0.0 %</w:t>
            </w:r>
          </w:p>
        </w:tc>
        <w:tc>
          <w:tcPr>
            <w:tcW w:w="112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100.0 %</w:t>
            </w:r>
          </w:p>
        </w:tc>
        <w:tc>
          <w:tcPr>
            <w:tcW w:w="110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100.0 %</w:t>
            </w:r>
          </w:p>
        </w:tc>
        <w:tc>
          <w:tcPr>
            <w:tcW w:w="12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Gross margin</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53.5 %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42.1 %</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11.4 %</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53.4</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41.5</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196"/>
        </w:trPr>
        <w:tc>
          <w:tcPr>
            <w:tcW w:w="40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Operating expenses:</w:t>
            </w: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21.1 %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21.6 %</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(0.5 %)</w:t>
            </w:r>
          </w:p>
        </w:tc>
        <w:tc>
          <w:tcPr>
            <w:tcW w:w="1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22.1 %</w:t>
            </w:r>
          </w:p>
        </w:tc>
        <w:tc>
          <w:tcPr>
            <w:tcW w:w="11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23.1 %</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10.5 %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11.0 %</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(0.5 %)</w:t>
            </w:r>
          </w:p>
        </w:tc>
        <w:tc>
          <w:tcPr>
            <w:tcW w:w="11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10.8 %</w:t>
            </w: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10.9 %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Acquired intangibles amortization</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2.2 %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2.4 %</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(0.2 %)</w:t>
            </w:r>
          </w:p>
        </w:tc>
        <w:tc>
          <w:tcPr>
            <w:tcW w:w="1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2.2 %</w:t>
            </w:r>
          </w:p>
        </w:tc>
        <w:tc>
          <w:tcPr>
            <w:tcW w:w="11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2.2 %</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1.2 %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0.2 %</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1.0 %</w:t>
            </w:r>
          </w:p>
        </w:tc>
        <w:tc>
          <w:tcPr>
            <w:tcW w:w="11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0.8 %</w:t>
            </w: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0.9 %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audio technology assets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0.0 %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(9.6 %)</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9.6 %</w:t>
            </w:r>
          </w:p>
        </w:tc>
        <w:tc>
          <w:tcPr>
            <w:tcW w:w="1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1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(5.0 %)</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18.5 %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16.4 %</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2.1 %</w:t>
            </w:r>
          </w:p>
        </w:tc>
        <w:tc>
          <w:tcPr>
            <w:tcW w:w="112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17.4 %</w:t>
            </w:r>
          </w:p>
        </w:tc>
        <w:tc>
          <w:tcPr>
            <w:tcW w:w="110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9.4 %</w:t>
            </w:r>
          </w:p>
        </w:tc>
        <w:tc>
          <w:tcPr>
            <w:tcW w:w="12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and other expense, net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(1.7 %)</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0.3 %</w:t>
            </w:r>
          </w:p>
        </w:tc>
        <w:tc>
          <w:tcPr>
            <w:tcW w:w="11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(1.5 %)</w:t>
            </w:r>
          </w:p>
        </w:tc>
        <w:tc>
          <w:tcPr>
            <w:tcW w:w="11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(1.6 %)</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Loss on redemption of convertible notes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0.0 %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0.0 %</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0.0 %</w:t>
            </w:r>
          </w:p>
        </w:tc>
        <w:tc>
          <w:tcPr>
            <w:tcW w:w="11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(1.0 %)</w:t>
            </w: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before provision for income taxes</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17.1 %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14.7 %</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2.4 %</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0.5 %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0.7 %</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(0.2 %)</w:t>
            </w:r>
          </w:p>
        </w:tc>
        <w:tc>
          <w:tcPr>
            <w:tcW w:w="11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1.0 %</w:t>
            </w:r>
          </w:p>
        </w:tc>
        <w:tc>
          <w:tcPr>
            <w:tcW w:w="11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0.9 %</w:t>
            </w:r>
          </w:p>
        </w:tc>
        <w:tc>
          <w:tcPr>
            <w:tcW w:w="12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investment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(0.1 %)</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(0.1 %)</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0.0 %</w:t>
            </w:r>
          </w:p>
        </w:tc>
        <w:tc>
          <w:tcPr>
            <w:tcW w:w="11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(0.1 %)</w:t>
            </w:r>
          </w:p>
        </w:tc>
        <w:tc>
          <w:tcPr>
            <w:tcW w:w="11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(0.1 %)</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ind w:left="200"/>
              <w:spacing w:after="0" w:line="183" w:lineRule="exact"/>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16.5 %</w:t>
            </w:r>
          </w:p>
        </w:tc>
        <w:tc>
          <w:tcPr>
            <w:tcW w:w="180" w:type="dxa"/>
            <w:vAlign w:val="bottom"/>
          </w:tcPr>
          <w:p>
            <w:pPr>
              <w:spacing w:after="0"/>
              <w:rPr>
                <w:sz w:val="17"/>
                <w:szCs w:val="17"/>
                <w:color w:val="auto"/>
              </w:rPr>
            </w:pPr>
          </w:p>
        </w:tc>
        <w:tc>
          <w:tcPr>
            <w:tcW w:w="98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13.9 %</w:t>
            </w:r>
          </w:p>
        </w:tc>
        <w:tc>
          <w:tcPr>
            <w:tcW w:w="13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2.6 %</w:t>
            </w:r>
          </w:p>
        </w:tc>
        <w:tc>
          <w:tcPr>
            <w:tcW w:w="112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13.8 %</w:t>
            </w:r>
          </w:p>
        </w:tc>
        <w:tc>
          <w:tcPr>
            <w:tcW w:w="110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6.8 %</w:t>
            </w:r>
          </w:p>
        </w:tc>
        <w:tc>
          <w:tcPr>
            <w:tcW w:w="12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-2002155</wp:posOffset>
            </wp:positionV>
            <wp:extent cx="18859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-2002155</wp:posOffset>
            </wp:positionV>
            <wp:extent cx="18859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-2002155</wp:posOffset>
            </wp:positionV>
            <wp:extent cx="19685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-2002155</wp:posOffset>
            </wp:positionV>
            <wp:extent cx="19685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-1727835</wp:posOffset>
            </wp:positionV>
            <wp:extent cx="18859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-1727835</wp:posOffset>
            </wp:positionV>
            <wp:extent cx="18859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-1727835</wp:posOffset>
            </wp:positionV>
            <wp:extent cx="19685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-1727835</wp:posOffset>
            </wp:positionV>
            <wp:extent cx="19685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-948055</wp:posOffset>
            </wp:positionV>
            <wp:extent cx="18859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-948055</wp:posOffset>
            </wp:positionV>
            <wp:extent cx="1885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-948055</wp:posOffset>
            </wp:positionV>
            <wp:extent cx="19685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-948055</wp:posOffset>
            </wp:positionV>
            <wp:extent cx="19685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-159385</wp:posOffset>
            </wp:positionV>
            <wp:extent cx="18859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-159385</wp:posOffset>
            </wp:positionV>
            <wp:extent cx="18859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19685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19685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6850" cy="571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90" w:lineRule="exact"/>
        <w:rPr>
          <w:sz w:val="20"/>
          <w:szCs w:val="20"/>
          <w:color w:val="auto"/>
        </w:rPr>
      </w:pPr>
    </w:p>
    <w:p>
      <w:pPr>
        <w:ind w:right="80" w:firstLine="509"/>
        <w:spacing w:after="0" w:line="254" w:lineRule="auto"/>
        <w:rPr>
          <w:sz w:val="20"/>
          <w:szCs w:val="20"/>
          <w:color w:val="auto"/>
        </w:rPr>
      </w:pPr>
      <w:r>
        <w:rPr>
          <w:rFonts w:ascii="Arial" w:cs="Arial" w:eastAsia="Arial" w:hAnsi="Arial"/>
          <w:sz w:val="16"/>
          <w:szCs w:val="16"/>
          <w:color w:val="auto"/>
        </w:rPr>
        <w:t>Net revenue was $420.5 million for the three months ended December 25, 2021, compared with $357.6 million for the three months ended December 26, 2020, an increase of $62.9 million, or 17.6%. Of this net revenue, $261.5 million, or 62.2%, was from IoT product applications, $82.7 million, or 19.7%, was from PC product applications, and $76.3 million, or 18.1%, was from Mobile product applications. The increase in net revenue for the three months ended December 25, 2021 was primarily attributable to an increase in net revenue from IoT product applications, partially offset by a decrease in net revenue from PC and Mobile product applications. Net revenue from IoT product applications increased as a result of an increase in units sold (which increased 11.1%) as well as higher average selling prices (which increased 44.3%) due to product sales mix. Net revenue from PC product applications decreased due to a decline in units sold related to certain end customers' supply chain constraints (which decreased 24.8%) and partially offset by higher average selling prices (which increased 20.4%) due to our product sales mix. Net revenue from Mobile product applications decreased due to a decline in units sold to one or more mobile customers and partially offset by slightly higher average selling prices.</w:t>
      </w:r>
    </w:p>
    <w:p>
      <w:pPr>
        <w:spacing w:after="0" w:line="57" w:lineRule="exact"/>
        <w:rPr>
          <w:sz w:val="20"/>
          <w:szCs w:val="20"/>
          <w:color w:val="auto"/>
        </w:rPr>
      </w:pPr>
    </w:p>
    <w:p>
      <w:pPr>
        <w:ind w:right="160" w:firstLine="509"/>
        <w:spacing w:after="0" w:line="253" w:lineRule="auto"/>
        <w:rPr>
          <w:sz w:val="20"/>
          <w:szCs w:val="20"/>
          <w:color w:val="auto"/>
        </w:rPr>
      </w:pPr>
      <w:r>
        <w:rPr>
          <w:rFonts w:ascii="Arial" w:cs="Arial" w:eastAsia="Arial" w:hAnsi="Arial"/>
          <w:sz w:val="16"/>
          <w:szCs w:val="16"/>
          <w:color w:val="auto"/>
        </w:rPr>
        <w:t>Net revenue was $793.2 million for the six months ended December 25, 2021, compared with $686.0 million for the six months ended December 26, 2020, an increase of $107.2 million, or 15.6%. Of this net revenue, $467.2 million, or 58.9%, was from IoT product applications, $171.3 million, or 21.6%, was from PC product applications, and $154.7 million, or 19.5%, was from Mobile product applications. The increase in net revenue for the six months ended December 25, 2021 was primarily attributable to an increase in net revenue from IoT product applications, partially offset by a decrease in net revenue from PC and Mobile product applications. Net revenue from IoT product applications increased as a result of an increase in units sold (which increased 19.6%) as well as higher average selling prices (which increased 37.7%) due to product sales mix, both of which reflect only a partial quarter impact in the September 2020 quarter of our acquisitions of DisplayLink and the Broadcom wireless business. Net revenue from PC product applications decreased due to a decline in units sold (which decreased 12.8%) partially offset by higher average selling prices (which increased 14.1%) due to our product sales mix. Net revenue from Mobile product applications decreased due to a decline in units sold (which decreased 30.7%) for Mobile product applications and lower average selling prices (which decreased 3.1%) due to our product sales mix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Gross margin as a percentage of net revenue was 53.5%, or $225.1 million, for the three months ended December 25, 2021, compared with 42.1%, or $150.4 million, for the three months ended December 26, 2020. The 1,140 basis point increase in gross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ind w:right="300"/>
        <w:spacing w:after="0" w:line="246" w:lineRule="auto"/>
        <w:rPr>
          <w:sz w:val="20"/>
          <w:szCs w:val="20"/>
          <w:color w:val="auto"/>
        </w:rPr>
      </w:pPr>
      <w:r>
        <w:rPr>
          <w:rFonts w:ascii="Arial" w:cs="Arial" w:eastAsia="Arial" w:hAnsi="Arial"/>
          <w:sz w:val="18"/>
          <w:szCs w:val="18"/>
          <w:color w:val="auto"/>
        </w:rPr>
        <w:t>margin for the three months ended December 25, 2021, was due to an overall favorable product mix and an increase in average sales prices as well as a $7.8 million decrease in inventory fair value adjustments.</w:t>
      </w:r>
    </w:p>
    <w:p>
      <w:pPr>
        <w:spacing w:after="0" w:line="62"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Gross margin as a percentage of net revenue was 53.4% or $423.2 million, for the six months ended December 25, 2021, compared with 41.5%, or $284.9 million, for the six months ended December 26, 2020. The 1,190 basis point increase in gross margin for the six months ended December 25, 2021, was due to an overall favorable product mix driven and an increase in average sales prices as well as a $17.6 million decrease in inventory fair value adjustments.</w:t>
      </w:r>
    </w:p>
    <w:p>
      <w:pPr>
        <w:spacing w:after="0" w:line="175"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80" w:firstLine="509"/>
        <w:spacing w:after="0" w:line="26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$11.6 million to $88.9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25, 2021, compared with $77.3 million for the three months ended December 26, 2020. The increase in research and development expenses primarily reflected a $9.0 million increase in share-based compensation costs primarily related to an increased stock price which impacted the value of the new grants and the phantom stock units accrual and an increase in payroll and variable compensation costs of $3.0 million, which includes a partial month of costs associated with research and development headcount from our acquisition of DSPG, which closed on December 2, 2021.</w:t>
      </w:r>
    </w:p>
    <w:p>
      <w:pPr>
        <w:spacing w:after="0" w:line="53"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Research and development expenses increased $16.8 million to $175.0 million for the six months ended December 25, 2021, compared with $158.2 million for the six months ended December 26, 2020. The increase in research and development expenses primarily reflected a $18.9 million increase in share-based compensation costs primarily related to an increased stock price which impacted the value of the new grants and the phantom stock units accrual, an increase in payroll and variable compensation costs of $2.5 million, which includes a partial month of costs associated with research and development headcount from our acquisition of DSPG, which closed on December 2, 2021, partially offset by a decrease in software license and maintenance fees of $4.1 million.</w:t>
      </w:r>
    </w:p>
    <w:p>
      <w:pPr>
        <w:spacing w:after="0" w:line="18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increased $4.8 million to $44.3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December 25, 2021, compared with $39.5 million for the three months ended December 26, 2020. The increase in selling, general, and administrative expenses primarily reflected a $3.8 million increase in share-based compensation costs primarily related to an increased stock price which impacted the value of the new grants and the phantom stock units accrual and an increase in payroll and variable compensation costs of $1.3 million, which includes a partial month of costs associated with additional selling, general, and administrative headcount from our acquisition of DSPG, which closed on December 2, 2021, partially offset by a decrease in foreign currency transaction gains and losses of $1.3 million.</w:t>
      </w:r>
    </w:p>
    <w:p>
      <w:pPr>
        <w:spacing w:after="0" w:line="161"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6"/>
          <w:szCs w:val="16"/>
          <w:color w:val="auto"/>
        </w:rPr>
        <w:t>Selling, general, and administrative expenses increased $11.1 million to $85.9 million for the six months ended December 25, 2021, compared with $74.8 million for the six months ended December 26, 2020. The increase in selling, general, and administrative expenses primarily reflected a $7.9 million increase in share-based compensation costs primarily related to an increased stock price which impacted the value of the new grants and the phantom stock units accrual and an increase in payroll and variable compensation costs of $3.1 million, which includes a partial month of costs associated with additional selling, general, and administrative headcount from our acquisition of DSPG, which closed on December 2, 2021.</w:t>
      </w:r>
    </w:p>
    <w:p>
      <w:pPr>
        <w:spacing w:after="0" w:line="15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to the condensed consolidated financial statements contained elsewhere in this Report.</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$5.1 million in the three months ended December 25, 2021 are primarily related to activities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gain synergies from our recent acquisition of DSPG. Restructuring activities commenced in fiscal 2022 and are expected to be complete by the end of the fourth quarter of fiscal 2022. For further discussion of restructuring costs, see Note 16 Restructuring Activities to the condensed consolidated financial statements contained elsewhere in this Report.</w:t>
      </w:r>
    </w:p>
    <w:p>
      <w:pPr>
        <w:spacing w:after="0" w:line="18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Restructuring costs of $6.5 million in the six months ended December 25, 2021 reflect severance costs for restructuring of our operations to reduce ongoing operating costs and for activities intended to gain synergies from our recent acquisition of DSPG. Restructuring activities commenced in fiscal 2022 and are expected to be complete by the end of the fourth quarter of fiscal 2022.</w:t>
      </w:r>
    </w:p>
    <w:p>
      <w:pPr>
        <w:spacing w:after="0" w:line="182"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interest on our debt, amortization of debt discount and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partially offset by interest income earned on our cash, cash equivalents and short-term investments.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31" w:name="page32"/>
    <w:bookmarkEnd w:id="31"/>
    <w:p>
      <w:pPr>
        <w:ind w:right="220"/>
        <w:spacing w:after="0" w:line="261" w:lineRule="auto"/>
        <w:rPr>
          <w:sz w:val="20"/>
          <w:szCs w:val="20"/>
          <w:color w:val="auto"/>
        </w:rPr>
      </w:pPr>
      <w:r>
        <w:rPr>
          <w:rFonts w:ascii="Arial" w:cs="Arial" w:eastAsia="Arial" w:hAnsi="Arial"/>
          <w:sz w:val="18"/>
          <w:szCs w:val="18"/>
          <w:color w:val="auto"/>
        </w:rPr>
        <w:t>Interest and other expense, net decreased by $0.3 million to $5.7 million for the three months ended December 25, 2021, as compared to $6.0 million for the three months ended December 26, 2020.</w:t>
      </w:r>
    </w:p>
    <w:p>
      <w:pPr>
        <w:spacing w:after="0" w:line="17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Interest and other expense, net, increased $0.9 million to $11.6 million for the six months ended December 25, 2021, as compared to $10.7 million for the six months ended December 26, 2020. The increase in interest and other expense, net, is primarily due to interest and amortization of debt issuance costs on the $400.0 million principal amount of Senior Notes issued in March 2021 and the $600 million incremental term loan facility executed in December 2021, partially offset by lower interest and amortization of debt issuance costs and discount on the convertible notes which were partially redeemed in the fourth quarter of fiscal 2021 and fully redeemed in the first quarter of fiscal 2022.</w:t>
      </w:r>
    </w:p>
    <w:p>
      <w:pPr>
        <w:spacing w:after="0" w:line="174" w:lineRule="exact"/>
        <w:rPr>
          <w:sz w:val="20"/>
          <w:szCs w:val="20"/>
          <w:color w:val="auto"/>
        </w:rPr>
      </w:pPr>
    </w:p>
    <w:p>
      <w:pPr>
        <w:ind w:right="680" w:firstLine="509"/>
        <w:spacing w:after="0" w:line="324" w:lineRule="auto"/>
        <w:rPr>
          <w:sz w:val="20"/>
          <w:szCs w:val="20"/>
          <w:color w:val="auto"/>
        </w:rPr>
      </w:pPr>
      <w:r>
        <w:rPr>
          <w:rFonts w:ascii="Arial" w:cs="Arial" w:eastAsia="Arial" w:hAnsi="Arial"/>
          <w:sz w:val="16"/>
          <w:szCs w:val="16"/>
          <w:i w:val="1"/>
          <w:iCs w:val="1"/>
          <w:color w:val="auto"/>
        </w:rPr>
        <w:t xml:space="preserve">Loss on redemption of convertible notes. </w:t>
      </w:r>
      <w:r>
        <w:rPr>
          <w:rFonts w:ascii="Arial" w:cs="Arial" w:eastAsia="Arial" w:hAnsi="Arial"/>
          <w:sz w:val="16"/>
          <w:szCs w:val="16"/>
          <w:color w:val="auto"/>
        </w:rPr>
        <w:t>Loss on redemption of convertible notes, which began in the fourth quarter of fiscal 2021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in the first quarter of fiscal 2022, represents the difference between fair value and the carrying value as of the redemption date.</w:t>
      </w:r>
    </w:p>
    <w:p>
      <w:pPr>
        <w:spacing w:after="0" w:line="12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We account for income taxes under the asset and liability method. The provision for income taxes recorded in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6"/>
          <w:szCs w:val="16"/>
          <w:color w:val="auto"/>
        </w:rPr>
        <w:t>The provision for income taxes of $2.0 million and $2.4 million for the three months ended December 25, 2021 and December 26, 2020, respectively, represented estimated federal, foreign, and state income taxes. The effective tax rate for the three months ended December 25, 2021 diverged from the combined U.S. federal and state statutory tax rate primarily because of the benefit of income taxed at lower rates, research credits and foreign tax credits, partially offset by foreign withholding taxes, non-deductible officer compensation, non-deductible stock-based compensation, and global intangible low-taxed income, or GILTI. The effective tax rate for the three months ended December 26, 2020, diverged from the combined U.S. federal and state</w:t>
      </w:r>
    </w:p>
    <w:p>
      <w:pPr>
        <w:spacing w:after="0" w:line="1"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color w:val="auto"/>
        </w:rPr>
        <w:t>statutory tax rate, primarily because of income taxed at lower rates, the benefit of research credits and foreign tax credits, partially offset by foreign withholding taxes, non-deductible stock-based compensation and GILTI.</w:t>
      </w:r>
    </w:p>
    <w:p>
      <w:pPr>
        <w:spacing w:after="0" w:line="171" w:lineRule="exact"/>
        <w:rPr>
          <w:sz w:val="20"/>
          <w:szCs w:val="20"/>
          <w:color w:val="auto"/>
        </w:rPr>
      </w:pPr>
    </w:p>
    <w:p>
      <w:pPr>
        <w:ind w:right="40" w:firstLine="509"/>
        <w:spacing w:after="0" w:line="260" w:lineRule="auto"/>
        <w:rPr>
          <w:sz w:val="20"/>
          <w:szCs w:val="20"/>
          <w:color w:val="auto"/>
        </w:rPr>
      </w:pPr>
      <w:r>
        <w:rPr>
          <w:rFonts w:ascii="Arial" w:cs="Arial" w:eastAsia="Arial" w:hAnsi="Arial"/>
          <w:sz w:val="16"/>
          <w:szCs w:val="16"/>
          <w:color w:val="auto"/>
        </w:rPr>
        <w:t>The provision for income taxes of $7.9 million and $6.0 million for the six months ended December 25, 2021 and December 26, 2020, respectively, represented estimated federal, foreign, and state income taxes. The effective tax rate for the six months ended December 25, 2021 diverged from the combined U.S. federal and state statutory tax rate primarily because of the benefit of income taxed at lower rates, research credits and foreign tax credits, partially offset by foreign withholding taxes, non-deductible officer compensation, non-deductible stock-based compensation, and GILTI. The effective tax</w:t>
      </w:r>
    </w:p>
    <w:p>
      <w:pPr>
        <w:spacing w:after="0" w:line="234" w:lineRule="auto"/>
        <w:rPr>
          <w:sz w:val="20"/>
          <w:szCs w:val="20"/>
          <w:color w:val="auto"/>
        </w:rPr>
      </w:pPr>
      <w:r>
        <w:rPr>
          <w:rFonts w:ascii="Arial" w:cs="Arial" w:eastAsia="Arial" w:hAnsi="Arial"/>
          <w:sz w:val="18"/>
          <w:szCs w:val="18"/>
          <w:color w:val="auto"/>
        </w:rPr>
        <w:t>rate for the six months ended December 26, 2020, diverged from the combined U.S. federal and state statutory tax rate, primarily because of the benefit of income taxed at lower rates, research credits and foreign tax credits, partially offset by foreign withholding taxes, non-deductible stock-based compensation and GILTI.</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Our cash and cash equivalents were $502.8 million as of December 25, 2021, compared with $836.3 million as of June 26, 2021, representing a decrease of $333.5 million. The decrease primarily reflected $505.6 million used for the payment for the redemption of convertible notes, net cash paid to acquire DSPG of $512.2 million, $63.5 million used for payroll taxes on the delivery of the underlying shares for Restricted Stock Units, or RSUs, Market Stock Units, or MSUs and Performance Stock Units, or PSUs, $13.2 million for the purchase of property and equipment, offset by proceeds from the term loan facility of $588.8, net of debt issuance costs paid of $11.2 million, and $180.7 million of net cash provided by operating activities.</w:t>
      </w:r>
    </w:p>
    <w:p>
      <w:pPr>
        <w:spacing w:after="0" w:line="5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December 25, 2021, $399.6 million of cash, cash equivalents and short-term investments was held by our foreign subsidiaries. If these funds are needed for our operations in the United States, we would be able to repatriate these funds without impacting our tax provision.</w:t>
      </w:r>
    </w:p>
    <w:p>
      <w:pPr>
        <w:spacing w:after="0" w:line="188" w:lineRule="exact"/>
        <w:rPr>
          <w:sz w:val="20"/>
          <w:szCs w:val="20"/>
          <w:color w:val="auto"/>
        </w:rPr>
      </w:pPr>
    </w:p>
    <w:p>
      <w:pPr>
        <w:ind w:right="200" w:firstLine="509"/>
        <w:spacing w:after="0"/>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activities during the six months ended December 25, 2021 generated $180.7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$77.9 million net cash generated during the six months ended December 26, 2020. For the six months ended December 25, 2021, the primary operating activities were adjustments for non-cash charges of $123.8 million and a net change in operating assets and liabilities of $52.8 million. The net change in operating assets and liabilities was primarily attributable to a $70.9 million increase in accounts receivable, a $28.7 million increase in inventories, $29.8 million increase in accounts payable, and an increase of $55.1 million in other accrued liabilities, offset by a decrease of $18.9 million increase in accrued compensation.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2" w:name="page33"/>
    <w:bookmarkEnd w:id="32"/>
    <w:p>
      <w:pPr>
        <w:ind w:right="40"/>
        <w:spacing w:after="0" w:line="243" w:lineRule="auto"/>
        <w:rPr>
          <w:sz w:val="20"/>
          <w:szCs w:val="20"/>
          <w:color w:val="auto"/>
        </w:rPr>
      </w:pPr>
      <w:r>
        <w:rPr>
          <w:rFonts w:ascii="Arial" w:cs="Arial" w:eastAsia="Arial" w:hAnsi="Arial"/>
          <w:sz w:val="18"/>
          <w:szCs w:val="18"/>
          <w:color w:val="auto"/>
        </w:rPr>
        <w:t>Operating activities during the six months ended December 26, 2020 consisted of adjustments for non-cash charges of $75.2 million and a net change in operating assets and liabilities of $44.1 million. The net change in operating assets and liabilities was primarily attributable to a $46.9 million increase in accounts receivable, net, a $24.6 million decrease in accrued compensation, $15.3 million decrease in income taxes payable and a $11.9 million decrease in other accrued liabilities, partially offset by a $62.0 million decrease in inventories.</w:t>
      </w:r>
    </w:p>
    <w:p>
      <w:pPr>
        <w:spacing w:after="0" w:line="18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During the six months ended December 25, 2021, our days sales outstanding increased slightly from 63 days to 67 days. Our annual inventory turns decreased from seven to six over the same time period.</w:t>
      </w:r>
    </w:p>
    <w:p>
      <w:pPr>
        <w:spacing w:after="0" w:line="171"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six months ended December 25, 2021 consisted of $524.8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$518.0 million net cash used during the six months ended December 26, 2020. Net cash used in investing activities for the six months ended December 25, 2021 consisted of $512.2 million for the acquisition of DSPG and $13.2 million for purchases of property and equipment. Cash used in investing activities during the six months ended December 26, 2020 consisted of $623.0 million used for acquisition of businesses and $12.2 million for purchases of property and equipment offset by $88.0 million in proceeds from maturities of investments and $34.2 million of proceeds from sale of audio technology assets.</w:t>
      </w:r>
    </w:p>
    <w:p>
      <w:pPr>
        <w:spacing w:after="0" w:line="189"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provided by financing activities for the six months ended December 25, 2021 was $11.7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$14.6 million used in financing activities for the six months ended December 26, 2020. Net cash provided by financing activities for the six months ended December 25, 2021 consisted of proceeds received from the term loan facility of $588.8 million (net of debt issuance costs paid of $11.2 million) and $8.6 million proceeds from issuance of shares, offset by a $505.6 million payment for redemption of convertible notes, $63.5 million used for payroll taxes on the delivery of the underlying shares for RSUs, MSUs and PSUs, and $16.6 million used for refundable deposit paid to vendor. Net cash used in financing activities for the six months ended December 26, 2020 consisted of $11.2 million of proceeds from issuance of shares, offset by $25.8 million used for payroll taxes on the delivery of the underlying shares for RSUs, MSUs and PSUs.</w:t>
      </w:r>
    </w:p>
    <w:p>
      <w:pPr>
        <w:spacing w:after="0" w:line="180"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December 25, 2021, our board has cumulatively authorized $1.8 billion for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December 25, 2021, we purchased 31,749,195 shares of our common stock in the open market for an aggregate cost of $1.2 billion. During the six months ended December 25, 2021, we did not repurchase any shares of our common stock. As of December 25, 2021, the remaining available authorization under our common stock repurchase program was $577.4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Debt</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3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to, but excluding, the redemption date:</w:t>
      </w:r>
    </w:p>
    <w:p>
      <w:pPr>
        <w:spacing w:after="0" w:line="157" w:lineRule="exact"/>
        <w:rPr>
          <w:sz w:val="20"/>
          <w:szCs w:val="20"/>
          <w:color w:val="auto"/>
        </w:rPr>
      </w:pPr>
    </w:p>
    <w:tbl>
      <w:tblPr>
        <w:tblLayout w:type="fixed"/>
        <w:tblInd w:w="2260" w:type="dxa"/>
        <w:tblCellMar>
          <w:top w:w="0" w:type="dxa"/>
          <w:left w:w="0" w:type="dxa"/>
          <w:bottom w:w="0" w:type="dxa"/>
          <w:right w:w="0" w:type="dxa"/>
        </w:tblCellMar>
      </w:tblPr>
      <w:tr>
        <w:trPr>
          <w:trHeight w:val="217"/>
        </w:trPr>
        <w:tc>
          <w:tcPr>
            <w:tcW w:w="5020" w:type="dxa"/>
            <w:vAlign w:val="bottom"/>
          </w:tcPr>
          <w:p>
            <w:pPr>
              <w:ind w:left="234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18"/>
                <w:szCs w:val="18"/>
                <w:color w:val="auto"/>
              </w:rPr>
            </w:pPr>
          </w:p>
        </w:tc>
        <w:tc>
          <w:tcPr>
            <w:tcW w:w="1620" w:type="dxa"/>
            <w:vAlign w:val="bottom"/>
            <w:gridSpan w:val="2"/>
          </w:tcPr>
          <w:p>
            <w:pPr>
              <w:jc w:val="right"/>
              <w:ind w:right="670"/>
              <w:spacing w:after="0"/>
              <w:rPr>
                <w:sz w:val="20"/>
                <w:szCs w:val="20"/>
                <w:color w:val="auto"/>
              </w:rPr>
            </w:pPr>
            <w:r>
              <w:rPr>
                <w:rFonts w:ascii="Arial" w:cs="Arial" w:eastAsia="Arial" w:hAnsi="Arial"/>
                <w:sz w:val="18"/>
                <w:szCs w:val="18"/>
                <w:color w:val="auto"/>
              </w:rPr>
              <w:t>Price</w:t>
            </w:r>
          </w:p>
        </w:tc>
      </w:tr>
      <w:tr>
        <w:trPr>
          <w:trHeight w:val="196"/>
        </w:trPr>
        <w:tc>
          <w:tcPr>
            <w:tcW w:w="50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7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101 %</w:t>
            </w: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 and thereafter</w:t>
            </w:r>
          </w:p>
        </w:tc>
        <w:tc>
          <w:tcPr>
            <w:tcW w:w="172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100 %</w:t>
            </w:r>
          </w:p>
        </w:tc>
      </w:tr>
    </w:tbl>
    <w:p>
      <w:pPr>
        <w:spacing w:after="0" w:line="9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firstLine="509"/>
        <w:spacing w:after="0" w:line="254"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Bank Credit Facility.</w:t>
      </w:r>
    </w:p>
    <w:p>
      <w:pPr>
        <w:spacing w:after="0" w:line="21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On March 11, 2021, we entered into a Second Amended and Restated Credit Agreement, or the Credit Agreement, with the lenders party thereto and Wells Fargo Bank, National Association, as administrative agent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December 25, 2021, there was no balance outstanding under the revolving credit facility.</w:t>
      </w:r>
    </w:p>
    <w:p>
      <w:pPr>
        <w:spacing w:after="0" w:line="19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4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7"/>
          <w:szCs w:val="17"/>
          <w:color w:val="auto"/>
        </w:rPr>
        <w:t>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47"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December 25, 2021, we remain in compliance with the restrictive covenants.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21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our acquisition of DSPG.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189"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spacing w:after="0" w:line="1" w:lineRule="exact"/>
        <w:rPr>
          <w:sz w:val="20"/>
          <w:szCs w:val="20"/>
          <w:color w:val="auto"/>
        </w:rPr>
      </w:pPr>
    </w:p>
    <w:p>
      <w:pPr>
        <w:ind w:right="80" w:firstLine="8"/>
        <w:spacing w:after="0" w:line="239"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189"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16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i w:val="1"/>
          <w:iCs w:val="1"/>
          <w:color w:val="auto"/>
        </w:rPr>
        <w:t xml:space="preserve">$100 Million Shelf Registration. </w:t>
      </w:r>
      <w:r>
        <w:rPr>
          <w:rFonts w:ascii="Arial" w:cs="Arial" w:eastAsia="Arial" w:hAnsi="Arial"/>
          <w:sz w:val="18"/>
          <w:szCs w:val="18"/>
          <w:color w:val="auto"/>
        </w:rPr>
        <w:t>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182"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i w:val="1"/>
          <w:iCs w:val="1"/>
          <w:color w:val="auto"/>
        </w:rPr>
        <w:t xml:space="preserve">Working Capital Needs. </w:t>
      </w:r>
      <w:r>
        <w:rPr>
          <w:rFonts w:ascii="Arial" w:cs="Arial" w:eastAsia="Arial" w:hAnsi="Arial"/>
          <w:sz w:val="16"/>
          <w:szCs w:val="16"/>
          <w:color w:val="auto"/>
        </w:rPr>
        <w:t>We believe our existing cash and cash equivalents, anticipated cash flows from operating activities, anticipated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from financing activities, and available credit under our revolving credit facility, will be sufficient to meet our working capital and other cash requirements, including acquisitions, and our debt service obligations, for at least the next 12 months. Our future capital requirements will depend on many factors, including our revenue, the effectiveness of vaccines on variants of COVID-19,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67" w:lineRule="exact"/>
        <w:rPr>
          <w:sz w:val="20"/>
          <w:szCs w:val="20"/>
          <w:color w:val="auto"/>
        </w:rPr>
      </w:pPr>
    </w:p>
    <w:p>
      <w:pPr>
        <w:jc w:val="both"/>
        <w:ind w:right="160" w:firstLine="509"/>
        <w:spacing w:after="0" w:line="294" w:lineRule="auto"/>
        <w:rPr>
          <w:sz w:val="20"/>
          <w:szCs w:val="20"/>
          <w:color w:val="auto"/>
        </w:rPr>
      </w:pPr>
      <w:r>
        <w:rPr>
          <w:rFonts w:ascii="Arial" w:cs="Arial" w:eastAsia="Arial" w:hAnsi="Arial"/>
          <w:sz w:val="16"/>
          <w:szCs w:val="16"/>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pay certain state and foreign taxes to repatriate these funds, which could adversely impact our financial position.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December 25, 2021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7"/>
              </w:rPr>
              <w:t>Less than</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9"/>
              </w:rPr>
              <w:t>Thereafter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Long-term debt </w:t>
            </w:r>
            <w:r>
              <w:rPr>
                <w:rFonts w:ascii="Arial" w:cs="Arial" w:eastAsia="Arial" w:hAnsi="Arial"/>
                <w:sz w:val="22"/>
                <w:szCs w:val="22"/>
                <w:color w:val="auto"/>
                <w:vertAlign w:val="superscript"/>
              </w:rPr>
              <w:t>(1)</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1,120.0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Leases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Purchase obligations and other commitments </w:t>
            </w:r>
            <w:r>
              <w:rPr>
                <w:rFonts w:ascii="Arial" w:cs="Arial" w:eastAsia="Arial" w:hAnsi="Arial"/>
                <w:sz w:val="23"/>
                <w:szCs w:val="23"/>
                <w:color w:val="auto"/>
                <w:vertAlign w:val="superscript"/>
              </w:rPr>
              <w:t>(2)</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gridSpan w:val="2"/>
          </w:tcPr>
          <w:p>
            <w:pPr>
              <w:ind w:left="20"/>
              <w:spacing w:after="0" w:line="202" w:lineRule="exact"/>
              <w:rPr>
                <w:sz w:val="20"/>
                <w:szCs w:val="20"/>
                <w:color w:val="auto"/>
              </w:rPr>
            </w:pPr>
            <w:r>
              <w:rPr>
                <w:rFonts w:ascii="Arial" w:cs="Arial" w:eastAsia="Arial" w:hAnsi="Arial"/>
                <w:sz w:val="17"/>
                <w:szCs w:val="17"/>
                <w:color w:val="auto"/>
              </w:rPr>
              <w:t xml:space="preserve">Transition tax payable </w:t>
            </w:r>
            <w:r>
              <w:rPr>
                <w:rFonts w:ascii="Arial" w:cs="Arial" w:eastAsia="Arial" w:hAnsi="Arial"/>
                <w:sz w:val="23"/>
                <w:szCs w:val="23"/>
                <w:color w:val="auto"/>
                <w:vertAlign w:val="superscript"/>
              </w:rPr>
              <w:t>(3)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1,362.0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90.5</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176.0</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1,035.2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514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-162560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-162560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431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-162560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431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-162560</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36" w:lineRule="exact"/>
        <w:rPr>
          <w:rFonts w:ascii="Arial" w:cs="Arial" w:eastAsia="Arial" w:hAnsi="Arial"/>
          <w:sz w:val="18"/>
          <w:szCs w:val="18"/>
          <w:color w:val="auto"/>
        </w:rPr>
      </w:pPr>
    </w:p>
    <w:p>
      <w:pPr>
        <w:ind w:left="520" w:right="48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1" w:lineRule="exact"/>
        <w:rPr>
          <w:rFonts w:ascii="Arial" w:cs="Arial" w:eastAsia="Arial" w:hAnsi="Arial"/>
          <w:sz w:val="18"/>
          <w:szCs w:val="18"/>
          <w:color w:val="auto"/>
        </w:rPr>
      </w:pPr>
    </w:p>
    <w:p>
      <w:pPr>
        <w:ind w:left="520" w:right="80" w:hanging="512"/>
        <w:spacing w:after="0" w:line="26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2"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$31.6 million. As of December 25, 2021, we were unable to make a reasonably reliable estimate of when cash settlement with a taxing authority may occur in connection with our gross unrecognized tax benefit.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320" w:firstLine="509"/>
        <w:spacing w:after="0" w:line="291" w:lineRule="auto"/>
        <w:rPr>
          <w:sz w:val="20"/>
          <w:szCs w:val="20"/>
          <w:color w:val="auto"/>
        </w:rPr>
      </w:pPr>
      <w:r>
        <w:rPr>
          <w:rFonts w:ascii="Arial" w:cs="Arial" w:eastAsia="Arial" w:hAnsi="Arial"/>
          <w:sz w:val="17"/>
          <w:szCs w:val="17"/>
          <w:color w:val="auto"/>
        </w:rPr>
        <w:t>As of December 25, 2021, our market risk related to interest rates on our cash and cash equivalents, and foreign currency exchange risks has not changed materially from the risks disclosed in Item 7A of our Annual Report on Form 10-K for the fiscal year ended June 26,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2"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Due to the COVID-19 pandemic, a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6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On December 2, 2021, we completed the acquisition of DSPG. Under guidelines established by the SEC,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DSPG from our evaluation for the period ended December 25, 2021. We are in the process of integrating DSPG into our system of internal control over financial reporting.</w:t>
      </w:r>
    </w:p>
    <w:p>
      <w:pPr>
        <w:spacing w:after="0" w:line="172"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Except as noted above, there were no changes in our internal control over financial reporting (as defined in Rules 13a-15(f) and 15d-15(f) under the Exchange Act) during the period ended December 25, 2021, that have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252525"/>
        </w:rPr>
        <w:t xml:space="preserve">We refer you to the Company’s risk factors set forth in Part I, Item 1A, “Risk Factors,” of our Annual Report on Form 10-K for the fiscal year ended June 26, 2021 for material risks that may affect our business. </w:t>
      </w:r>
      <w:r>
        <w:rPr>
          <w:rFonts w:ascii="Arial" w:cs="Arial" w:eastAsia="Arial" w:hAnsi="Arial"/>
          <w:sz w:val="17"/>
          <w:szCs w:val="17"/>
          <w:color w:val="000000"/>
        </w:rPr>
        <w:t>There have been no material changes from the risk factors previously disclosed.</w:t>
      </w:r>
    </w:p>
    <w:p>
      <w:pPr>
        <w:spacing w:after="0" w:line="278" w:lineRule="exact"/>
        <w:rPr>
          <w:sz w:val="20"/>
          <w:szCs w:val="20"/>
          <w:color w:val="auto"/>
        </w:rPr>
      </w:pPr>
    </w:p>
    <w:p>
      <w:pPr>
        <w:ind w:right="4120"/>
        <w:spacing w:after="0" w:line="362"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Our Board of Directors has cumulatively authorized $1.8 billion for our common stock repurchase program, which expires at the end of July 2025. As of December 25, 2021, the remaining amount authorized for the repurchase of our common stock was $577.4 million. During the three-month period ended December 25, 2021, we did not repurchase any shares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10.1(a)</w:t>
            </w:r>
          </w:p>
        </w:tc>
        <w:tc>
          <w:tcPr>
            <w:tcW w:w="10040" w:type="dxa"/>
            <w:vAlign w:val="bottom"/>
            <w:gridSpan w:val="11"/>
          </w:tcPr>
          <w:p>
            <w:pPr>
              <w:spacing w:after="0"/>
              <w:rPr>
                <w:rFonts w:ascii="Arial" w:cs="Arial" w:eastAsia="Arial" w:hAnsi="Arial"/>
                <w:sz w:val="18"/>
                <w:szCs w:val="18"/>
                <w:color w:val="0000FF"/>
                <w:w w:val="91"/>
              </w:rPr>
            </w:pPr>
            <w:hyperlink r:id="rId297">
              <w:r>
                <w:rPr>
                  <w:rFonts w:ascii="Arial" w:cs="Arial" w:eastAsia="Arial" w:hAnsi="Arial"/>
                  <w:sz w:val="18"/>
                  <w:szCs w:val="18"/>
                  <w:color w:val="0000FF"/>
                  <w:w w:val="91"/>
                </w:rPr>
                <w:t>Purchase and Sale Agreement with Escrow Instructions, dated November 24, 2021, by and between Synaptics Incorporated and SBC &amp; D</w:t>
              </w:r>
            </w:hyperlink>
          </w:p>
        </w:tc>
      </w:tr>
      <w:tr>
        <w:trPr>
          <w:trHeight w:val="156"/>
        </w:trPr>
        <w:tc>
          <w:tcPr>
            <w:tcW w:w="1160" w:type="dxa"/>
            <w:vAlign w:val="bottom"/>
          </w:tcPr>
          <w:p>
            <w:pPr>
              <w:spacing w:after="0"/>
              <w:rPr>
                <w:sz w:val="13"/>
                <w:szCs w:val="13"/>
                <w:color w:val="auto"/>
              </w:rPr>
            </w:pPr>
          </w:p>
        </w:tc>
        <w:tc>
          <w:tcPr>
            <w:tcW w:w="996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297">
              <w:r>
                <w:rPr>
                  <w:rFonts w:ascii="Arial" w:cs="Arial" w:eastAsia="Arial" w:hAnsi="Arial"/>
                  <w:sz w:val="18"/>
                  <w:szCs w:val="18"/>
                  <w:color w:val="0000FF"/>
                  <w:w w:val="91"/>
                </w:rPr>
                <w:t>Co., Inc. d/b/a South Bay Development Company (incorporated by reference to the registrant’s Current Report on Form 8-K as filed with</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99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the SEC on December 1, 2021)</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10.1(b)*</w:t>
            </w:r>
          </w:p>
        </w:tc>
        <w:tc>
          <w:tcPr>
            <w:tcW w:w="10040" w:type="dxa"/>
            <w:vAlign w:val="bottom"/>
            <w:gridSpan w:val="11"/>
          </w:tcPr>
          <w:p>
            <w:pPr>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First Amendment to Purchase and Sale agreement with Escrow Instructions, dated December 20, 2021, by and between Synaptics</w:t>
              </w:r>
            </w:hyperlink>
          </w:p>
        </w:tc>
      </w:tr>
      <w:tr>
        <w:trPr>
          <w:trHeight w:val="155"/>
        </w:trPr>
        <w:tc>
          <w:tcPr>
            <w:tcW w:w="116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Incorporated and SBC &amp; D Co., Inc. d/b/a South Bay Development Company</w:t>
              </w:r>
            </w:hyperlink>
          </w:p>
        </w:tc>
        <w:tc>
          <w:tcPr>
            <w:tcW w:w="20" w:type="dxa"/>
            <w:vAlign w:val="bottom"/>
            <w:tcBorders>
              <w:top w:val="single" w:sz="8" w:color="0000FF"/>
              <w:bottom w:val="single" w:sz="8" w:color="0000EE"/>
            </w:tcBorders>
          </w:tcPr>
          <w:p>
            <w:pPr>
              <w:spacing w:after="0"/>
              <w:rPr>
                <w:sz w:val="13"/>
                <w:szCs w:val="13"/>
                <w:color w:val="auto"/>
              </w:rPr>
            </w:pPr>
          </w:p>
        </w:tc>
        <w:tc>
          <w:tcPr>
            <w:tcW w:w="3760" w:type="dxa"/>
            <w:vAlign w:val="bottom"/>
            <w:tcBorders>
              <w:top w:val="single" w:sz="8" w:color="0000FF"/>
            </w:tcBorders>
          </w:tcPr>
          <w:p>
            <w:pPr>
              <w:spacing w:after="0"/>
              <w:rPr>
                <w:sz w:val="13"/>
                <w:szCs w:val="13"/>
                <w:color w:val="auto"/>
              </w:rPr>
            </w:pPr>
          </w:p>
        </w:tc>
        <w:tc>
          <w:tcPr>
            <w:tcW w:w="6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gridSpan w:val="11"/>
          </w:tcPr>
          <w:p>
            <w:pPr>
              <w:spacing w:after="0"/>
              <w:rPr>
                <w:rFonts w:ascii="Arial" w:cs="Arial" w:eastAsia="Arial" w:hAnsi="Arial"/>
                <w:sz w:val="18"/>
                <w:szCs w:val="18"/>
                <w:color w:val="0000FF"/>
                <w:w w:val="90"/>
              </w:rPr>
            </w:pPr>
            <w:hyperlink r:id="rId298">
              <w:r>
                <w:rPr>
                  <w:rFonts w:ascii="Arial" w:cs="Arial" w:eastAsia="Arial" w:hAnsi="Arial"/>
                  <w:sz w:val="18"/>
                  <w:szCs w:val="18"/>
                  <w:color w:val="0000FF"/>
                  <w:w w:val="90"/>
                </w:rPr>
                <w:t>First Amendment and Lender Joinder Agreement, dated as of December 2, 2021, by and among Synaptics Incorporated, the Lenders party</w:t>
              </w:r>
            </w:hyperlink>
          </w:p>
        </w:tc>
      </w:tr>
      <w:tr>
        <w:trPr>
          <w:trHeight w:val="156"/>
        </w:trPr>
        <w:tc>
          <w:tcPr>
            <w:tcW w:w="11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298">
              <w:r>
                <w:rPr>
                  <w:rFonts w:ascii="Arial" w:cs="Arial" w:eastAsia="Arial" w:hAnsi="Arial"/>
                  <w:sz w:val="18"/>
                  <w:szCs w:val="18"/>
                  <w:color w:val="0000FF"/>
                  <w:w w:val="90"/>
                </w:rPr>
                <w:t>thereto, and Wells Fargo Bank, National Association, as Administrative Agent (incorporated by reference to the registrant’s Current Report</w:t>
              </w:r>
            </w:hyperlink>
          </w:p>
        </w:tc>
        <w:tc>
          <w:tcPr>
            <w:tcW w:w="60" w:type="dxa"/>
            <w:vAlign w:val="bottom"/>
            <w:tcBorders>
              <w:bottom w:val="single" w:sz="8" w:color="0000FF"/>
            </w:tcBorders>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10040" w:type="dxa"/>
            <w:vAlign w:val="bottom"/>
            <w:gridSpan w:val="11"/>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on Form 8-K as filed with the SEC on December 2, 2021)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1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Chief Executive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1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Chief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1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Section 1350 Certification of Chief Executive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3"/>
            <w:shd w:val="clear" w:color="auto" w:fill="0000FF"/>
          </w:tcPr>
          <w:p>
            <w:pPr>
              <w:spacing w:after="0" w:line="20" w:lineRule="exact"/>
              <w:rPr>
                <w:sz w:val="1"/>
                <w:szCs w:val="1"/>
                <w:color w:val="auto"/>
              </w:rPr>
            </w:pPr>
          </w:p>
        </w:tc>
        <w:tc>
          <w:tcPr>
            <w:tcW w:w="6240" w:type="dxa"/>
            <w:vAlign w:val="bottom"/>
            <w:tcBorders>
              <w:left w:val="single" w:sz="8" w:color="0000FF"/>
            </w:tcBorders>
            <w:gridSpan w:val="8"/>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1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Section 1350 Certification of Chief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3"/>
            <w:shd w:val="clear" w:color="auto" w:fill="0000FF"/>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1"/>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0040" w:type="dxa"/>
            <w:vAlign w:val="bottom"/>
            <w:gridSpan w:val="11"/>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06" w:lineRule="exact"/>
        <w:rPr>
          <w:sz w:val="20"/>
          <w:szCs w:val="20"/>
          <w:color w:val="auto"/>
        </w:rPr>
      </w:pPr>
    </w:p>
    <w:p>
      <w:pPr>
        <w:ind w:left="1160" w:right="140" w:hanging="1139"/>
        <w:spacing w:after="0" w:line="235"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65" w:lineRule="exact"/>
        <w:rPr>
          <w:rFonts w:ascii="Arial" w:cs="Arial" w:eastAsia="Arial" w:hAnsi="Arial"/>
          <w:sz w:val="18"/>
          <w:szCs w:val="18"/>
          <w:color w:val="auto"/>
        </w:rPr>
      </w:pPr>
    </w:p>
    <w:p>
      <w:pPr>
        <w:ind w:left="520" w:right="200" w:hanging="512"/>
        <w:spacing w:after="0" w:line="261" w:lineRule="auto"/>
        <w:tabs>
          <w:tab w:leader="none" w:pos="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14230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SYNAPTICS INCORPORATED</w:t>
      </w:r>
    </w:p>
    <w:p>
      <w:pPr>
        <w:spacing w:after="0" w:line="378" w:lineRule="exact"/>
        <w:rPr>
          <w:sz w:val="20"/>
          <w:szCs w:val="20"/>
          <w:color w:val="auto"/>
        </w:rPr>
      </w:pPr>
    </w:p>
    <w:p>
      <w:pPr>
        <w:ind w:left="20"/>
        <w:spacing w:after="0"/>
        <w:tabs>
          <w:tab w:leader="none" w:pos="6500" w:val="left"/>
          <w:tab w:leader="none" w:pos="7160" w:val="left"/>
        </w:tabs>
        <w:rPr>
          <w:sz w:val="20"/>
          <w:szCs w:val="20"/>
          <w:color w:val="auto"/>
        </w:rPr>
      </w:pPr>
      <w:r>
        <w:rPr>
          <w:rFonts w:ascii="Arial" w:cs="Arial" w:eastAsia="Arial" w:hAnsi="Arial"/>
          <w:sz w:val="18"/>
          <w:szCs w:val="18"/>
          <w:color w:val="auto"/>
        </w:rPr>
        <w:t>Date: February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51" w:lineRule="exact"/>
        <w:rPr>
          <w:sz w:val="20"/>
          <w:szCs w:val="20"/>
          <w:color w:val="auto"/>
        </w:rPr>
      </w:pPr>
    </w:p>
    <w:p>
      <w:pPr>
        <w:ind w:left="6520"/>
        <w:spacing w:after="0"/>
        <w:tabs>
          <w:tab w:leader="none" w:pos="7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E. Hurlston</w:t>
      </w:r>
    </w:p>
    <w:p>
      <w:pPr>
        <w:spacing w:after="0" w:line="158" w:lineRule="exact"/>
        <w:rPr>
          <w:sz w:val="20"/>
          <w:szCs w:val="20"/>
          <w:color w:val="auto"/>
        </w:rPr>
      </w:pPr>
    </w:p>
    <w:p>
      <w:pPr>
        <w:ind w:left="6520"/>
        <w:spacing w:after="0"/>
        <w:tabs>
          <w:tab w:leader="none" w:pos="716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6500" w:val="left"/>
          <w:tab w:leader="none" w:pos="7160" w:val="left"/>
        </w:tabs>
        <w:rPr>
          <w:sz w:val="20"/>
          <w:szCs w:val="20"/>
          <w:color w:val="auto"/>
        </w:rPr>
      </w:pPr>
      <w:r>
        <w:rPr>
          <w:rFonts w:ascii="Arial" w:cs="Arial" w:eastAsia="Arial" w:hAnsi="Arial"/>
          <w:sz w:val="18"/>
          <w:szCs w:val="18"/>
          <w:color w:val="auto"/>
        </w:rPr>
        <w:t>Date: February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49" w:lineRule="exact"/>
        <w:rPr>
          <w:sz w:val="20"/>
          <w:szCs w:val="20"/>
          <w:color w:val="auto"/>
        </w:rPr>
      </w:pPr>
    </w:p>
    <w:p>
      <w:pPr>
        <w:ind w:left="6520"/>
        <w:spacing w:after="0"/>
        <w:tabs>
          <w:tab w:leader="none" w:pos="7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Dean Butler</w:t>
      </w:r>
    </w:p>
    <w:p>
      <w:pPr>
        <w:ind w:left="6520"/>
        <w:spacing w:after="0" w:line="203" w:lineRule="auto"/>
        <w:rPr>
          <w:sz w:val="20"/>
          <w:szCs w:val="20"/>
          <w:color w:val="auto"/>
        </w:rPr>
      </w:pPr>
      <w:r>
        <w:rPr>
          <w:rFonts w:ascii="Arial" w:cs="Arial" w:eastAsia="Arial" w:hAnsi="Arial"/>
          <w:sz w:val="18"/>
          <w:szCs w:val="18"/>
          <w:color w:val="auto"/>
        </w:rPr>
        <w:t>Title:</w:t>
      </w:r>
    </w:p>
    <w:p>
      <w:pPr>
        <w:ind w:left="7180"/>
        <w:spacing w:after="0"/>
        <w:rPr>
          <w:sz w:val="20"/>
          <w:szCs w:val="20"/>
          <w:color w:val="auto"/>
        </w:rPr>
      </w:pPr>
      <w:r>
        <w:rPr>
          <w:rFonts w:ascii="Arial" w:cs="Arial" w:eastAsia="Arial" w:hAnsi="Arial"/>
          <w:sz w:val="18"/>
          <w:szCs w:val="18"/>
          <w:color w:val="auto"/>
        </w:rPr>
        <w:t>Senior Vice President and Chief Financial Officer</w:t>
      </w:r>
    </w:p>
    <w:p>
      <w:pPr>
        <w:spacing w:after="0" w:line="169" w:lineRule="exact"/>
        <w:rPr>
          <w:sz w:val="20"/>
          <w:szCs w:val="20"/>
          <w:color w:val="auto"/>
        </w:rPr>
      </w:pPr>
    </w:p>
    <w:p>
      <w:pPr>
        <w:ind w:left="20"/>
        <w:spacing w:after="0"/>
        <w:tabs>
          <w:tab w:leader="none" w:pos="6500" w:val="left"/>
          <w:tab w:leader="none" w:pos="7160" w:val="left"/>
        </w:tabs>
        <w:rPr>
          <w:sz w:val="20"/>
          <w:szCs w:val="20"/>
          <w:color w:val="auto"/>
        </w:rPr>
      </w:pPr>
      <w:r>
        <w:rPr>
          <w:rFonts w:ascii="Arial" w:cs="Arial" w:eastAsia="Arial" w:hAnsi="Arial"/>
          <w:sz w:val="18"/>
          <w:szCs w:val="18"/>
          <w:color w:val="auto"/>
        </w:rPr>
        <w:t>Date: February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49" w:lineRule="exact"/>
        <w:rPr>
          <w:sz w:val="20"/>
          <w:szCs w:val="20"/>
          <w:color w:val="auto"/>
        </w:rPr>
      </w:pPr>
    </w:p>
    <w:p>
      <w:pPr>
        <w:ind w:left="6520"/>
        <w:spacing w:after="0"/>
        <w:tabs>
          <w:tab w:leader="none" w:pos="7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Kermit Nolan</w:t>
      </w:r>
    </w:p>
    <w:p>
      <w:pPr>
        <w:ind w:left="6520"/>
        <w:spacing w:after="0" w:line="203" w:lineRule="auto"/>
        <w:rPr>
          <w:sz w:val="20"/>
          <w:szCs w:val="20"/>
          <w:color w:val="auto"/>
        </w:rPr>
      </w:pPr>
      <w:r>
        <w:rPr>
          <w:rFonts w:ascii="Arial" w:cs="Arial" w:eastAsia="Arial" w:hAnsi="Arial"/>
          <w:sz w:val="18"/>
          <w:szCs w:val="18"/>
          <w:color w:val="auto"/>
        </w:rPr>
        <w:t>Title:</w:t>
      </w:r>
    </w:p>
    <w:p>
      <w:pPr>
        <w:jc w:val="right"/>
        <w:spacing w:after="0"/>
        <w:rPr>
          <w:sz w:val="20"/>
          <w:szCs w:val="20"/>
          <w:color w:val="auto"/>
        </w:rPr>
      </w:pPr>
      <w:r>
        <w:rPr>
          <w:rFonts w:ascii="Arial" w:cs="Arial" w:eastAsia="Arial" w:hAnsi="Arial"/>
          <w:sz w:val="18"/>
          <w:szCs w:val="18"/>
          <w:color w:val="auto"/>
        </w:rPr>
        <w:t>Corporate Vice President and Chief Accounting Officer</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u w:val="single" w:color="auto"/>
          <w:color w:val="auto"/>
        </w:rPr>
        <w:t>FIRST AMENDMENT TO PURCHASE AND SALE AGREEMENT</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WITH ESCROW INSTRUCTIONS</w:t>
      </w:r>
    </w:p>
    <w:p>
      <w:pPr>
        <w:spacing w:after="0" w:line="200" w:lineRule="exact"/>
        <w:rPr>
          <w:sz w:val="20"/>
          <w:szCs w:val="20"/>
          <w:color w:val="auto"/>
        </w:rPr>
      </w:pPr>
    </w:p>
    <w:p>
      <w:pPr>
        <w:spacing w:after="0" w:line="25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THIS FIRST AMENDMENT TO PURCHASE AND SALE AGREEMENT WITH ESCROW INSTRUCTIONS, dated as of December 20, 2021 (“</w:t>
      </w:r>
      <w:r>
        <w:rPr>
          <w:rFonts w:ascii="Arial" w:cs="Arial" w:eastAsia="Arial" w:hAnsi="Arial"/>
          <w:sz w:val="19"/>
          <w:szCs w:val="19"/>
          <w:b w:val="1"/>
          <w:bCs w:val="1"/>
          <w:u w:val="single" w:color="auto"/>
          <w:color w:val="auto"/>
        </w:rPr>
        <w:t>First Amendment</w:t>
      </w:r>
      <w:r>
        <w:rPr>
          <w:rFonts w:ascii="Arial" w:cs="Arial" w:eastAsia="Arial" w:hAnsi="Arial"/>
          <w:sz w:val="19"/>
          <w:szCs w:val="19"/>
          <w:color w:val="auto"/>
        </w:rPr>
        <w:t>”), is made by and between Synaptics Incorporated, a Delaware corporation (“</w:t>
      </w:r>
      <w:r>
        <w:rPr>
          <w:rFonts w:ascii="Arial" w:cs="Arial" w:eastAsia="Arial" w:hAnsi="Arial"/>
          <w:sz w:val="19"/>
          <w:szCs w:val="19"/>
          <w:b w:val="1"/>
          <w:bCs w:val="1"/>
          <w:u w:val="single" w:color="auto"/>
          <w:color w:val="auto"/>
        </w:rPr>
        <w:t>Seller</w:t>
      </w:r>
      <w:r>
        <w:rPr>
          <w:rFonts w:ascii="Arial" w:cs="Arial" w:eastAsia="Arial" w:hAnsi="Arial"/>
          <w:sz w:val="19"/>
          <w:szCs w:val="19"/>
          <w:color w:val="auto"/>
        </w:rPr>
        <w:t>”) and S B C &amp; D Co., Inc., a California corporation, dba South Bay Development Company (“</w:t>
      </w:r>
      <w:r>
        <w:rPr>
          <w:rFonts w:ascii="Arial" w:cs="Arial" w:eastAsia="Arial" w:hAnsi="Arial"/>
          <w:sz w:val="19"/>
          <w:szCs w:val="19"/>
          <w:b w:val="1"/>
          <w:bCs w:val="1"/>
          <w:u w:val="single" w:color="auto"/>
          <w:color w:val="auto"/>
        </w:rPr>
        <w:t>Buyer</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757"/>
        <w:spacing w:after="0" w:line="236" w:lineRule="auto"/>
        <w:tabs>
          <w:tab w:leader="none" w:pos="1498"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Seller and Buyer have entered into a Purchase and Sale Agreement With Escrwo Instructions dated as of November 14, 2021 (the “</w:t>
      </w:r>
      <w:r>
        <w:rPr>
          <w:rFonts w:ascii="Arial" w:cs="Arial" w:eastAsia="Arial" w:hAnsi="Arial"/>
          <w:sz w:val="22"/>
          <w:szCs w:val="22"/>
          <w:b w:val="1"/>
          <w:bCs w:val="1"/>
          <w:u w:val="single" w:color="auto"/>
          <w:color w:val="auto"/>
        </w:rPr>
        <w:t>Purchase Agreement</w:t>
      </w:r>
      <w:r>
        <w:rPr>
          <w:rFonts w:ascii="Arial" w:cs="Arial" w:eastAsia="Arial" w:hAnsi="Arial"/>
          <w:sz w:val="22"/>
          <w:szCs w:val="22"/>
          <w:color w:val="auto"/>
        </w:rPr>
        <w:t>”), pursuant to which Buyer agreed to purchase from Seller and Seller agreed to sell to Buyer that certain Property described in the Agreement, including, without limitation, that certain real property located at 1109-1251 McKay Drive and 1140-1150 Ringwood Court, in the City of San Jose, State of California, more particularly described on Exhibit A attached to the Purchase Agreement.</w:t>
      </w:r>
    </w:p>
    <w:p>
      <w:pPr>
        <w:spacing w:after="0" w:line="187" w:lineRule="exact"/>
        <w:rPr>
          <w:rFonts w:ascii="Arial" w:cs="Arial" w:eastAsia="Arial" w:hAnsi="Arial"/>
          <w:sz w:val="22"/>
          <w:szCs w:val="22"/>
          <w:color w:val="auto"/>
        </w:rPr>
      </w:pPr>
    </w:p>
    <w:p>
      <w:pPr>
        <w:ind w:left="1500" w:hanging="743"/>
        <w:spacing w:after="0"/>
        <w:tabs>
          <w:tab w:leader="none" w:pos="1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Buyer and Seller desire to amend the Purchase Agreement on the terms and conditions set forth in this First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00"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color w:val="auto"/>
        </w:rPr>
        <w:t>NOW, THEREFORE</w:t>
      </w:r>
      <w:r>
        <w:rPr>
          <w:rFonts w:ascii="Arial" w:cs="Arial" w:eastAsia="Arial" w:hAnsi="Arial"/>
          <w:sz w:val="22"/>
          <w:szCs w:val="22"/>
          <w:b w:val="1"/>
          <w:bCs w:val="1"/>
          <w:color w:val="auto"/>
        </w:rPr>
        <w:t>,</w:t>
      </w:r>
      <w:r>
        <w:rPr>
          <w:rFonts w:ascii="Arial" w:cs="Arial" w:eastAsia="Arial" w:hAnsi="Arial"/>
          <w:sz w:val="22"/>
          <w:szCs w:val="22"/>
          <w:color w:val="auto"/>
        </w:rPr>
        <w:t xml:space="preserve"> for good and valuable consideration, the receipt and sufficiency of which are hereby acknowledged, the parties agree as follows:</w:t>
      </w:r>
    </w:p>
    <w:p>
      <w:pPr>
        <w:spacing w:after="0" w:line="168" w:lineRule="exact"/>
        <w:rPr>
          <w:sz w:val="20"/>
          <w:szCs w:val="20"/>
          <w:color w:val="auto"/>
        </w:rPr>
      </w:pPr>
    </w:p>
    <w:p>
      <w:pPr>
        <w:ind w:firstLine="757"/>
        <w:spacing w:after="0" w:line="250" w:lineRule="auto"/>
        <w:tabs>
          <w:tab w:leader="none" w:pos="149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not otherwise defined herein shall have the meanings ascribed to them in the Purchase Agreement.</w:t>
      </w:r>
    </w:p>
    <w:p>
      <w:pPr>
        <w:spacing w:after="0" w:line="174" w:lineRule="exact"/>
        <w:rPr>
          <w:rFonts w:ascii="Arial" w:cs="Arial" w:eastAsia="Arial" w:hAnsi="Arial"/>
          <w:sz w:val="22"/>
          <w:szCs w:val="22"/>
          <w:color w:val="auto"/>
        </w:rPr>
      </w:pPr>
    </w:p>
    <w:p>
      <w:pPr>
        <w:jc w:val="both"/>
        <w:ind w:firstLine="757"/>
        <w:spacing w:after="0"/>
        <w:tabs>
          <w:tab w:leader="none" w:pos="149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Title Objection Deadline</w:t>
      </w:r>
      <w:r>
        <w:rPr>
          <w:rFonts w:ascii="Arial" w:cs="Arial" w:eastAsia="Arial" w:hAnsi="Arial"/>
          <w:sz w:val="22"/>
          <w:szCs w:val="22"/>
          <w:color w:val="auto"/>
        </w:rPr>
        <w:t>. The Title Objection Deadline referred to in Section 1 of the Purchase Agreement is hereby amended by deleting therefrom the date of “December 31, 2021” and substituting in place thereof the date of January 14, 2022.</w:t>
      </w:r>
    </w:p>
    <w:p>
      <w:pPr>
        <w:spacing w:after="0" w:line="186" w:lineRule="exact"/>
        <w:rPr>
          <w:rFonts w:ascii="Arial" w:cs="Arial" w:eastAsia="Arial" w:hAnsi="Arial"/>
          <w:sz w:val="22"/>
          <w:szCs w:val="22"/>
          <w:color w:val="auto"/>
        </w:rPr>
      </w:pPr>
    </w:p>
    <w:p>
      <w:pPr>
        <w:jc w:val="both"/>
        <w:ind w:firstLine="757"/>
        <w:spacing w:after="0"/>
        <w:tabs>
          <w:tab w:leader="none" w:pos="149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Seller’s Title Response Deadline</w:t>
      </w:r>
      <w:r>
        <w:rPr>
          <w:rFonts w:ascii="Arial" w:cs="Arial" w:eastAsia="Arial" w:hAnsi="Arial"/>
          <w:sz w:val="22"/>
          <w:szCs w:val="22"/>
          <w:color w:val="auto"/>
        </w:rPr>
        <w:t>. The Seller’s Title Response Deadline referred to in Section 1 of the Purchase Agreement is hereby amended by deleting therefrom the date of “January 7, 2022” and substituting in place thereof the date of January 21, 2022.</w:t>
      </w:r>
    </w:p>
    <w:p>
      <w:pPr>
        <w:spacing w:after="0" w:line="186" w:lineRule="exact"/>
        <w:rPr>
          <w:rFonts w:ascii="Arial" w:cs="Arial" w:eastAsia="Arial" w:hAnsi="Arial"/>
          <w:sz w:val="22"/>
          <w:szCs w:val="22"/>
          <w:color w:val="auto"/>
        </w:rPr>
      </w:pPr>
    </w:p>
    <w:p>
      <w:pPr>
        <w:ind w:firstLine="757"/>
        <w:spacing w:after="0" w:line="250" w:lineRule="auto"/>
        <w:tabs>
          <w:tab w:leader="none" w:pos="149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Review and Approval of Survey and PTR</w:t>
      </w:r>
      <w:r>
        <w:rPr>
          <w:rFonts w:ascii="Arial" w:cs="Arial" w:eastAsia="Arial" w:hAnsi="Arial"/>
          <w:sz w:val="22"/>
          <w:szCs w:val="22"/>
          <w:color w:val="auto"/>
        </w:rPr>
        <w:t>. The sixth sentence of Section 4.2(a) of the Purchase Agreement is hereby deleted in its entirety and the following is substituted in place thereof:</w:t>
      </w:r>
    </w:p>
    <w:p>
      <w:pPr>
        <w:spacing w:after="0" w:line="175" w:lineRule="exact"/>
        <w:rPr>
          <w:sz w:val="20"/>
          <w:szCs w:val="20"/>
          <w:color w:val="auto"/>
        </w:rPr>
      </w:pPr>
    </w:p>
    <w:p>
      <w:pPr>
        <w:jc w:val="both"/>
        <w:ind w:left="760" w:right="760"/>
        <w:spacing w:after="0" w:line="282" w:lineRule="auto"/>
        <w:rPr>
          <w:sz w:val="20"/>
          <w:szCs w:val="20"/>
          <w:color w:val="auto"/>
        </w:rPr>
      </w:pPr>
      <w:r>
        <w:rPr>
          <w:rFonts w:ascii="Arial" w:cs="Arial" w:eastAsia="Arial" w:hAnsi="Arial"/>
          <w:sz w:val="19"/>
          <w:szCs w:val="19"/>
          <w:color w:val="auto"/>
        </w:rPr>
        <w:t xml:space="preserve">“If Seller elects (or is deemed to have elected as provided below) to proceed in accordance with </w:t>
      </w:r>
      <w:r>
        <w:rPr>
          <w:rFonts w:ascii="Arial" w:cs="Arial" w:eastAsia="Arial" w:hAnsi="Arial"/>
          <w:sz w:val="19"/>
          <w:szCs w:val="19"/>
          <w:u w:val="single" w:color="auto"/>
          <w:color w:val="auto"/>
        </w:rPr>
        <w:t>subsection (ii)</w:t>
      </w:r>
      <w:r>
        <w:rPr>
          <w:rFonts w:ascii="Arial" w:cs="Arial" w:eastAsia="Arial" w:hAnsi="Arial"/>
          <w:sz w:val="19"/>
          <w:szCs w:val="19"/>
          <w:color w:val="auto"/>
        </w:rPr>
        <w:t xml:space="preserve"> above with respect to any Disapproved Exception, then Buyer shall have until 5:00 pm Pacific Time on January 26, 2022, to either elect to proceed pursuant to the terms of this Agreement notwithstanding its objection, or terminate this Agreement (notwithstanding that Buyer may have previously delivered its Notice to Proceed to Seller), and if Buyer does not elect to terminate then Buyer shall be deemed to have elected to proceed and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4866-8611-1239v1</w:t>
      </w:r>
    </w:p>
    <w:p>
      <w:pPr>
        <w:spacing w:after="0"/>
        <w:rPr>
          <w:sz w:val="20"/>
          <w:szCs w:val="20"/>
          <w:color w:val="auto"/>
        </w:rPr>
      </w:pPr>
      <w:r>
        <w:rPr>
          <w:rFonts w:ascii="Arial" w:cs="Arial" w:eastAsia="Arial" w:hAnsi="Arial"/>
          <w:sz w:val="14"/>
          <w:szCs w:val="14"/>
          <w:color w:val="auto"/>
        </w:rPr>
        <w:t>SLF\07536255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ind w:left="760" w:right="760"/>
        <w:spacing w:after="0" w:line="251" w:lineRule="auto"/>
        <w:rPr>
          <w:sz w:val="20"/>
          <w:szCs w:val="20"/>
          <w:color w:val="auto"/>
        </w:rPr>
      </w:pPr>
      <w:r>
        <w:rPr>
          <w:rFonts w:ascii="Arial" w:cs="Arial" w:eastAsia="Arial" w:hAnsi="Arial"/>
          <w:sz w:val="22"/>
          <w:szCs w:val="22"/>
          <w:color w:val="auto"/>
        </w:rPr>
        <w:t xml:space="preserve">Disapproved Exception for which Seller elected (or is deemed to have elected) to proceed under </w:t>
      </w:r>
      <w:r>
        <w:rPr>
          <w:rFonts w:ascii="Arial" w:cs="Arial" w:eastAsia="Arial" w:hAnsi="Arial"/>
          <w:sz w:val="22"/>
          <w:szCs w:val="22"/>
          <w:u w:val="single" w:color="auto"/>
          <w:color w:val="auto"/>
        </w:rPr>
        <w:t>subsection (ii)</w:t>
      </w:r>
      <w:r>
        <w:rPr>
          <w:rFonts w:ascii="Arial" w:cs="Arial" w:eastAsia="Arial" w:hAnsi="Arial"/>
          <w:sz w:val="22"/>
          <w:szCs w:val="22"/>
          <w:color w:val="auto"/>
        </w:rPr>
        <w:t xml:space="preserve"> above shall constitute a Permitted Exception.”</w:t>
      </w:r>
    </w:p>
    <w:p>
      <w:pPr>
        <w:spacing w:after="0" w:line="173" w:lineRule="exact"/>
        <w:rPr>
          <w:sz w:val="20"/>
          <w:szCs w:val="20"/>
          <w:color w:val="auto"/>
        </w:rPr>
      </w:pPr>
    </w:p>
    <w:p>
      <w:pPr>
        <w:ind w:firstLine="757"/>
        <w:spacing w:after="0" w:line="250" w:lineRule="auto"/>
        <w:tabs>
          <w:tab w:leader="none" w:pos="1498"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Due Diligence Termination Right</w:t>
      </w:r>
      <w:r>
        <w:rPr>
          <w:rFonts w:ascii="Arial" w:cs="Arial" w:eastAsia="Arial" w:hAnsi="Arial"/>
          <w:sz w:val="22"/>
          <w:szCs w:val="22"/>
          <w:color w:val="auto"/>
        </w:rPr>
        <w:t>. The last sentence of Section 5.1(h) of the Purchase Agreement is hereby deleted in its entirety and the following is substituted in place thereof:</w:t>
      </w:r>
    </w:p>
    <w:p>
      <w:pPr>
        <w:spacing w:after="0" w:line="175" w:lineRule="exact"/>
        <w:rPr>
          <w:sz w:val="20"/>
          <w:szCs w:val="20"/>
          <w:color w:val="auto"/>
        </w:rPr>
      </w:pPr>
    </w:p>
    <w:p>
      <w:pPr>
        <w:jc w:val="both"/>
        <w:ind w:left="760" w:right="740"/>
        <w:spacing w:after="0" w:line="234" w:lineRule="auto"/>
        <w:rPr>
          <w:sz w:val="20"/>
          <w:szCs w:val="20"/>
          <w:color w:val="auto"/>
        </w:rPr>
      </w:pPr>
      <w:r>
        <w:rPr>
          <w:rFonts w:ascii="Arial" w:cs="Arial" w:eastAsia="Arial" w:hAnsi="Arial"/>
          <w:sz w:val="22"/>
          <w:szCs w:val="22"/>
          <w:color w:val="auto"/>
        </w:rPr>
        <w:t xml:space="preserve">“If Buyer delivers its Notice to Proceed to Seller prior to 5:00 p.m. (Pacific Time) on the Due Diligence Expiration Date, then Buyer shall be deemed to have waived such termination right set forth in this Section 5.1(h) and to have affirmatively and expressly approved and accepted, subject to the terms and conditions of this Agreement, including, without limitation, the provisions of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 the Property and all conditions, elements and matters pertinent thereto including, without limitation, soil conditions or any other matter which was or could have been inspected or examined by Buyer prior to the Due Diligence Expiration Date (excluding therefrom items disclosed in the PTR and/or Survey which shall be governed by Section 4 hereinabove).”</w:t>
      </w:r>
    </w:p>
    <w:p>
      <w:pPr>
        <w:spacing w:after="0" w:line="187" w:lineRule="exact"/>
        <w:rPr>
          <w:sz w:val="20"/>
          <w:szCs w:val="20"/>
          <w:color w:val="auto"/>
        </w:rPr>
      </w:pPr>
    </w:p>
    <w:p>
      <w:pPr>
        <w:jc w:val="both"/>
        <w:ind w:firstLine="757"/>
        <w:spacing w:after="0" w:line="297" w:lineRule="auto"/>
        <w:tabs>
          <w:tab w:leader="none" w:pos="149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In the event of any conflict or inconsistency between any provision of this First Amendment and any provision of the Purchase Agreement, this First Amendment shall govern and control. Except as otherwise modified or amended by this First Amendment, the Purchase Agreement shall remain unmodified and in full force and effect.</w:t>
      </w:r>
    </w:p>
    <w:p>
      <w:pPr>
        <w:spacing w:after="0" w:line="133" w:lineRule="exact"/>
        <w:rPr>
          <w:rFonts w:ascii="Arial" w:cs="Arial" w:eastAsia="Arial" w:hAnsi="Arial"/>
          <w:sz w:val="19"/>
          <w:szCs w:val="19"/>
          <w:color w:val="auto"/>
        </w:rPr>
      </w:pPr>
    </w:p>
    <w:p>
      <w:pPr>
        <w:ind w:left="1500" w:hanging="743"/>
        <w:spacing w:after="0"/>
        <w:tabs>
          <w:tab w:leader="none" w:pos="150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Ratifications</w:t>
      </w:r>
      <w:r>
        <w:rPr>
          <w:rFonts w:ascii="Arial" w:cs="Arial" w:eastAsia="Arial" w:hAnsi="Arial"/>
          <w:sz w:val="21"/>
          <w:szCs w:val="21"/>
          <w:color w:val="auto"/>
        </w:rPr>
        <w:t>.  Seller and Buyer hereby ratify and confirm all of the terms of the Purchase Agreement as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amended hereby.</w:t>
      </w:r>
    </w:p>
    <w:p>
      <w:pPr>
        <w:spacing w:after="0" w:line="188" w:lineRule="exact"/>
        <w:rPr>
          <w:rFonts w:ascii="Arial" w:cs="Arial" w:eastAsia="Arial" w:hAnsi="Arial"/>
          <w:sz w:val="21"/>
          <w:szCs w:val="21"/>
          <w:color w:val="auto"/>
        </w:rPr>
      </w:pPr>
    </w:p>
    <w:p>
      <w:pPr>
        <w:ind w:firstLine="757"/>
        <w:spacing w:after="0" w:line="250" w:lineRule="auto"/>
        <w:tabs>
          <w:tab w:leader="none" w:pos="149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First Amendment may be executed in one or more counterparts, each of which shall be deemed an original, and all of which together shall constitute one and the same instrument.</w:t>
      </w:r>
    </w:p>
    <w:p>
      <w:pPr>
        <w:spacing w:after="0" w:line="174"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Facsimile or Email Signatures</w:t>
      </w:r>
      <w:r>
        <w:rPr>
          <w:rFonts w:ascii="Arial" w:cs="Arial" w:eastAsia="Arial" w:hAnsi="Arial"/>
          <w:sz w:val="22"/>
          <w:szCs w:val="22"/>
          <w:color w:val="auto"/>
        </w:rPr>
        <w:t>. This First Amendment may be delivered via pdf. electronic transmission, DocuSign or facsimile transmission with the same force and effect as if originally executed copies of this First Amendment were delivered to all parties. It is expressly agreed that each party to this First Amendment shall be bound by its own faxed, DocuSigned or electronically transmitted signature and shall accept the faxed, DocuSigned or electronically transmitted signature of the other party to this First Amendment.</w:t>
      </w:r>
    </w:p>
    <w:p>
      <w:pPr>
        <w:spacing w:after="0" w:line="187" w:lineRule="exact"/>
        <w:rPr>
          <w:rFonts w:ascii="Arial" w:cs="Arial" w:eastAsia="Arial" w:hAnsi="Arial"/>
          <w:sz w:val="22"/>
          <w:szCs w:val="22"/>
          <w:color w:val="auto"/>
        </w:rPr>
      </w:pPr>
    </w:p>
    <w:p>
      <w:pPr>
        <w:jc w:val="both"/>
        <w:ind w:firstLine="757"/>
        <w:spacing w:after="0" w:line="234" w:lineRule="auto"/>
        <w:tabs>
          <w:tab w:leader="none" w:pos="149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Seller hereby represents to Buyer that this First Amendment has been duly authorized by Seller and that the person executing this First Amendment on behalf of Seller is duly authorized to execute this First Amendment on behalf of Seller, and this First Amendment, upon execution of the same by Buyer, shall be enforceable against Seller in accordance with its terms. Buyer hereby represents to Seller that this First Amendment has been duly authorized by Buyer and that the person executing this First Amendment on behalf of Buyer is duly authorized to execute this First Amendment on behalf of Buyer, and this First Amendment, upon execution of the same by Seller, shall be enforceable against Buyer in accordance with its terms.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[balance of page is intentionally blank; signature page follows on next page]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4866-8611-1239v1</w:t>
      </w:r>
    </w:p>
    <w:p>
      <w:pPr>
        <w:spacing w:after="0"/>
        <w:rPr>
          <w:sz w:val="20"/>
          <w:szCs w:val="20"/>
          <w:color w:val="auto"/>
        </w:rPr>
      </w:pPr>
      <w:r>
        <w:rPr>
          <w:rFonts w:ascii="Arial" w:cs="Arial" w:eastAsia="Arial" w:hAnsi="Arial"/>
          <w:sz w:val="14"/>
          <w:szCs w:val="14"/>
          <w:color w:val="auto"/>
        </w:rPr>
        <w:t>SLF\07536255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right"/>
        <w:ind w:right="4459"/>
        <w:spacing w:after="0"/>
        <w:rPr>
          <w:sz w:val="20"/>
          <w:szCs w:val="20"/>
          <w:color w:val="auto"/>
        </w:rPr>
      </w:pPr>
      <w:r>
        <w:rPr>
          <w:rFonts w:ascii="Arial" w:cs="Arial" w:eastAsia="Arial" w:hAnsi="Arial"/>
          <w:sz w:val="22"/>
          <w:szCs w:val="22"/>
          <w:color w:val="auto"/>
        </w:rPr>
        <w:t>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4866-8611-1239v1</w:t>
      </w:r>
    </w:p>
    <w:p>
      <w:pPr>
        <w:spacing w:after="0"/>
        <w:rPr>
          <w:sz w:val="20"/>
          <w:szCs w:val="20"/>
          <w:color w:val="auto"/>
        </w:rPr>
      </w:pPr>
      <w:r>
        <w:rPr>
          <w:rFonts w:ascii="Arial" w:cs="Arial" w:eastAsia="Arial" w:hAnsi="Arial"/>
          <w:sz w:val="14"/>
          <w:szCs w:val="14"/>
          <w:color w:val="auto"/>
        </w:rPr>
        <w:t>SLF\07536255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43" w:name="page44"/>
    <w:bookmarkEnd w:id="43"/>
    <w:p>
      <w:pPr>
        <w:ind w:firstLine="749"/>
        <w:spacing w:after="0" w:line="257"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First Amendment to be duly executed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above.</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Arial" w:cs="Arial" w:eastAsia="Arial" w:hAnsi="Arial"/>
                <w:sz w:val="22"/>
                <w:szCs w:val="22"/>
                <w:color w:val="auto"/>
              </w:rPr>
              <w:t>BUYER:</w:t>
            </w:r>
          </w:p>
        </w:tc>
        <w:tc>
          <w:tcPr>
            <w:tcW w:w="4200" w:type="dxa"/>
            <w:vAlign w:val="bottom"/>
            <w:gridSpan w:val="10"/>
          </w:tcPr>
          <w:p>
            <w:pPr>
              <w:ind w:left="380"/>
              <w:spacing w:after="0"/>
              <w:rPr>
                <w:sz w:val="20"/>
                <w:szCs w:val="20"/>
                <w:color w:val="auto"/>
              </w:rPr>
            </w:pPr>
            <w:r>
              <w:rPr>
                <w:rFonts w:ascii="Arial" w:cs="Arial" w:eastAsia="Arial" w:hAnsi="Arial"/>
                <w:sz w:val="22"/>
                <w:szCs w:val="22"/>
                <w:color w:val="auto"/>
              </w:rPr>
              <w:t>S B C &amp; D CO., INC.,</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200" w:type="dxa"/>
            <w:vAlign w:val="bottom"/>
            <w:gridSpan w:val="10"/>
          </w:tcPr>
          <w:p>
            <w:pPr>
              <w:ind w:left="380"/>
              <w:spacing w:after="0" w:line="216" w:lineRule="exact"/>
              <w:rPr>
                <w:sz w:val="20"/>
                <w:szCs w:val="20"/>
                <w:color w:val="auto"/>
              </w:rPr>
            </w:pPr>
            <w:r>
              <w:rPr>
                <w:rFonts w:ascii="Arial" w:cs="Arial" w:eastAsia="Arial" w:hAnsi="Arial"/>
                <w:sz w:val="22"/>
                <w:szCs w:val="22"/>
                <w:color w:val="auto"/>
              </w:rPr>
              <w:t>a California corporation</w:t>
            </w:r>
          </w:p>
        </w:tc>
        <w:tc>
          <w:tcPr>
            <w:tcW w:w="0" w:type="dxa"/>
            <w:vAlign w:val="bottom"/>
          </w:tcPr>
          <w:p>
            <w:pPr>
              <w:spacing w:after="0"/>
              <w:rPr>
                <w:sz w:val="1"/>
                <w:szCs w:val="1"/>
                <w:color w:val="auto"/>
              </w:rPr>
            </w:pPr>
          </w:p>
        </w:tc>
      </w:tr>
      <w:tr>
        <w:trPr>
          <w:trHeight w:val="274"/>
        </w:trPr>
        <w:tc>
          <w:tcPr>
            <w:tcW w:w="1240" w:type="dxa"/>
            <w:vAlign w:val="bottom"/>
          </w:tcPr>
          <w:p>
            <w:pPr>
              <w:spacing w:after="0"/>
              <w:rPr>
                <w:sz w:val="23"/>
                <w:szCs w:val="23"/>
                <w:color w:val="auto"/>
              </w:rPr>
            </w:pPr>
          </w:p>
        </w:tc>
        <w:tc>
          <w:tcPr>
            <w:tcW w:w="4200" w:type="dxa"/>
            <w:vAlign w:val="bottom"/>
            <w:gridSpan w:val="10"/>
          </w:tcPr>
          <w:p>
            <w:pPr>
              <w:ind w:left="380"/>
              <w:spacing w:after="0"/>
              <w:rPr>
                <w:sz w:val="20"/>
                <w:szCs w:val="20"/>
                <w:color w:val="auto"/>
              </w:rPr>
            </w:pPr>
            <w:r>
              <w:rPr>
                <w:rFonts w:ascii="Arial" w:cs="Arial" w:eastAsia="Arial" w:hAnsi="Arial"/>
                <w:sz w:val="22"/>
                <w:szCs w:val="22"/>
                <w:color w:val="auto"/>
                <w:w w:val="99"/>
              </w:rPr>
              <w:t>dba South Bay Development Company</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4"/>
                <w:szCs w:val="24"/>
                <w:color w:val="auto"/>
              </w:rPr>
            </w:pPr>
          </w:p>
        </w:tc>
        <w:tc>
          <w:tcPr>
            <w:tcW w:w="4200" w:type="dxa"/>
            <w:vAlign w:val="bottom"/>
            <w:gridSpan w:val="10"/>
          </w:tcPr>
          <w:p>
            <w:pPr>
              <w:ind w:left="380"/>
              <w:spacing w:after="0"/>
              <w:rPr>
                <w:sz w:val="20"/>
                <w:szCs w:val="20"/>
                <w:color w:val="auto"/>
              </w:rPr>
            </w:pPr>
            <w:r>
              <w:rPr>
                <w:rFonts w:ascii="Arial" w:cs="Arial" w:eastAsia="Arial" w:hAnsi="Arial"/>
                <w:sz w:val="22"/>
                <w:szCs w:val="22"/>
                <w:color w:val="auto"/>
              </w:rPr>
              <w:t>By: /s/ Mark Regoli ______________</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80" w:type="dxa"/>
            <w:vAlign w:val="bottom"/>
            <w:gridSpan w:val="6"/>
            <w:vMerge w:val="restart"/>
          </w:tcPr>
          <w:p>
            <w:pPr>
              <w:ind w:left="120"/>
              <w:spacing w:after="0" w:line="216" w:lineRule="exact"/>
              <w:rPr>
                <w:sz w:val="20"/>
                <w:szCs w:val="20"/>
                <w:color w:val="auto"/>
              </w:rPr>
            </w:pPr>
            <w:r>
              <w:rPr>
                <w:rFonts w:ascii="Arial" w:cs="Arial" w:eastAsia="Arial" w:hAnsi="Arial"/>
                <w:sz w:val="22"/>
                <w:szCs w:val="22"/>
                <w:color w:val="auto"/>
                <w:w w:val="88"/>
              </w:rPr>
              <w:t>_________________</w:t>
            </w: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 w:type="dxa"/>
            <w:vAlign w:val="bottom"/>
            <w:gridSpan w:val="2"/>
          </w:tcPr>
          <w:p>
            <w:pPr>
              <w:ind w:left="380"/>
              <w:spacing w:after="0" w:line="195" w:lineRule="exact"/>
              <w:rPr>
                <w:sz w:val="20"/>
                <w:szCs w:val="20"/>
                <w:color w:val="auto"/>
              </w:rPr>
            </w:pPr>
            <w:r>
              <w:rPr>
                <w:rFonts w:ascii="Arial" w:cs="Arial" w:eastAsia="Arial" w:hAnsi="Arial"/>
                <w:sz w:val="22"/>
                <w:szCs w:val="22"/>
                <w:color w:val="auto"/>
                <w:w w:val="92"/>
              </w:rPr>
              <w:t>Name:</w:t>
            </w:r>
          </w:p>
        </w:tc>
        <w:tc>
          <w:tcPr>
            <w:tcW w:w="240" w:type="dxa"/>
            <w:vAlign w:val="bottom"/>
          </w:tcPr>
          <w:p>
            <w:pPr>
              <w:spacing w:after="0"/>
              <w:rPr>
                <w:sz w:val="17"/>
                <w:szCs w:val="17"/>
                <w:color w:val="auto"/>
              </w:rPr>
            </w:pPr>
          </w:p>
        </w:tc>
        <w:tc>
          <w:tcPr>
            <w:tcW w:w="980" w:type="dxa"/>
            <w:vAlign w:val="bottom"/>
          </w:tcPr>
          <w:p>
            <w:pPr>
              <w:spacing w:after="0" w:line="195" w:lineRule="exact"/>
              <w:rPr>
                <w:sz w:val="20"/>
                <w:szCs w:val="20"/>
                <w:color w:val="auto"/>
              </w:rPr>
            </w:pPr>
            <w:r>
              <w:rPr>
                <w:rFonts w:ascii="Arial" w:cs="Arial" w:eastAsia="Arial" w:hAnsi="Arial"/>
                <w:sz w:val="22"/>
                <w:szCs w:val="22"/>
                <w:color w:val="auto"/>
                <w:w w:val="81"/>
              </w:rPr>
              <w:t>Mark Regoli</w:t>
            </w:r>
          </w:p>
        </w:tc>
        <w:tc>
          <w:tcPr>
            <w:tcW w:w="19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 w:type="dxa"/>
            <w:vAlign w:val="bottom"/>
            <w:gridSpan w:val="2"/>
          </w:tcPr>
          <w:p>
            <w:pPr>
              <w:ind w:left="380"/>
              <w:spacing w:after="0" w:line="195" w:lineRule="exact"/>
              <w:rPr>
                <w:sz w:val="20"/>
                <w:szCs w:val="20"/>
                <w:color w:val="auto"/>
              </w:rPr>
            </w:pPr>
            <w:r>
              <w:rPr>
                <w:rFonts w:ascii="Arial" w:cs="Arial" w:eastAsia="Arial" w:hAnsi="Arial"/>
                <w:sz w:val="22"/>
                <w:szCs w:val="22"/>
                <w:color w:val="auto"/>
              </w:rPr>
              <w:t>Title:</w:t>
            </w:r>
          </w:p>
        </w:tc>
        <w:tc>
          <w:tcPr>
            <w:tcW w:w="240" w:type="dxa"/>
            <w:vAlign w:val="bottom"/>
          </w:tcPr>
          <w:p>
            <w:pPr>
              <w:spacing w:after="0"/>
              <w:rPr>
                <w:sz w:val="17"/>
                <w:szCs w:val="17"/>
                <w:color w:val="auto"/>
              </w:rPr>
            </w:pPr>
          </w:p>
        </w:tc>
        <w:tc>
          <w:tcPr>
            <w:tcW w:w="11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color w:val="auto"/>
              </w:rPr>
              <w:t>Authorized</w:t>
            </w:r>
          </w:p>
        </w:tc>
        <w:tc>
          <w:tcPr>
            <w:tcW w:w="1860" w:type="dxa"/>
            <w:vAlign w:val="bottom"/>
            <w:gridSpan w:val="5"/>
          </w:tcPr>
          <w:p>
            <w:pPr>
              <w:spacing w:after="0" w:line="195" w:lineRule="exact"/>
              <w:rPr>
                <w:sz w:val="20"/>
                <w:szCs w:val="20"/>
                <w:color w:val="auto"/>
              </w:rPr>
            </w:pPr>
            <w:r>
              <w:rPr>
                <w:rFonts w:ascii="Arial" w:cs="Arial" w:eastAsia="Arial" w:hAnsi="Arial"/>
                <w:sz w:val="22"/>
                <w:szCs w:val="22"/>
                <w:color w:val="auto"/>
                <w:w w:val="85"/>
              </w:rPr>
              <w:t>Signatory__________</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240" w:type="dxa"/>
            <w:vAlign w:val="bottom"/>
          </w:tcPr>
          <w:p>
            <w:pPr>
              <w:spacing w:after="0"/>
              <w:rPr>
                <w:sz w:val="20"/>
                <w:szCs w:val="20"/>
                <w:color w:val="auto"/>
              </w:rPr>
            </w:pPr>
            <w:r>
              <w:rPr>
                <w:rFonts w:ascii="Arial" w:cs="Arial" w:eastAsia="Arial" w:hAnsi="Arial"/>
                <w:sz w:val="22"/>
                <w:szCs w:val="22"/>
                <w:color w:val="auto"/>
              </w:rPr>
              <w:t>SELLER:</w:t>
            </w:r>
          </w:p>
        </w:tc>
        <w:tc>
          <w:tcPr>
            <w:tcW w:w="4200" w:type="dxa"/>
            <w:vAlign w:val="bottom"/>
            <w:gridSpan w:val="10"/>
          </w:tcPr>
          <w:p>
            <w:pPr>
              <w:ind w:left="380"/>
              <w:spacing w:after="0"/>
              <w:rPr>
                <w:sz w:val="20"/>
                <w:szCs w:val="20"/>
                <w:color w:val="auto"/>
              </w:rPr>
            </w:pPr>
            <w:r>
              <w:rPr>
                <w:rFonts w:ascii="Arial" w:cs="Arial" w:eastAsia="Arial" w:hAnsi="Arial"/>
                <w:sz w:val="22"/>
                <w:szCs w:val="22"/>
                <w:color w:val="auto"/>
              </w:rPr>
              <w:t>SYNAPTICS INCORPORATED,</w:t>
            </w:r>
          </w:p>
        </w:tc>
        <w:tc>
          <w:tcPr>
            <w:tcW w:w="0" w:type="dxa"/>
            <w:vAlign w:val="bottom"/>
          </w:tcPr>
          <w:p>
            <w:pPr>
              <w:spacing w:after="0"/>
              <w:rPr>
                <w:sz w:val="1"/>
                <w:szCs w:val="1"/>
                <w:color w:val="auto"/>
              </w:rPr>
            </w:pPr>
          </w:p>
        </w:tc>
      </w:tr>
      <w:tr>
        <w:trPr>
          <w:trHeight w:val="274"/>
        </w:trPr>
        <w:tc>
          <w:tcPr>
            <w:tcW w:w="1240" w:type="dxa"/>
            <w:vAlign w:val="bottom"/>
          </w:tcPr>
          <w:p>
            <w:pPr>
              <w:spacing w:after="0"/>
              <w:rPr>
                <w:sz w:val="23"/>
                <w:szCs w:val="23"/>
                <w:color w:val="auto"/>
              </w:rPr>
            </w:pPr>
          </w:p>
        </w:tc>
        <w:tc>
          <w:tcPr>
            <w:tcW w:w="4200" w:type="dxa"/>
            <w:vAlign w:val="bottom"/>
            <w:gridSpan w:val="10"/>
          </w:tcPr>
          <w:p>
            <w:pPr>
              <w:ind w:left="380"/>
              <w:spacing w:after="0"/>
              <w:rPr>
                <w:sz w:val="20"/>
                <w:szCs w:val="20"/>
                <w:color w:val="auto"/>
              </w:rPr>
            </w:pPr>
            <w:r>
              <w:rPr>
                <w:rFonts w:ascii="Arial" w:cs="Arial" w:eastAsia="Arial" w:hAnsi="Arial"/>
                <w:sz w:val="22"/>
                <w:szCs w:val="22"/>
                <w:color w:val="auto"/>
              </w:rPr>
              <w:t>a Delaware corporation</w:t>
            </w:r>
          </w:p>
        </w:tc>
        <w:tc>
          <w:tcPr>
            <w:tcW w:w="0" w:type="dxa"/>
            <w:vAlign w:val="bottom"/>
          </w:tcPr>
          <w:p>
            <w:pPr>
              <w:spacing w:after="0"/>
              <w:rPr>
                <w:sz w:val="1"/>
                <w:szCs w:val="1"/>
                <w:color w:val="auto"/>
              </w:rPr>
            </w:pPr>
          </w:p>
        </w:tc>
      </w:tr>
      <w:tr>
        <w:trPr>
          <w:trHeight w:val="382"/>
        </w:trPr>
        <w:tc>
          <w:tcPr>
            <w:tcW w:w="1240" w:type="dxa"/>
            <w:vAlign w:val="bottom"/>
          </w:tcPr>
          <w:p>
            <w:pPr>
              <w:spacing w:after="0"/>
              <w:rPr>
                <w:sz w:val="24"/>
                <w:szCs w:val="24"/>
                <w:color w:val="auto"/>
              </w:rPr>
            </w:pPr>
          </w:p>
        </w:tc>
        <w:tc>
          <w:tcPr>
            <w:tcW w:w="4200" w:type="dxa"/>
            <w:vAlign w:val="bottom"/>
            <w:gridSpan w:val="10"/>
          </w:tcPr>
          <w:p>
            <w:pPr>
              <w:ind w:left="380"/>
              <w:spacing w:after="0"/>
              <w:rPr>
                <w:sz w:val="20"/>
                <w:szCs w:val="20"/>
                <w:color w:val="auto"/>
              </w:rPr>
            </w:pPr>
            <w:r>
              <w:rPr>
                <w:rFonts w:ascii="Arial" w:cs="Arial" w:eastAsia="Arial" w:hAnsi="Arial"/>
                <w:sz w:val="22"/>
                <w:szCs w:val="22"/>
                <w:color w:val="auto"/>
              </w:rPr>
              <w:t>By: /s/ John McFarland ___________</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660" w:type="dxa"/>
            <w:vAlign w:val="bottom"/>
            <w:gridSpan w:val="4"/>
            <w:vMerge w:val="restart"/>
          </w:tcPr>
          <w:p>
            <w:pPr>
              <w:jc w:val="right"/>
              <w:ind w:right="40"/>
              <w:spacing w:after="0" w:line="216" w:lineRule="exact"/>
              <w:rPr>
                <w:sz w:val="20"/>
                <w:szCs w:val="20"/>
                <w:color w:val="auto"/>
              </w:rPr>
            </w:pPr>
            <w:r>
              <w:rPr>
                <w:rFonts w:ascii="Arial" w:cs="Arial" w:eastAsia="Arial" w:hAnsi="Arial"/>
                <w:sz w:val="22"/>
                <w:szCs w:val="22"/>
                <w:color w:val="auto"/>
                <w:w w:val="93"/>
              </w:rPr>
              <w:t>______________</w:t>
            </w: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 w:type="dxa"/>
            <w:vAlign w:val="bottom"/>
            <w:gridSpan w:val="2"/>
          </w:tcPr>
          <w:p>
            <w:pPr>
              <w:ind w:left="380"/>
              <w:spacing w:after="0" w:line="195" w:lineRule="exact"/>
              <w:rPr>
                <w:sz w:val="20"/>
                <w:szCs w:val="20"/>
                <w:color w:val="auto"/>
              </w:rPr>
            </w:pPr>
            <w:r>
              <w:rPr>
                <w:rFonts w:ascii="Arial" w:cs="Arial" w:eastAsia="Arial" w:hAnsi="Arial"/>
                <w:sz w:val="22"/>
                <w:szCs w:val="22"/>
                <w:color w:val="auto"/>
                <w:w w:val="92"/>
              </w:rPr>
              <w:t>Name:</w:t>
            </w:r>
          </w:p>
        </w:tc>
        <w:tc>
          <w:tcPr>
            <w:tcW w:w="240" w:type="dxa"/>
            <w:vAlign w:val="bottom"/>
          </w:tcPr>
          <w:p>
            <w:pPr>
              <w:spacing w:after="0"/>
              <w:rPr>
                <w:sz w:val="17"/>
                <w:szCs w:val="17"/>
                <w:color w:val="auto"/>
              </w:rPr>
            </w:pPr>
          </w:p>
        </w:tc>
        <w:tc>
          <w:tcPr>
            <w:tcW w:w="1300" w:type="dxa"/>
            <w:vAlign w:val="bottom"/>
            <w:gridSpan w:val="3"/>
          </w:tcPr>
          <w:p>
            <w:pPr>
              <w:spacing w:after="0" w:line="195" w:lineRule="exact"/>
              <w:rPr>
                <w:sz w:val="20"/>
                <w:szCs w:val="20"/>
                <w:color w:val="auto"/>
              </w:rPr>
            </w:pPr>
            <w:r>
              <w:rPr>
                <w:rFonts w:ascii="Arial" w:cs="Arial" w:eastAsia="Arial" w:hAnsi="Arial"/>
                <w:sz w:val="22"/>
                <w:szCs w:val="22"/>
                <w:color w:val="auto"/>
                <w:w w:val="81"/>
              </w:rPr>
              <w:t>John McFarland</w:t>
            </w:r>
          </w:p>
        </w:tc>
        <w:tc>
          <w:tcPr>
            <w:tcW w:w="16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gridSpan w:val="2"/>
            <w:vMerge w:val="restart"/>
          </w:tcPr>
          <w:p>
            <w:pPr>
              <w:ind w:left="380"/>
              <w:spacing w:after="0" w:line="216" w:lineRule="exact"/>
              <w:rPr>
                <w:sz w:val="20"/>
                <w:szCs w:val="20"/>
                <w:color w:val="auto"/>
              </w:rPr>
            </w:pPr>
            <w:r>
              <w:rPr>
                <w:rFonts w:ascii="Arial" w:cs="Arial" w:eastAsia="Arial" w:hAnsi="Arial"/>
                <w:sz w:val="22"/>
                <w:szCs w:val="22"/>
                <w:color w:val="auto"/>
              </w:rPr>
              <w:t>Title:</w:t>
            </w:r>
          </w:p>
        </w:tc>
        <w:tc>
          <w:tcPr>
            <w:tcW w:w="240" w:type="dxa"/>
            <w:vAlign w:val="bottom"/>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7"/>
          </w:tcPr>
          <w:p>
            <w:pPr>
              <w:spacing w:after="0" w:line="195" w:lineRule="exact"/>
              <w:rPr>
                <w:sz w:val="20"/>
                <w:szCs w:val="20"/>
                <w:color w:val="auto"/>
              </w:rPr>
            </w:pPr>
            <w:r>
              <w:rPr>
                <w:rFonts w:ascii="Arial" w:cs="Arial" w:eastAsia="Arial" w:hAnsi="Arial"/>
                <w:sz w:val="22"/>
                <w:szCs w:val="22"/>
                <w:color w:val="auto"/>
                <w:w w:val="97"/>
              </w:rPr>
              <w:t>Senior Vice President, General</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6"/>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00" w:type="dxa"/>
            <w:vAlign w:val="bottom"/>
            <w:gridSpan w:val="7"/>
          </w:tcPr>
          <w:p>
            <w:pPr>
              <w:ind w:left="40"/>
              <w:spacing w:after="0"/>
              <w:rPr>
                <w:sz w:val="20"/>
                <w:szCs w:val="20"/>
                <w:color w:val="auto"/>
              </w:rPr>
            </w:pPr>
            <w:r>
              <w:rPr>
                <w:rFonts w:ascii="Arial" w:cs="Arial" w:eastAsia="Arial" w:hAnsi="Arial"/>
                <w:sz w:val="22"/>
                <w:szCs w:val="22"/>
                <w:color w:val="auto"/>
              </w:rPr>
              <w:t>Counsel and Secretary</w:t>
            </w: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4866-8611-1239v1</w:t>
      </w:r>
    </w:p>
    <w:p>
      <w:pPr>
        <w:spacing w:after="0"/>
        <w:rPr>
          <w:sz w:val="20"/>
          <w:szCs w:val="20"/>
          <w:color w:val="auto"/>
        </w:rPr>
      </w:pPr>
      <w:r>
        <w:rPr>
          <w:rFonts w:ascii="Arial" w:cs="Arial" w:eastAsia="Arial" w:hAnsi="Arial"/>
          <w:sz w:val="14"/>
          <w:szCs w:val="14"/>
          <w:color w:val="auto"/>
        </w:rPr>
        <w:t>SLF\07536255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4" w:name="page45"/>
    <w:bookmarkEnd w:id="44"/>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04" w:lineRule="exact"/>
        <w:rPr>
          <w:sz w:val="20"/>
          <w:szCs w:val="20"/>
          <w:color w:val="auto"/>
        </w:rPr>
      </w:pPr>
    </w:p>
    <w:p>
      <w:pPr>
        <w:ind w:left="700" w:hanging="18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48" w:lineRule="auto"/>
        <w:tabs>
          <w:tab w:leader="none" w:pos="6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506"/>
        <w:spacing w:after="0" w:line="248" w:lineRule="auto"/>
        <w:tabs>
          <w:tab w:leader="none" w:pos="12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200" w:firstLine="506"/>
        <w:spacing w:after="0" w:line="248" w:lineRule="auto"/>
        <w:tabs>
          <w:tab w:leader="none" w:pos="12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320" w:firstLine="506"/>
        <w:spacing w:after="0" w:line="324" w:lineRule="auto"/>
        <w:tabs>
          <w:tab w:leader="none" w:pos="121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48" w:lineRule="auto"/>
        <w:tabs>
          <w:tab w:leader="none" w:pos="12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40" w:firstLine="506"/>
        <w:spacing w:after="0" w:line="291" w:lineRule="auto"/>
        <w:tabs>
          <w:tab w:leader="none" w:pos="1214"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20" w:firstLine="506"/>
        <w:spacing w:after="0" w:line="261" w:lineRule="auto"/>
        <w:tabs>
          <w:tab w:leader="none" w:pos="12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E. Hurlston</w:t>
      </w: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04" w:lineRule="exact"/>
        <w:rPr>
          <w:sz w:val="20"/>
          <w:szCs w:val="20"/>
          <w:color w:val="auto"/>
        </w:rPr>
      </w:pPr>
    </w:p>
    <w:p>
      <w:pPr>
        <w:ind w:left="700" w:hanging="18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48" w:lineRule="auto"/>
        <w:tabs>
          <w:tab w:leader="none" w:pos="6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506"/>
        <w:spacing w:after="0" w:line="248" w:lineRule="auto"/>
        <w:tabs>
          <w:tab w:leader="none" w:pos="121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200" w:firstLine="506"/>
        <w:spacing w:after="0" w:line="248" w:lineRule="auto"/>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320" w:firstLine="506"/>
        <w:spacing w:after="0" w:line="324" w:lineRule="auto"/>
        <w:tabs>
          <w:tab w:leader="none" w:pos="121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48" w:lineRule="auto"/>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40" w:firstLine="506"/>
        <w:spacing w:after="0" w:line="291" w:lineRule="auto"/>
        <w:tabs>
          <w:tab w:leader="none" w:pos="121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20" w:firstLine="506"/>
        <w:spacing w:after="0" w:line="261" w:lineRule="auto"/>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Dean Butler</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1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December 25, 2021,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80" w:lineRule="exact"/>
        <w:rPr>
          <w:sz w:val="20"/>
          <w:szCs w:val="20"/>
          <w:color w:val="auto"/>
        </w:rPr>
      </w:pPr>
    </w:p>
    <w:p>
      <w:pPr>
        <w:ind w:left="520" w:right="26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ind w:left="20"/>
        <w:spacing w:after="0"/>
        <w:rPr>
          <w:sz w:val="20"/>
          <w:szCs w:val="20"/>
          <w:color w:val="auto"/>
        </w:rPr>
      </w:pPr>
      <w:r>
        <w:rPr>
          <w:rFonts w:ascii="Arial" w:cs="Arial" w:eastAsia="Arial" w:hAnsi="Arial"/>
          <w:sz w:val="18"/>
          <w:szCs w:val="18"/>
          <w:color w:val="auto"/>
        </w:rPr>
        <w:t>Chief Executive Officer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16" w:lineRule="exact"/>
        <w:rPr>
          <w:sz w:val="20"/>
          <w:szCs w:val="20"/>
          <w:color w:val="auto"/>
        </w:rPr>
      </w:pPr>
    </w:p>
    <w:p>
      <w:pPr>
        <w:jc w:val="both"/>
        <w:ind w:right="280" w:firstLine="509"/>
        <w:spacing w:after="0" w:line="294"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December 25, 2021,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right="26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ind w:left="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04"/>
    </w:lvl>
  </w:abstractNum>
  <w:abstractNum w:abstractNumId="10">
    <w:nsid w:val="1BEFD79F"/>
    <w:multiLevelType w:val="hybridMultilevel"/>
    <w:lvl w:ilvl="0">
      <w:lvlJc w:val="left"/>
      <w:lvlText w:val="**"/>
      <w:numFmt w:val="bullet"/>
      <w:start w:val="1"/>
    </w:lvl>
    <w:lvl w:ilvl="1">
      <w:lvlJc w:val="left"/>
      <w:lvlText w:val="%2"/>
      <w:numFmt w:val="decimal"/>
      <w:start w:val="1"/>
    </w:lvl>
  </w:abstractNum>
  <w:abstractNum w:abstractNumId="11">
    <w:nsid w:val="41A7C4C9"/>
    <w:multiLevelType w:val="hybridMultilevel"/>
    <w:lvl w:ilvl="0">
      <w:lvlJc w:val="left"/>
      <w:lvlText w:val="%1."/>
      <w:numFmt w:val="upperLetter"/>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decimal"/>
      <w:start w:val="6"/>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297" Type="http://schemas.openxmlformats.org/officeDocument/2006/relationships/hyperlink" Target="https://www.sec.gov/ix?doc=/Archives/edgar/data/0000817720/000119312521345308/d200710d8k.htm" TargetMode="External"/><Relationship Id="rId298" Type="http://schemas.openxmlformats.org/officeDocument/2006/relationships/hyperlink" Target="https://www.sec.gov/ix?doc=/Archives/edgar/data/0000817720/000119312521346669/d27825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2022-02-03T16:13:23Z</dcterms:created>
  <dcterms:modified xsi:type="dcterms:W3CDTF">2022-02-03T16:13:23Z</dcterms:modified>
</cp:coreProperties>
</file>