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117475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30, 2017</w:t>
      </w:r>
    </w:p>
    <w:p>
      <w:pPr>
        <w:spacing w:after="0" w:line="10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840"/>
        <w:spacing w:after="0"/>
        <w:tabs>
          <w:tab w:leader="none" w:pos="6780" w:val="left"/>
          <w:tab w:leader="none" w:pos="7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SYNAPTICS INCORPORATED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p>
      <w:pPr>
        <w:spacing w:after="0" w:line="259"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77-0118518</w:t>
      </w:r>
    </w:p>
    <w:p>
      <w:pPr>
        <w:spacing w:after="0" w:line="31" w:lineRule="exact"/>
        <w:rPr>
          <w:sz w:val="24"/>
          <w:szCs w:val="24"/>
          <w:color w:val="auto"/>
        </w:rPr>
      </w:pPr>
    </w:p>
    <w:p>
      <w:pPr>
        <w:sectPr>
          <w:pgSz w:w="11900" w:h="16838" w:orient="portrait"/>
          <w:cols w:equalWidth="0" w:num="2">
            <w:col w:w="7480" w:space="720"/>
            <w:col w:w="3220"/>
          </w:cols>
          <w:pgMar w:left="240" w:top="432" w:right="239" w:bottom="1440" w:gutter="0" w:footer="0" w:header="0"/>
          <w:type w:val="continuous"/>
        </w:sectPr>
      </w:pPr>
    </w:p>
    <w:p>
      <w:pPr>
        <w:spacing w:after="0" w:line="1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340" w:space="720"/>
            <w:col w:w="3360"/>
          </w:cols>
          <w:pgMar w:left="240" w:top="43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1251 McKay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Jose, California 95131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904-1100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type w:val="continuous"/>
        </w:sectPr>
      </w:pPr>
    </w:p>
    <w:p>
      <w:pPr>
        <w:spacing w:after="0" w:line="27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5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9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6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9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74" w:lineRule="exact"/>
        <w:rPr>
          <w:sz w:val="24"/>
          <w:szCs w:val="24"/>
          <w:color w:val="auto"/>
        </w:rPr>
      </w:pPr>
    </w:p>
    <w:p>
      <w:pPr>
        <w:jc w:val="both"/>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at February 1, 2018: 34,498,684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DECEMBER 31, 2017</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4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16"/>
            <w:vMerge w:val="continue"/>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43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400" w:type="dxa"/>
            <w:vAlign w:val="bottom"/>
            <w:gridSpan w:val="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Sheets—December 31, 2017 and June 30, 2017</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Income—Three and Six Months Ended December 31, 2017 and 2016</w:t>
              </w:r>
            </w:hyperlink>
          </w:p>
        </w:tc>
        <w:tc>
          <w:tcPr>
            <w:tcW w:w="1840" w:type="dxa"/>
            <w:vAlign w:val="bottom"/>
            <w:gridSpan w:val="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20" w:type="dxa"/>
            <w:vAlign w:val="bottom"/>
            <w:gridSpan w:val="14"/>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Comprehensive Income—Three and Six Months Ended December 31, 2017 and 2016</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4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Flows—Six Months Ended December 31, 2017 and 2016</w:t>
              </w:r>
            </w:hyperlink>
          </w:p>
        </w:tc>
        <w:tc>
          <w:tcPr>
            <w:tcW w:w="6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400" w:type="dxa"/>
            <w:vAlign w:val="bottom"/>
            <w:tcBorders>
              <w:top w:val="single" w:sz="8" w:color="0000EE"/>
            </w:tcBorders>
            <w:gridSpan w:val="6"/>
          </w:tcPr>
          <w:p>
            <w:pPr>
              <w:spacing w:after="0"/>
              <w:rPr>
                <w:sz w:val="24"/>
                <w:szCs w:val="24"/>
                <w:color w:val="auto"/>
              </w:rPr>
            </w:pPr>
          </w:p>
        </w:tc>
        <w:tc>
          <w:tcPr>
            <w:tcW w:w="2320" w:type="dxa"/>
            <w:vAlign w:val="bottom"/>
            <w:gridSpan w:val="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2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7940" w:type="dxa"/>
            <w:vAlign w:val="bottom"/>
            <w:gridSpan w:val="1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1094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 Other Information</w:t>
              </w:r>
            </w:hyperlink>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72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5360" w:type="dxa"/>
            <w:vAlign w:val="bottom"/>
            <w:gridSpan w:val="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72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04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r>
      <w:tr>
        <w:trPr>
          <w:trHeight w:val="223"/>
        </w:trPr>
        <w:tc>
          <w:tcPr>
            <w:tcW w:w="704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ind w:left="260"/>
              <w:spacing w:after="0"/>
              <w:rPr>
                <w:sz w:val="20"/>
                <w:szCs w:val="20"/>
                <w:color w:val="auto"/>
              </w:rPr>
            </w:pPr>
            <w:r>
              <w:rPr>
                <w:rFonts w:ascii="Arial" w:cs="Arial" w:eastAsia="Arial" w:hAnsi="Arial"/>
                <w:sz w:val="18"/>
                <w:szCs w:val="18"/>
                <w:color w:val="auto"/>
              </w:rPr>
              <w:t>Accounts receivable, net of allowances of $2.6 at December 31, 2017 and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380"/>
              <w:spacing w:after="0"/>
              <w:rPr>
                <w:sz w:val="20"/>
                <w:szCs w:val="20"/>
                <w:color w:val="auto"/>
              </w:rPr>
            </w:pPr>
            <w:r>
              <w:rPr>
                <w:rFonts w:ascii="Arial" w:cs="Arial" w:eastAsia="Arial" w:hAnsi="Arial"/>
                <w:sz w:val="18"/>
                <w:szCs w:val="18"/>
                <w:color w:val="auto"/>
              </w:rPr>
              <w:t>June 30, 2017</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792.0</w:t>
            </w: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Property and equipment at cost, net of accumulated depreciation of $122.5</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and $106.8 at December 31, 2017 and June 30, 2017, respectively</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r>
      <w:tr>
        <w:trPr>
          <w:trHeight w:val="263"/>
        </w:trPr>
        <w:tc>
          <w:tcPr>
            <w:tcW w:w="704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1,438.0</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w:t>
            </w:r>
          </w:p>
        </w:tc>
        <w:tc>
          <w:tcPr>
            <w:tcW w:w="120" w:type="dxa"/>
            <w:vAlign w:val="bottom"/>
            <w:tcBorders>
              <w:bottom w:val="single" w:sz="8" w:color="CFF0FC"/>
            </w:tcBorders>
          </w:tcPr>
          <w:p>
            <w:pPr>
              <w:spacing w:after="0"/>
              <w:rPr>
                <w:sz w:val="22"/>
                <w:szCs w:val="22"/>
                <w:color w:val="auto"/>
              </w:rPr>
            </w:pPr>
          </w:p>
        </w:tc>
      </w:tr>
      <w:tr>
        <w:trPr>
          <w:trHeight w:val="210"/>
        </w:trPr>
        <w:tc>
          <w:tcPr>
            <w:tcW w:w="7040" w:type="dxa"/>
            <w:vAlign w:val="bottom"/>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Acquisition-related liabilities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8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Long-term debt, net of issuance costs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526.5</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$0.001 par value; 120,000,000 shares authorized,</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61,933,342 and 60,579,911 shares issued, and 34,293,466 and 34,638,435 shares</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December 31, 2017 and June 30, 2017, respectively</w:t>
            </w: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1,004.8</w:t>
            </w:r>
          </w:p>
        </w:tc>
        <w:tc>
          <w:tcPr>
            <w:tcW w:w="120" w:type="dxa"/>
            <w:vAlign w:val="bottom"/>
          </w:tcPr>
          <w:p>
            <w:pPr>
              <w:spacing w:after="0"/>
              <w:rPr>
                <w:sz w:val="19"/>
                <w:szCs w:val="19"/>
                <w:color w:val="auto"/>
              </w:rPr>
            </w:pPr>
          </w:p>
        </w:tc>
      </w:tr>
      <w:tr>
        <w:trPr>
          <w:trHeight w:val="215"/>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27,639,876 and 25,941,476 common treasury shares at</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2017 and June 30, 2017, respectively, at cost</w:t>
            </w: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(1,073.9)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(980.3)</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gridSpan w:val="5"/>
          </w:tcPr>
          <w:p>
            <w:pPr>
              <w:jc w:val="right"/>
              <w:ind w:right="25"/>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w:t>
            </w: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430.4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461.3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847.8</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315.2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322.6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138.7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Restructuring</w:t>
            </w:r>
          </w:p>
        </w:tc>
        <w:tc>
          <w:tcPr>
            <w:tcW w:w="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109.9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Operating income/(loss)</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0"/>
              </w:rPr>
              <w:t>(24.0)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income/(expense), net</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9"/>
        </w:trPr>
        <w:tc>
          <w:tcPr>
            <w:tcW w:w="5680" w:type="dxa"/>
            <w:vAlign w:val="bottom"/>
          </w:tcPr>
          <w:p>
            <w:pPr>
              <w:ind w:left="500"/>
              <w:spacing w:after="0"/>
              <w:rPr>
                <w:sz w:val="20"/>
                <w:szCs w:val="20"/>
                <w:color w:val="auto"/>
              </w:rPr>
            </w:pPr>
            <w:r>
              <w:rPr>
                <w:rFonts w:ascii="Arial" w:cs="Arial" w:eastAsia="Arial" w:hAnsi="Arial"/>
                <w:sz w:val="18"/>
                <w:szCs w:val="18"/>
                <w:color w:val="auto"/>
                <w:w w:val="92"/>
              </w:rPr>
              <w:t>Income/(loss) before provision for income taxes and equity investment</w:t>
            </w: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500"/>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(28.7)</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(51.6)</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Equity investment loss</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income/(loss)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(82.4)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Net income/(loss) per share:</w:t>
            </w: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3"/>
              </w:rPr>
              <w:t>(2.42)</w:t>
            </w:r>
          </w:p>
        </w:tc>
        <w:tc>
          <w:tcPr>
            <w:tcW w:w="88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5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(3.22)</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vMerge w:val="continue"/>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(2.42)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income/(loss) per share:</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CFF0FC"/>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3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w w:val="88"/>
              </w:rPr>
              <w:t>December 31,</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(82.4)</w:t>
            </w:r>
          </w:p>
        </w:tc>
        <w:tc>
          <w:tcPr>
            <w:tcW w:w="860" w:type="dxa"/>
            <w:vAlign w:val="bottom"/>
            <w:shd w:val="clear" w:color="auto" w:fill="CFF0FC"/>
          </w:tcPr>
          <w:p>
            <w:pPr>
              <w:jc w:val="right"/>
              <w:ind w:right="70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(108.9)</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net loss on investments</w:t>
            </w: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Reclassification from accumulated other comprehensive</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8"/>
                <w:szCs w:val="18"/>
                <w:color w:val="auto"/>
              </w:rPr>
              <w:t>income to interest income for accretion of</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non-current investments</w:t>
            </w: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current period-other comprehensive loss</w:t>
            </w:r>
          </w:p>
        </w:tc>
        <w:tc>
          <w:tcPr>
            <w:tcW w:w="7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Comprehensive income/(loss)</w:t>
            </w:r>
          </w:p>
        </w:tc>
        <w:tc>
          <w:tcPr>
            <w:tcW w:w="740" w:type="dxa"/>
            <w:vAlign w:val="bottom"/>
          </w:tcPr>
          <w:p>
            <w:pPr>
              <w:spacing w:after="0"/>
              <w:rPr>
                <w:sz w:val="19"/>
                <w:szCs w:val="19"/>
                <w:color w:val="auto"/>
              </w:rPr>
            </w:pPr>
          </w:p>
        </w:tc>
        <w:tc>
          <w:tcPr>
            <w:tcW w:w="820" w:type="dxa"/>
            <w:vAlign w:val="bottom"/>
            <w:tcBorders>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(82.4)</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700"/>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w w:val="98"/>
              </w:rPr>
              <w:t>Six Months Ended</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5"/>
                <w:szCs w:val="15"/>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b w:val="1"/>
                <w:bCs w:val="1"/>
                <w:color w:val="auto"/>
              </w:rPr>
              <w:t>2017</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3"/>
              <w:spacing w:after="0" w:line="169" w:lineRule="exact"/>
              <w:rPr>
                <w:sz w:val="20"/>
                <w:szCs w:val="20"/>
                <w:color w:val="auto"/>
              </w:rPr>
            </w:pPr>
            <w:r>
              <w:rPr>
                <w:rFonts w:ascii="Arial" w:cs="Arial" w:eastAsia="Arial" w:hAnsi="Arial"/>
                <w:sz w:val="15"/>
                <w:szCs w:val="15"/>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Net income/(loss)</w:t>
            </w:r>
          </w:p>
        </w:tc>
        <w:tc>
          <w:tcPr>
            <w:tcW w:w="2280" w:type="dxa"/>
            <w:vAlign w:val="bottom"/>
            <w:gridSpan w:val="2"/>
          </w:tcPr>
          <w:p>
            <w:pPr>
              <w:jc w:val="right"/>
              <w:ind w:right="863"/>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(108.9)</w:t>
            </w:r>
          </w:p>
        </w:tc>
        <w:tc>
          <w:tcPr>
            <w:tcW w:w="6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income/(loss) to net cash provided by operating activities: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Share-based compensation costs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Depreciation and amortization</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Acquired intangibles amortization</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Deferred taxes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Non-cash interest</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Amortization of convertible debt discount and issuance costs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Amortization of debt issuance costs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Impairment recovery on investments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Equity investment loss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Foreign currency remeasurement loss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Changes in operating assets and liabilities, net of acquisitions: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Accounts receivable, net</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Inventories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Prepaid expenses and other current assets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Other assets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Accounts payable</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(27.6)</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Accrued compensation</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Acquisition-related liabilities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Income taxes payable</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Other accrued liabilities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(6.6)</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gridSpan w:val="2"/>
          </w:tcPr>
          <w:p>
            <w:pPr>
              <w:spacing w:after="0" w:line="169" w:lineRule="exact"/>
              <w:rPr>
                <w:sz w:val="20"/>
                <w:szCs w:val="20"/>
                <w:color w:val="auto"/>
              </w:rPr>
            </w:pPr>
            <w:r>
              <w:rPr>
                <w:rFonts w:ascii="Arial" w:cs="Arial" w:eastAsia="Arial" w:hAnsi="Arial"/>
                <w:sz w:val="15"/>
                <w:szCs w:val="15"/>
                <w:color w:val="auto"/>
              </w:rPr>
              <w:t>Net cash provided by operating activities</w:t>
            </w:r>
          </w:p>
        </w:tc>
        <w:tc>
          <w:tcPr>
            <w:tcW w:w="12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103.2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52.4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126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Acquisition of businesses, net of cash and cash equivalents acquired</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(395.9)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sales of investments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Purchases of property and equipment</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(19.5)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(20.3)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Purchase of intangible assets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Investment in direct financing lease</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cash used in investing activities</w:t>
            </w:r>
          </w:p>
        </w:tc>
        <w:tc>
          <w:tcPr>
            <w:tcW w:w="1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(423.1)</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169"/>
        </w:trPr>
        <w:tc>
          <w:tcPr>
            <w:tcW w:w="66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12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issuance of convertible debt, net of issuance costs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514.5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Payment of debt</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(220.0)</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Purchases of treasury stock</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(93.6)</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Proceeds from issuance of shares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Payment of debt issuance costs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Excess tax benefit from share-based compensation</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Payroll taxes for deferred stock and market stock units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(4.6)</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5"/>
                <w:szCs w:val="15"/>
                <w:color w:val="auto"/>
              </w:rPr>
              <w:t>Net cash provided by/(used in) financing activities</w:t>
            </w:r>
          </w:p>
        </w:tc>
        <w:tc>
          <w:tcPr>
            <w:tcW w:w="1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204.4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(0.1)</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5"/>
                <w:szCs w:val="15"/>
                <w:color w:val="auto"/>
              </w:rPr>
              <w:t>Net decrease in cash and cash equivalents</w:t>
            </w:r>
          </w:p>
        </w:tc>
        <w:tc>
          <w:tcPr>
            <w:tcW w:w="1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(115.6)</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at beginning of period</w:t>
            </w:r>
          </w:p>
        </w:tc>
        <w:tc>
          <w:tcPr>
            <w:tcW w:w="126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367.8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352.2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gridSpan w:val="2"/>
          </w:tcPr>
          <w:p>
            <w:pPr>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2280" w:type="dxa"/>
            <w:vAlign w:val="bottom"/>
            <w:gridSpan w:val="2"/>
          </w:tcPr>
          <w:p>
            <w:pPr>
              <w:jc w:val="right"/>
              <w:ind w:right="863"/>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252.2</w:t>
            </w:r>
          </w:p>
        </w:tc>
        <w:tc>
          <w:tcPr>
            <w:tcW w:w="160" w:type="dxa"/>
            <w:vAlign w:val="bottom"/>
          </w:tcPr>
          <w:p>
            <w:pPr>
              <w:spacing w:after="0"/>
              <w:rPr>
                <w:sz w:val="18"/>
                <w:szCs w:val="18"/>
                <w:color w:val="auto"/>
              </w:rPr>
            </w:pPr>
          </w:p>
        </w:tc>
        <w:tc>
          <w:tcPr>
            <w:tcW w:w="66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347.2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80" w:type="dxa"/>
            <w:vAlign w:val="bottom"/>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Cash paid for taxes</w:t>
            </w:r>
          </w:p>
        </w:tc>
        <w:tc>
          <w:tcPr>
            <w:tcW w:w="2280" w:type="dxa"/>
            <w:vAlign w:val="bottom"/>
            <w:gridSpan w:val="2"/>
            <w:shd w:val="clear" w:color="auto" w:fill="CFF0FC"/>
          </w:tcPr>
          <w:p>
            <w:pPr>
              <w:jc w:val="right"/>
              <w:ind w:right="863"/>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Cash refund on taxes</w:t>
            </w:r>
          </w:p>
        </w:tc>
        <w:tc>
          <w:tcPr>
            <w:tcW w:w="2280" w:type="dxa"/>
            <w:vAlign w:val="bottom"/>
            <w:gridSpan w:val="2"/>
          </w:tcPr>
          <w:p>
            <w:pPr>
              <w:jc w:val="right"/>
              <w:ind w:right="863"/>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Non-cash investing and financing activities: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Purchases of property and equipment in current liabilities</w:t>
            </w:r>
          </w:p>
        </w:tc>
        <w:tc>
          <w:tcPr>
            <w:tcW w:w="2280" w:type="dxa"/>
            <w:vAlign w:val="bottom"/>
            <w:gridSpan w:val="2"/>
          </w:tcPr>
          <w:p>
            <w:pPr>
              <w:jc w:val="right"/>
              <w:ind w:right="863"/>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3.4</w:t>
            </w:r>
          </w:p>
        </w:tc>
        <w:tc>
          <w:tcPr>
            <w:tcW w:w="160" w:type="dxa"/>
            <w:vAlign w:val="bottom"/>
          </w:tcPr>
          <w:p>
            <w:pPr>
              <w:spacing w:after="0"/>
              <w:rPr>
                <w:sz w:val="15"/>
                <w:szCs w:val="15"/>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Common stock issued pursuant to acquisition</w:t>
            </w:r>
          </w:p>
        </w:tc>
        <w:tc>
          <w:tcPr>
            <w:tcW w:w="2280" w:type="dxa"/>
            <w:vAlign w:val="bottom"/>
            <w:gridSpan w:val="2"/>
            <w:shd w:val="clear" w:color="auto" w:fill="CFF0FC"/>
          </w:tcPr>
          <w:p>
            <w:pPr>
              <w:jc w:val="right"/>
              <w:ind w:right="863"/>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39.1</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24, 2017.</w:t>
      </w:r>
    </w:p>
    <w:p>
      <w:pPr>
        <w:spacing w:after="0" w:line="178"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Our fiscal year is the 52- or 53-week period ending on the last Saturday in June. Our fiscal 2018 is a 53-week period ending June 30, 2018, and our fiscal 2017 was a 52-week period ending on June 24, 2017. The fiscal periods presented in this report are 13-week and 27-week periods for the three and six months ended December 30, 2017, respectively, and 13-week and 26-week periods for the three and six months ended December 24, 2016, respectively. For simplicity, the accompanying condensed consolidated financial statements have been shown as ending on calendar quarter end dates as of and for all periods presented, unless otherwise indicated.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80" w:firstLine="518"/>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contingent consideration liability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net losses of $0.2 million and $0.5 million in the three and six months ended December 31, 2017 and net losses of $0.1 million and less than $0.1 million in the three and six months ended December 31, 2016, respectively.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recognize revenue from product sales when there is persuasive evidence that an arrangement exists, delivery has occurred and title has transferred, the price is fixed or determinable, and collection is reasonably assured. We accrue for estimated sales returns, incentives, and other allowances at the time we recognize revenue. Our products contain embedded firmware and software, which together with, or consisting of, our ASIC chip, deliver the essential functionality of our products and, as such, software revenue recognition guidance is not applicable. The majority of our sales to distributors are made under agreements that generally do not provide for price adjustments after purchase and revenue recognition and provide for only limited return rights under product warranty. Revenue on these sales is recognized in the same manner as sales to our non-distributor customers. Some of our sales are to distributors which have limited stock rotation rights, which allow them to rotate a small portion of product in their inventory two times per year. We recognize revenue to these distributors upon shipment of product to the distributor, as the stock rotation rights are limited and we can reasonably estimate expected product returns when right of return exists. When sales rebates, price allowances and stock rotations are applicable, they are estimated and recorded in the period the related revenue is recognized.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120" w:type="dxa"/>
            <w:vAlign w:val="bottom"/>
            <w:gridSpan w:val="11"/>
          </w:tcPr>
          <w:p>
            <w:pPr>
              <w:jc w:val="right"/>
              <w:ind w:right="125"/>
              <w:spacing w:after="0"/>
              <w:rPr>
                <w:sz w:val="20"/>
                <w:szCs w:val="20"/>
                <w:color w:val="auto"/>
              </w:rPr>
            </w:pPr>
            <w:r>
              <w:rPr>
                <w:rFonts w:ascii="Arial" w:cs="Arial" w:eastAsia="Arial" w:hAnsi="Arial"/>
                <w:sz w:val="18"/>
                <w:szCs w:val="18"/>
                <w:color w:val="auto"/>
                <w:w w:val="90"/>
              </w:rPr>
              <w:t>The computation of basic and diluted net income per share was as follows (in millions, except per share data):</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right"/>
              <w:ind w:right="31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Six Months Ended</w:t>
            </w:r>
          </w:p>
        </w:tc>
      </w:tr>
      <w:tr>
        <w:trPr>
          <w:trHeight w:val="230"/>
        </w:trPr>
        <w:tc>
          <w:tcPr>
            <w:tcW w:w="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right"/>
              <w:ind w:right="57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center"/>
              <w:ind w:right="340"/>
              <w:spacing w:after="0"/>
              <w:rPr>
                <w:sz w:val="20"/>
                <w:szCs w:val="20"/>
                <w:color w:val="auto"/>
              </w:rPr>
            </w:pPr>
            <w:r>
              <w:rPr>
                <w:rFonts w:ascii="Arial" w:cs="Arial" w:eastAsia="Arial" w:hAnsi="Arial"/>
                <w:sz w:val="18"/>
                <w:szCs w:val="18"/>
                <w:color w:val="auto"/>
                <w:w w:val="88"/>
              </w:rPr>
              <w:t>December 31,</w:t>
            </w:r>
          </w:p>
        </w:tc>
      </w:tr>
      <w:tr>
        <w:trPr>
          <w:trHeight w:val="223"/>
        </w:trPr>
        <w:tc>
          <w:tcPr>
            <w:tcW w:w="60" w:type="dxa"/>
            <w:vAlign w:val="bottom"/>
          </w:tcPr>
          <w:p>
            <w:pPr>
              <w:spacing w:after="0"/>
              <w:rPr>
                <w:sz w:val="19"/>
                <w:szCs w:val="19"/>
                <w:color w:val="auto"/>
              </w:rPr>
            </w:pPr>
          </w:p>
        </w:tc>
        <w:tc>
          <w:tcPr>
            <w:tcW w:w="41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60" w:type="dxa"/>
            <w:vAlign w:val="bottom"/>
          </w:tcPr>
          <w:p>
            <w:pPr>
              <w:spacing w:after="0"/>
              <w:rPr>
                <w:sz w:val="23"/>
                <w:szCs w:val="23"/>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Net income/(loss)</w:t>
            </w:r>
          </w:p>
        </w:tc>
        <w:tc>
          <w:tcPr>
            <w:tcW w:w="1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(82.4)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(108.9)</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3"/>
                <w:szCs w:val="23"/>
                <w:color w:val="auto"/>
              </w:rPr>
            </w:pPr>
          </w:p>
        </w:tc>
      </w:tr>
      <w:tr>
        <w:trPr>
          <w:trHeight w:val="210"/>
        </w:trPr>
        <w:tc>
          <w:tcPr>
            <w:tcW w:w="6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1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9"/>
                <w:szCs w:val="19"/>
                <w:color w:val="auto"/>
              </w:rPr>
            </w:pPr>
          </w:p>
        </w:tc>
      </w:tr>
      <w:tr>
        <w:trPr>
          <w:trHeight w:val="263"/>
        </w:trPr>
        <w:tc>
          <w:tcPr>
            <w:tcW w:w="60" w:type="dxa"/>
            <w:vAlign w:val="bottom"/>
          </w:tcPr>
          <w:p>
            <w:pPr>
              <w:spacing w:after="0"/>
              <w:rPr>
                <w:sz w:val="22"/>
                <w:szCs w:val="22"/>
                <w:color w:val="auto"/>
              </w:rPr>
            </w:pPr>
          </w:p>
        </w:tc>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12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FF0FC"/>
            </w:tcBorders>
          </w:tcPr>
          <w:p>
            <w:pPr>
              <w:spacing w:after="0"/>
              <w:rPr>
                <w:sz w:val="22"/>
                <w:szCs w:val="22"/>
                <w:color w:val="auto"/>
              </w:rPr>
            </w:pPr>
          </w:p>
        </w:tc>
      </w:tr>
      <w:tr>
        <w:trPr>
          <w:trHeight w:val="210"/>
        </w:trPr>
        <w:tc>
          <w:tcPr>
            <w:tcW w:w="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60" w:type="dxa"/>
            <w:vAlign w:val="bottom"/>
          </w:tcPr>
          <w:p>
            <w:pPr>
              <w:spacing w:after="0"/>
              <w:rPr>
                <w:sz w:val="23"/>
                <w:szCs w:val="23"/>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Basic</w:t>
            </w:r>
          </w:p>
        </w:tc>
        <w:tc>
          <w:tcPr>
            <w:tcW w:w="1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0.65</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3"/>
                <w:szCs w:val="23"/>
                <w:color w:val="auto"/>
              </w:rPr>
            </w:pPr>
          </w:p>
        </w:tc>
      </w:tr>
      <w:tr>
        <w:trPr>
          <w:trHeight w:val="210"/>
        </w:trPr>
        <w:tc>
          <w:tcPr>
            <w:tcW w:w="60" w:type="dxa"/>
            <w:vAlign w:val="bottom"/>
          </w:tcPr>
          <w:p>
            <w:pPr>
              <w:spacing w:after="0"/>
              <w:rPr>
                <w:sz w:val="18"/>
                <w:szCs w:val="18"/>
                <w:color w:val="auto"/>
              </w:rPr>
            </w:pPr>
          </w:p>
        </w:tc>
        <w:tc>
          <w:tcPr>
            <w:tcW w:w="4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deferred stock units, or DSUs, market stock units, or MSUs, performance stock units, or PSUs, and our convertible notes.</w:t>
      </w:r>
    </w:p>
    <w:p>
      <w:pPr>
        <w:spacing w:after="0" w:line="187"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Dilutive net income per share amounts do not include the potential weighted average effect of 3,334,776 and 1,900,374 shares of common stock related to certain share-based awards that were outstanding during the three months ended December 31, 2017 and 2016, respectively, and 3,020,056 and 1,586,410 shares of common stock related to certain share-based awards that were outstanding during the six months ended December 31, 2017, and 2016, respectively. These share-based awards were not included in the computation of diluted net income per share because their effect would have been antidilutive.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Financial assets measured at fair value on a recurring basis by level within the fair value hierarchy, consisted of the following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4"/>
          </w:tcPr>
          <w:p>
            <w:pPr>
              <w:jc w:val="center"/>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6"/>
              </w:rPr>
              <w:t>Level 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Level 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99"/>
              </w:rPr>
              <w:t>Level 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9"/>
                <w:szCs w:val="19"/>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361.7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Auction rate securities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ind w:left="260"/>
              <w:spacing w:after="0"/>
              <w:rPr>
                <w:sz w:val="20"/>
                <w:szCs w:val="20"/>
                <w:color w:val="auto"/>
              </w:rPr>
            </w:pPr>
            <w:r>
              <w:rPr>
                <w:rFonts w:ascii="Arial" w:cs="Arial" w:eastAsia="Arial" w:hAnsi="Arial"/>
                <w:sz w:val="18"/>
                <w:szCs w:val="18"/>
                <w:color w:val="auto"/>
              </w:rPr>
              <w:t>Total available-for-sale securities</w:t>
            </w:r>
          </w:p>
        </w:tc>
        <w:tc>
          <w:tcPr>
            <w:tcW w:w="10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In our condensed consolidated balance sheets, as of December 31, 2017 and June 30, 2017, money market balances were included in cash and cash equivalents, and auction rate securities, or ARS investments, were included in non-current other assets.</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There were no changes in fair value of our Level 3 financial assets during the six months ended December 31, 2017. There were no transfers in or out of our Level 1, 2, or 3 assets during the six months ended December 31, 2017 and 2016.</w:t>
      </w:r>
    </w:p>
    <w:p>
      <w:pPr>
        <w:spacing w:after="0" w:line="170" w:lineRule="exact"/>
        <w:rPr>
          <w:sz w:val="20"/>
          <w:szCs w:val="20"/>
          <w:color w:val="auto"/>
        </w:rPr>
      </w:pPr>
    </w:p>
    <w:p>
      <w:pPr>
        <w:jc w:val="both"/>
        <w:ind w:right="800" w:firstLine="518"/>
        <w:spacing w:after="0" w:line="342" w:lineRule="auto"/>
        <w:rPr>
          <w:sz w:val="20"/>
          <w:szCs w:val="20"/>
          <w:color w:val="auto"/>
        </w:rPr>
      </w:pPr>
      <w:r>
        <w:rPr>
          <w:rFonts w:ascii="Arial" w:cs="Arial" w:eastAsia="Arial" w:hAnsi="Arial"/>
          <w:sz w:val="16"/>
          <w:szCs w:val="16"/>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26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r>
      <w:tr>
        <w:trPr>
          <w:trHeight w:val="230"/>
        </w:trPr>
        <w:tc>
          <w:tcPr>
            <w:tcW w:w="37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CFF0FC"/>
            </w:tcBorders>
          </w:tcPr>
          <w:p>
            <w:pPr>
              <w:spacing w:after="0"/>
              <w:rPr>
                <w:sz w:val="20"/>
                <w:szCs w:val="20"/>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60" w:type="dxa"/>
            <w:vAlign w:val="bottom"/>
            <w:shd w:val="clear" w:color="auto" w:fill="CFF0FC"/>
          </w:tcPr>
          <w:p>
            <w:pPr>
              <w:spacing w:after="0"/>
              <w:rPr>
                <w:sz w:val="19"/>
                <w:szCs w:val="19"/>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0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6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Conexant</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252525"/>
        </w:rPr>
        <w:t xml:space="preserve">On June 11, 2017, we entered into a securities purchase agreement to acquire all of the outstanding limited liability company interests of Conexant Systems, LLC, or Conexant, </w:t>
      </w:r>
      <w:r>
        <w:rPr>
          <w:rFonts w:ascii="Arial" w:cs="Arial" w:eastAsia="Arial" w:hAnsi="Arial"/>
          <w:sz w:val="16"/>
          <w:szCs w:val="16"/>
          <w:color w:val="333333"/>
        </w:rPr>
        <w:t>a technology leader in voice and audio processing solutions for the smart home, or the Conexant</w:t>
      </w:r>
      <w:r>
        <w:rPr>
          <w:rFonts w:ascii="Arial" w:cs="Arial" w:eastAsia="Arial" w:hAnsi="Arial"/>
          <w:sz w:val="16"/>
          <w:szCs w:val="16"/>
          <w:color w:val="252525"/>
        </w:rPr>
        <w:t xml:space="preserve"> Acquisition. The Conexant Acquisition is intended to increase our </w:t>
      </w:r>
      <w:r>
        <w:rPr>
          <w:rFonts w:ascii="Arial" w:cs="Arial" w:eastAsia="Arial" w:hAnsi="Arial"/>
          <w:sz w:val="16"/>
          <w:szCs w:val="16"/>
          <w:color w:val="333333"/>
        </w:rPr>
        <w:t>presence in the smart home market and increase opportunities to grow revenue. Effective July 25, 2017, or the</w:t>
      </w:r>
      <w:r>
        <w:rPr>
          <w:rFonts w:ascii="Arial" w:cs="Arial" w:eastAsia="Arial" w:hAnsi="Arial"/>
          <w:sz w:val="16"/>
          <w:szCs w:val="16"/>
          <w:color w:val="252525"/>
        </w:rPr>
        <w:t xml:space="preserve"> </w:t>
      </w:r>
      <w:r>
        <w:rPr>
          <w:rFonts w:ascii="Arial" w:cs="Arial" w:eastAsia="Arial" w:hAnsi="Arial"/>
          <w:sz w:val="16"/>
          <w:szCs w:val="16"/>
          <w:color w:val="333333"/>
        </w:rPr>
        <w:t xml:space="preserve">Conexant Closing Date, we </w:t>
      </w:r>
      <w:r>
        <w:rPr>
          <w:rFonts w:ascii="Arial" w:cs="Arial" w:eastAsia="Arial" w:hAnsi="Arial"/>
          <w:sz w:val="16"/>
          <w:szCs w:val="16"/>
          <w:color w:val="000000"/>
        </w:rPr>
        <w:t>completed</w:t>
      </w:r>
      <w:r>
        <w:rPr>
          <w:rFonts w:ascii="Arial" w:cs="Arial" w:eastAsia="Arial" w:hAnsi="Arial"/>
          <w:sz w:val="16"/>
          <w:szCs w:val="16"/>
          <w:color w:val="333333"/>
        </w:rPr>
        <w:t xml:space="preserve"> the Conexant Acquisition for an initial purchase price of </w:t>
      </w:r>
      <w:r>
        <w:rPr>
          <w:rFonts w:ascii="Arial" w:cs="Arial" w:eastAsia="Arial" w:hAnsi="Arial"/>
          <w:sz w:val="16"/>
          <w:szCs w:val="16"/>
          <w:color w:val="252525"/>
        </w:rPr>
        <w:t>(i) $305.4 million in</w:t>
      </w:r>
      <w:r>
        <w:rPr>
          <w:rFonts w:ascii="Arial" w:cs="Arial" w:eastAsia="Arial" w:hAnsi="Arial"/>
          <w:sz w:val="16"/>
          <w:szCs w:val="16"/>
          <w:color w:val="333333"/>
        </w:rPr>
        <w:t xml:space="preserve"> </w:t>
      </w:r>
      <w:r>
        <w:rPr>
          <w:rFonts w:ascii="Arial" w:cs="Arial" w:eastAsia="Arial" w:hAnsi="Arial"/>
          <w:sz w:val="16"/>
          <w:szCs w:val="16"/>
          <w:color w:val="000000"/>
        </w:rPr>
        <w:t>cash</w:t>
      </w:r>
      <w:r>
        <w:rPr>
          <w:rFonts w:ascii="Arial" w:cs="Arial" w:eastAsia="Arial" w:hAnsi="Arial"/>
          <w:sz w:val="16"/>
          <w:szCs w:val="16"/>
          <w:color w:val="333333"/>
        </w:rPr>
        <w:t xml:space="preserve"> </w:t>
      </w:r>
      <w:r>
        <w:rPr>
          <w:rFonts w:ascii="Arial" w:cs="Arial" w:eastAsia="Arial" w:hAnsi="Arial"/>
          <w:sz w:val="16"/>
          <w:szCs w:val="16"/>
          <w:color w:val="252525"/>
        </w:rPr>
        <w:t>(on a cash-free, debt-free basis) and</w:t>
      </w:r>
    </w:p>
    <w:p>
      <w:pPr>
        <w:spacing w:after="0" w:line="2" w:lineRule="exact"/>
        <w:rPr>
          <w:sz w:val="20"/>
          <w:szCs w:val="20"/>
          <w:color w:val="auto"/>
        </w:rPr>
      </w:pPr>
    </w:p>
    <w:p>
      <w:pPr>
        <w:ind w:right="40" w:firstLine="8"/>
        <w:spacing w:after="0" w:line="270" w:lineRule="auto"/>
        <w:tabs>
          <w:tab w:leader="none" w:pos="265" w:val="left"/>
        </w:tabs>
        <w:numPr>
          <w:ilvl w:val="0"/>
          <w:numId w:val="3"/>
        </w:numPr>
        <w:rPr>
          <w:rFonts w:ascii="Arial" w:cs="Arial" w:eastAsia="Arial" w:hAnsi="Arial"/>
          <w:sz w:val="17"/>
          <w:szCs w:val="17"/>
          <w:color w:val="252525"/>
        </w:rPr>
      </w:pPr>
      <w:r>
        <w:rPr>
          <w:rFonts w:ascii="Arial" w:cs="Arial" w:eastAsia="Arial" w:hAnsi="Arial"/>
          <w:sz w:val="17"/>
          <w:szCs w:val="17"/>
          <w:color w:val="252525"/>
        </w:rPr>
        <w:t>726,666 shares of our common stock, or the Stock Consideration, valued at $39.1 million, and (iii) the assumption of a $3.5 million stock appreciation rights liability, with $16.8 million of the purchase price held in escrow to secure the seller’s indemnification obligations under the purchase agreement and $7.0 million of the purchase price held in escrow to secure the seller’s adjustment escrow obligations under the purchase agreement. Subsequently, we determined that $1.8 million of net adjustments to the purchase price were required reducing the acquisition date fair value of the consideration transferred to a total of $346.2 million. The Stock Consideration was issued at closing in an exempt private placement. On August 4, 2017, we filed a shelf registration statement on Form S-3 with the SEC providing for the registered resale of the Stock Consideration.</w:t>
      </w:r>
    </w:p>
    <w:p>
      <w:pPr>
        <w:spacing w:after="0" w:line="179"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6"/>
          <w:szCs w:val="16"/>
          <w:color w:val="000000"/>
        </w:rPr>
        <w:t>consideration over the net tangible and identifiable intangible</w:t>
      </w:r>
      <w:r>
        <w:rPr>
          <w:rFonts w:ascii="Arial" w:cs="Arial" w:eastAsia="Arial" w:hAnsi="Arial"/>
          <w:sz w:val="16"/>
          <w:szCs w:val="16"/>
          <w:color w:val="252525"/>
        </w:rPr>
        <w:t xml:space="preserve"> </w:t>
      </w:r>
      <w:r>
        <w:rPr>
          <w:rFonts w:ascii="Arial" w:cs="Arial" w:eastAsia="Arial" w:hAnsi="Arial"/>
          <w:sz w:val="16"/>
          <w:szCs w:val="16"/>
          <w:color w:val="000000"/>
        </w:rPr>
        <w:t>assets acquired and liabilities has been recorded as goodwill. Our estimate of the fair values of the acquired intangible assets at December 31, 2017, is preliminary and subject to change and is based on established and accepted valuation techniques performed with the assistance of our third-party valuation specialists. Additional information, which existed as of the Conexant Closing Date but is yet unknown to us, may become known to us during the remainder of the measurement period, which will not exceed 12 months from the Conexant Closing Date. Changes to amounts recorded as inventory, other current assets, acquired intangible assets and other accrued liabilities will be recorded as adjustments to the provisional amounts recognized as of the Conexant Closing Date and may result in a corresponding adjustment to goodwill in the period in which new information becomes available.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ind w:left="520"/>
        <w:spacing w:after="0"/>
        <w:rPr>
          <w:sz w:val="20"/>
          <w:szCs w:val="20"/>
          <w:color w:val="auto"/>
        </w:rPr>
      </w:pPr>
      <w:r>
        <w:rPr>
          <w:rFonts w:ascii="Arial" w:cs="Arial" w:eastAsia="Arial" w:hAnsi="Arial"/>
          <w:sz w:val="16"/>
          <w:szCs w:val="16"/>
          <w:color w:val="auto"/>
        </w:rPr>
        <w:t>The following table summarizes the provisional amounts recorded for the estimated fair values of the assets acquired and liabilities assumed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Conexant Closing Date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1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Accounts receivable</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Other current assets</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6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Pr>
          <w:p>
            <w:pPr>
              <w:ind w:left="260"/>
              <w:spacing w:after="0"/>
              <w:rPr>
                <w:sz w:val="20"/>
                <w:szCs w:val="20"/>
                <w:color w:val="auto"/>
              </w:rPr>
            </w:pPr>
            <w:r>
              <w:rPr>
                <w:rFonts w:ascii="Arial" w:cs="Arial" w:eastAsia="Arial" w:hAnsi="Arial"/>
                <w:sz w:val="18"/>
                <w:szCs w:val="18"/>
                <w:color w:val="auto"/>
              </w:rPr>
              <w:t>Total identifiable assets acquired</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227.1</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Accrued compensation</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6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identifiable assets acquired</w:t>
            </w:r>
          </w:p>
        </w:tc>
        <w:tc>
          <w:tcPr>
            <w:tcW w:w="36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36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assets acquired</w:t>
            </w:r>
          </w:p>
        </w:tc>
        <w:tc>
          <w:tcPr>
            <w:tcW w:w="36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8"/>
        <w:spacing w:after="0" w:line="284" w:lineRule="auto"/>
        <w:rPr>
          <w:sz w:val="20"/>
          <w:szCs w:val="20"/>
          <w:color w:val="auto"/>
        </w:rPr>
      </w:pPr>
      <w:r>
        <w:rPr>
          <w:rFonts w:ascii="Arial" w:cs="Arial" w:eastAsia="Arial" w:hAnsi="Arial"/>
          <w:sz w:val="16"/>
          <w:szCs w:val="16"/>
          <w:color w:val="252525"/>
        </w:rPr>
        <w:t xml:space="preserve">Of the $152.5 million of acquired intangible assets, $115.3 million was allocated to developed technology and will amortize over an estimated weighted average useful life of 5 years; $32.1 million was allocated to customer relationships and will be amortized over an estimated useful life of 4 years, $4.8 million was allocated to trademarks and will be amortized over an estimated useful life of 7 years; and $0.3 million was allocated to backlog and will be amortized over an estimated useful life of less than 1 year. </w:t>
      </w:r>
      <w:r>
        <w:rPr>
          <w:rFonts w:ascii="Arial" w:cs="Arial" w:eastAsia="Arial" w:hAnsi="Arial"/>
          <w:sz w:val="16"/>
          <w:szCs w:val="16"/>
          <w:color w:val="000000"/>
        </w:rPr>
        <w:t>Developed technology consists of semiconductor system solutions for audio and imaging</w:t>
      </w:r>
      <w:r>
        <w:rPr>
          <w:rFonts w:ascii="Arial" w:cs="Arial" w:eastAsia="Arial" w:hAnsi="Arial"/>
          <w:sz w:val="16"/>
          <w:szCs w:val="16"/>
          <w:color w:val="252525"/>
        </w:rPr>
        <w:t xml:space="preserve"> </w:t>
      </w:r>
      <w:r>
        <w:rPr>
          <w:rFonts w:ascii="Arial" w:cs="Arial" w:eastAsia="Arial" w:hAnsi="Arial"/>
          <w:sz w:val="16"/>
          <w:szCs w:val="16"/>
          <w:color w:val="000000"/>
        </w:rPr>
        <w:t>applications. We preliminarily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9% to</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14%. The fair value of these intangible assets is primarily affected by the projected income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value of goodwill reflects the anticipated synergies of the combined operations and workforce of Conexant as of the Conexant Closing Date.</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As of December 31, 2017, all of the goodwill is expected to be deductible for income tax purposes.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Conexant Acquisition, we did not have an existing relationship or transactions with Conexant.</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252525"/>
        </w:rPr>
        <w:t>The condensed consolidated financial statements include approximately $57.4 million of revenue and approximately $</w:t>
      </w:r>
      <w:r>
        <w:rPr>
          <w:rFonts w:ascii="Arial" w:cs="Arial" w:eastAsia="Arial" w:hAnsi="Arial"/>
          <w:sz w:val="18"/>
          <w:szCs w:val="18"/>
          <w:color w:val="000000"/>
        </w:rPr>
        <w:t>27.2</w:t>
      </w:r>
      <w:r>
        <w:rPr>
          <w:rFonts w:ascii="Arial" w:cs="Arial" w:eastAsia="Arial" w:hAnsi="Arial"/>
          <w:sz w:val="18"/>
          <w:szCs w:val="18"/>
          <w:color w:val="252525"/>
        </w:rPr>
        <w:t xml:space="preserve"> million of operating loss from Conexant from the </w:t>
      </w:r>
      <w:r>
        <w:rPr>
          <w:rFonts w:ascii="Arial" w:cs="Arial" w:eastAsia="Arial" w:hAnsi="Arial"/>
          <w:sz w:val="18"/>
          <w:szCs w:val="18"/>
          <w:color w:val="000000"/>
        </w:rPr>
        <w:t>Conexant</w:t>
      </w:r>
      <w:r>
        <w:rPr>
          <w:rFonts w:ascii="Arial" w:cs="Arial" w:eastAsia="Arial" w:hAnsi="Arial"/>
          <w:sz w:val="18"/>
          <w:szCs w:val="18"/>
          <w:color w:val="252525"/>
        </w:rPr>
        <w:t xml:space="preserve"> Closing Date through December 31, 2017.</w:t>
      </w:r>
    </w:p>
    <w:p>
      <w:pPr>
        <w:spacing w:after="0" w:line="170"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252525"/>
        </w:rPr>
        <w:t>The following unaudited pro forma financial information (in millions, except per share data) presents the combined results of operations for us and Conexant as if the Conexant Acquisition had occurred on June 30, 2016. The unaudited pro forma financial information has been prepared for comparative purposes only and does not purport to be indicative of the actual operating results that would have been recorded had the Conexant Acquisition actually taken place on June 30, 2016, and should not be taken as indicative of future consolidated operating results. Additionally, the unaudited pro forma financial results do not include any anticipated synergies or other expected benefits from the Conexant Acquisition.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19"/>
                <w:szCs w:val="19"/>
                <w:color w:val="auto"/>
              </w:rPr>
            </w:pPr>
          </w:p>
        </w:tc>
      </w:tr>
      <w:tr>
        <w:trPr>
          <w:trHeight w:val="230"/>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8"/>
              </w:rPr>
              <w:t>December 31,</w:t>
            </w: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8"/>
              </w:rPr>
              <w:t>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800" w:type="dxa"/>
            <w:vAlign w:val="bottom"/>
            <w:tcBorders>
              <w:bottom w:val="single" w:sz="8" w:color="CFF0FC"/>
            </w:tcBorders>
          </w:tcPr>
          <w:p>
            <w:pPr>
              <w:spacing w:after="0"/>
              <w:rPr>
                <w:sz w:val="19"/>
                <w:szCs w:val="19"/>
                <w:color w:val="auto"/>
              </w:rPr>
            </w:pPr>
          </w:p>
        </w:tc>
        <w:tc>
          <w:tcPr>
            <w:tcW w:w="2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 income/(loss)</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(82.5)</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(109.4)</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2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(2.42)</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(3.24)</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75"/>
        </w:trPr>
        <w:tc>
          <w:tcPr>
            <w:tcW w:w="3800" w:type="dxa"/>
            <w:vAlign w:val="bottom"/>
          </w:tcPr>
          <w:p>
            <w:pPr>
              <w:spacing w:after="0"/>
              <w:rPr>
                <w:sz w:val="24"/>
                <w:szCs w:val="24"/>
                <w:color w:val="auto"/>
              </w:rPr>
            </w:pP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38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 w:name="page11"/>
    <w:bookmarkEnd w:id="10"/>
    <w:p>
      <w:pPr>
        <w:ind w:left="520"/>
        <w:spacing w:after="0"/>
        <w:rPr>
          <w:sz w:val="20"/>
          <w:szCs w:val="20"/>
          <w:color w:val="auto"/>
        </w:rPr>
      </w:pPr>
      <w:r>
        <w:rPr>
          <w:rFonts w:ascii="Arial" w:cs="Arial" w:eastAsia="Arial" w:hAnsi="Arial"/>
          <w:sz w:val="16"/>
          <w:szCs w:val="16"/>
          <w:color w:val="auto"/>
        </w:rPr>
        <w:t>Pro forma adjustments used to arrive at pro forma net income for the three months ended December 31, 2017 and 2016,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0" w:type="dxa"/>
            <w:vAlign w:val="bottom"/>
            <w:gridSpan w:val="5"/>
          </w:tcPr>
          <w:p>
            <w:pPr>
              <w:jc w:val="right"/>
              <w:ind w:right="9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5"/>
          </w:tcPr>
          <w:p>
            <w:pPr>
              <w:jc w:val="right"/>
              <w:ind w:right="170"/>
              <w:spacing w:after="0"/>
              <w:rPr>
                <w:sz w:val="20"/>
                <w:szCs w:val="20"/>
                <w:color w:val="auto"/>
              </w:rPr>
            </w:pPr>
            <w:r>
              <w:rPr>
                <w:rFonts w:ascii="Arial" w:cs="Arial" w:eastAsia="Arial" w:hAnsi="Arial"/>
                <w:sz w:val="18"/>
                <w:szCs w:val="18"/>
                <w:color w:val="auto"/>
              </w:rPr>
              <w:t>Six Months Ended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88"/>
              </w:rPr>
              <w:t>December 31,</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88"/>
              </w:rPr>
              <w:t>December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Buyer transaction costs</w:t>
            </w:r>
          </w:p>
        </w:tc>
        <w:tc>
          <w:tcPr>
            <w:tcW w:w="2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9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Interest expense</w:t>
            </w:r>
          </w:p>
        </w:tc>
        <w:tc>
          <w:tcPr>
            <w:tcW w:w="2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Intangible amortization</w:t>
            </w:r>
          </w:p>
        </w:tc>
        <w:tc>
          <w:tcPr>
            <w:tcW w:w="2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w:t>
            </w:r>
          </w:p>
        </w:tc>
        <w:tc>
          <w:tcPr>
            <w:tcW w:w="7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3"/>
              </w:rPr>
              <w:t>(12.6)</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Depreciation</w:t>
            </w:r>
          </w:p>
        </w:tc>
        <w:tc>
          <w:tcPr>
            <w:tcW w:w="2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76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tax adjustment</w:t>
            </w:r>
          </w:p>
        </w:tc>
        <w:tc>
          <w:tcPr>
            <w:tcW w:w="2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r>
      <w:tr>
        <w:trPr>
          <w:trHeight w:val="223"/>
        </w:trPr>
        <w:tc>
          <w:tcPr>
            <w:tcW w:w="3820" w:type="dxa"/>
            <w:vAlign w:val="bottom"/>
          </w:tcPr>
          <w:p>
            <w:pPr>
              <w:ind w:left="14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760" w:type="dxa"/>
            <w:vAlign w:val="bottom"/>
          </w:tcPr>
          <w:p>
            <w:pPr>
              <w:jc w:val="right"/>
              <w:ind w:right="59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74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(14.4)</w:t>
            </w:r>
          </w:p>
        </w:tc>
      </w:tr>
      <w:tr>
        <w:trPr>
          <w:trHeight w:val="20"/>
        </w:trPr>
        <w:tc>
          <w:tcPr>
            <w:tcW w:w="3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Marvell Multimedia Solutions Business</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252525"/>
        </w:rPr>
        <w:t xml:space="preserve">On June 11, 2017, the Company entered into an asset purchase agreement to acquire the assets of the multimedia solutions business of Marvell Technology Group Ltd., or Marvell, </w:t>
      </w:r>
      <w:r>
        <w:rPr>
          <w:rFonts w:ascii="Arial" w:cs="Arial" w:eastAsia="Arial" w:hAnsi="Arial"/>
          <w:sz w:val="18"/>
          <w:szCs w:val="18"/>
          <w:color w:val="333333"/>
        </w:rPr>
        <w:t>a leading provider of advanced video and audio processing applications for the smart home</w:t>
      </w:r>
      <w:r>
        <w:rPr>
          <w:rFonts w:ascii="Arial" w:cs="Arial" w:eastAsia="Arial" w:hAnsi="Arial"/>
          <w:sz w:val="18"/>
          <w:szCs w:val="18"/>
          <w:color w:val="252525"/>
        </w:rPr>
        <w:t xml:space="preserve">, or the Marvell Business Acquisition. The </w:t>
      </w:r>
      <w:r>
        <w:rPr>
          <w:rFonts w:ascii="Arial" w:cs="Arial" w:eastAsia="Arial" w:hAnsi="Arial"/>
          <w:sz w:val="18"/>
          <w:szCs w:val="18"/>
          <w:color w:val="000000"/>
        </w:rPr>
        <w:t>Marvell</w:t>
      </w:r>
      <w:r>
        <w:rPr>
          <w:rFonts w:ascii="Arial" w:cs="Arial" w:eastAsia="Arial" w:hAnsi="Arial"/>
          <w:sz w:val="18"/>
          <w:szCs w:val="18"/>
          <w:color w:val="252525"/>
        </w:rPr>
        <w:t xml:space="preserve"> Business Acquisition is also intended to increase our </w:t>
      </w:r>
      <w:r>
        <w:rPr>
          <w:rFonts w:ascii="Arial" w:cs="Arial" w:eastAsia="Arial" w:hAnsi="Arial"/>
          <w:sz w:val="18"/>
          <w:szCs w:val="18"/>
          <w:color w:val="333333"/>
        </w:rPr>
        <w:t>presence in the smart home market and increase opportunities to grow</w:t>
      </w:r>
      <w:r>
        <w:rPr>
          <w:rFonts w:ascii="Arial" w:cs="Arial" w:eastAsia="Arial" w:hAnsi="Arial"/>
          <w:sz w:val="18"/>
          <w:szCs w:val="18"/>
          <w:color w:val="252525"/>
        </w:rPr>
        <w:t xml:space="preserve"> </w:t>
      </w:r>
      <w:r>
        <w:rPr>
          <w:rFonts w:ascii="Arial" w:cs="Arial" w:eastAsia="Arial" w:hAnsi="Arial"/>
          <w:sz w:val="18"/>
          <w:szCs w:val="18"/>
          <w:color w:val="333333"/>
        </w:rPr>
        <w:t xml:space="preserve">revenue. Effective September 8, 2017, or the Marvell Closing Date, we </w:t>
      </w:r>
      <w:r>
        <w:rPr>
          <w:rFonts w:ascii="Arial" w:cs="Arial" w:eastAsia="Arial" w:hAnsi="Arial"/>
          <w:sz w:val="18"/>
          <w:szCs w:val="18"/>
          <w:color w:val="000000"/>
        </w:rPr>
        <w:t>completed</w:t>
      </w:r>
      <w:r>
        <w:rPr>
          <w:rFonts w:ascii="Arial" w:cs="Arial" w:eastAsia="Arial" w:hAnsi="Arial"/>
          <w:sz w:val="18"/>
          <w:szCs w:val="18"/>
          <w:color w:val="333333"/>
        </w:rPr>
        <w:t xml:space="preserve"> the Marvell Business Acquisition for a purchase price of </w:t>
      </w:r>
      <w:r>
        <w:rPr>
          <w:rFonts w:ascii="Arial" w:cs="Arial" w:eastAsia="Arial" w:hAnsi="Arial"/>
          <w:sz w:val="18"/>
          <w:szCs w:val="18"/>
          <w:color w:val="252525"/>
        </w:rPr>
        <w:t>$93.7 million in</w:t>
      </w:r>
      <w:r>
        <w:rPr>
          <w:rFonts w:ascii="Arial" w:cs="Arial" w:eastAsia="Arial" w:hAnsi="Arial"/>
          <w:sz w:val="18"/>
          <w:szCs w:val="18"/>
          <w:color w:val="333333"/>
        </w:rPr>
        <w:t xml:space="preserve"> </w:t>
      </w:r>
      <w:r>
        <w:rPr>
          <w:rFonts w:ascii="Arial" w:cs="Arial" w:eastAsia="Arial" w:hAnsi="Arial"/>
          <w:sz w:val="18"/>
          <w:szCs w:val="18"/>
          <w:color w:val="000000"/>
        </w:rPr>
        <w:t>cash</w:t>
      </w:r>
      <w:r>
        <w:rPr>
          <w:rFonts w:ascii="Arial" w:cs="Arial" w:eastAsia="Arial" w:hAnsi="Arial"/>
          <w:sz w:val="18"/>
          <w:szCs w:val="18"/>
          <w:color w:val="252525"/>
        </w:rPr>
        <w:t>.</w:t>
      </w:r>
    </w:p>
    <w:p>
      <w:pPr>
        <w:spacing w:after="0" w:line="1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7"/>
          <w:szCs w:val="17"/>
          <w:color w:val="000000"/>
        </w:rPr>
        <w:t>consideration over the net tangible and identifiable intangible</w:t>
      </w:r>
      <w:r>
        <w:rPr>
          <w:rFonts w:ascii="Arial" w:cs="Arial" w:eastAsia="Arial" w:hAnsi="Arial"/>
          <w:sz w:val="17"/>
          <w:szCs w:val="17"/>
          <w:color w:val="252525"/>
        </w:rPr>
        <w:t xml:space="preserve"> </w:t>
      </w:r>
      <w:r>
        <w:rPr>
          <w:rFonts w:ascii="Arial" w:cs="Arial" w:eastAsia="Arial" w:hAnsi="Arial"/>
          <w:sz w:val="17"/>
          <w:szCs w:val="17"/>
          <w:color w:val="000000"/>
        </w:rPr>
        <w:t>assets acquired and liabilities has been recorded as goodwill. Our estimate of the fair values of the acquired intangible assets at December 31, 2017, is preliminary and subject to change and is based on established and accepted valuation techniques performed with the assistance of our third-party valuation specialists. Additional information, which existed as of the Marvell Closing Date but is yet unknown to us, may become known to us during the remainder of the measurement period, which will not exceed 12 months from the Marvell Closing Date. Changes to amounts recorded as inventory and acquired intangible assets will be recorded as adjustments to the provisional amounts recognized as of the Marvell Closing Date and may result in a corresponding adjustment to goodwill in the period in which new information becomes available.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provisional amounts recorded for the estimated fair values of the assets acquired and liabilities assumed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Marvell Business Acquisition date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540" w:type="dxa"/>
            <w:vAlign w:val="bottom"/>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Acquired intangible assets</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Pr>
          <w:p>
            <w:pPr>
              <w:ind w:left="260"/>
              <w:spacing w:after="0"/>
              <w:rPr>
                <w:sz w:val="20"/>
                <w:szCs w:val="20"/>
                <w:color w:val="auto"/>
              </w:rPr>
            </w:pPr>
            <w:r>
              <w:rPr>
                <w:rFonts w:ascii="Arial" w:cs="Arial" w:eastAsia="Arial" w:hAnsi="Arial"/>
                <w:sz w:val="18"/>
                <w:szCs w:val="18"/>
                <w:color w:val="auto"/>
              </w:rPr>
              <w:t>Total identifiable assets acquired</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identifiable assets acquired</w:t>
            </w: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FF0FC"/>
            </w:tcBorders>
          </w:tcPr>
          <w:p>
            <w:pPr>
              <w:spacing w:after="0"/>
              <w:rPr>
                <w:sz w:val="19"/>
                <w:szCs w:val="19"/>
                <w:color w:val="auto"/>
              </w:rPr>
            </w:pPr>
          </w:p>
        </w:tc>
      </w:tr>
      <w:tr>
        <w:trPr>
          <w:trHeight w:val="223"/>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252525"/>
        </w:rPr>
        <w:t xml:space="preserve">Of the $45.6 million of acquired intangible assets, $31.7 million was allocated to developed technology and will be amortized over an estimated weighted average useful life of 4 years; $12.7 million was allocated to customer relationships and will be amortized over an estimated useful life of 4 years, $1.2 million was allocated to backlog and will be amortized over an estimated useful life of less than 1 year; and $14.3 million was allocated to in-process research and development and will be amortized over an estimated useful life to be determined at the date the underlying projects are deemed to be substantively complete. </w:t>
      </w:r>
      <w:r>
        <w:rPr>
          <w:rFonts w:ascii="Arial" w:cs="Arial" w:eastAsia="Arial" w:hAnsi="Arial"/>
          <w:sz w:val="17"/>
          <w:szCs w:val="17"/>
          <w:color w:val="000000"/>
        </w:rPr>
        <w:t>Developed technology consists of semiconductor system solutions for advanced video and audio processing applications. We</w:t>
      </w:r>
      <w:r>
        <w:rPr>
          <w:rFonts w:ascii="Arial" w:cs="Arial" w:eastAsia="Arial" w:hAnsi="Arial"/>
          <w:sz w:val="17"/>
          <w:szCs w:val="17"/>
          <w:color w:val="252525"/>
        </w:rPr>
        <w:t xml:space="preserve"> </w:t>
      </w:r>
      <w:r>
        <w:rPr>
          <w:rFonts w:ascii="Arial" w:cs="Arial" w:eastAsia="Arial" w:hAnsi="Arial"/>
          <w:sz w:val="17"/>
          <w:szCs w:val="17"/>
          <w:color w:val="000000"/>
        </w:rPr>
        <w:t>preliminarily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9% to 18%. The fair value of these intangible assets is primarily affected by the projected income and the anticipated timing of the projected income associated with each intangible asset coupled with the discount rates used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to derive their estimated present values. We believe the level and timing of expected future cash flows appropriately reflects market participant assumptions.</w:t>
      </w:r>
    </w:p>
    <w:p>
      <w:pPr>
        <w:spacing w:after="0" w:line="24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value of goodwill reflects the anticipated synergies of the combined operations and workforce of the transferred Marvell Business assets as of the Marvell Closing Date.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All of the goodwill is expected to be deductible for income tax purposes.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Marvell Business Acquisition, we did not have an existing relationship or transactions with Marvell.</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252525"/>
        </w:rPr>
        <w:t>The condensed consolidated financial statements include approximately $63.1 million of revenue and approximately $9.1 million of operating loss from Marvell from the Marvell Closing Date through December 31, 2017.</w:t>
      </w:r>
    </w:p>
    <w:p>
      <w:pPr>
        <w:spacing w:after="0" w:line="170" w:lineRule="exact"/>
        <w:rPr>
          <w:sz w:val="20"/>
          <w:szCs w:val="20"/>
          <w:color w:val="auto"/>
        </w:rPr>
      </w:pPr>
    </w:p>
    <w:p>
      <w:pPr>
        <w:ind w:right="180" w:firstLine="518"/>
        <w:spacing w:after="0" w:line="267" w:lineRule="auto"/>
        <w:rPr>
          <w:sz w:val="20"/>
          <w:szCs w:val="20"/>
          <w:color w:val="auto"/>
        </w:rPr>
      </w:pPr>
      <w:r>
        <w:rPr>
          <w:rFonts w:ascii="Arial" w:cs="Arial" w:eastAsia="Arial" w:hAnsi="Arial"/>
          <w:sz w:val="17"/>
          <w:szCs w:val="17"/>
          <w:color w:val="252525"/>
        </w:rPr>
        <w:t>The following unaudited pro forma financial information (in millions, except per share data) presents the combined results of operations for us and Marvell as if the Marvell Business Acquisition had occurred on June 30, 2016. The unaudited pro forma financial information has been prepared for comparative purposes only and does not purport to be indicative of the actual operating results that would have been recorded had the Marvell Business Acquisition actually taken place on June 30, 2016, and should not be taken as indicative of future consolidated operating results. Additionally, the unaudited pro forma financial results do not include any anticipated synergies or other expected benefits from the Marvell Business Acquisition. As the Marvell Business Acquisition was an asset acquisition and only a portion of Marvell Multimedia Solutions Business was acquired, the unaudited pro forma financial information has been prepared using certain estimates.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80" w:type="dxa"/>
            <w:vAlign w:val="bottom"/>
            <w:gridSpan w:val="5"/>
          </w:tcPr>
          <w:p>
            <w:pPr>
              <w:jc w:val="center"/>
              <w:ind w:left="315"/>
              <w:spacing w:after="0"/>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Six Months Ended</w:t>
            </w:r>
          </w:p>
        </w:tc>
      </w:tr>
      <w:tr>
        <w:trPr>
          <w:trHeight w:val="230"/>
        </w:trPr>
        <w:tc>
          <w:tcPr>
            <w:tcW w:w="3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305"/>
              <w:spacing w:after="0"/>
              <w:rPr>
                <w:sz w:val="20"/>
                <w:szCs w:val="20"/>
                <w:color w:val="auto"/>
              </w:rPr>
            </w:pPr>
            <w:r>
              <w:rPr>
                <w:rFonts w:ascii="Arial" w:cs="Arial" w:eastAsia="Arial" w:hAnsi="Arial"/>
                <w:sz w:val="18"/>
                <w:szCs w:val="18"/>
                <w:color w:val="auto"/>
                <w:w w:val="90"/>
              </w:rPr>
              <w:t>December 31,</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8"/>
              </w:rPr>
              <w:t>December 31,</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9"/>
                <w:szCs w:val="19"/>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8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430.4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461.3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903.8</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 income/(loss)</w:t>
            </w: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(82.1)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(107.9)</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(2.41)</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(3.19)</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Pro forma adjustments used to arrive at pro forma net loss for the three and six months ended December 31, 2017 and 2016,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80" w:type="dxa"/>
            <w:vAlign w:val="bottom"/>
            <w:gridSpan w:val="4"/>
          </w:tcPr>
          <w:p>
            <w:pPr>
              <w:jc w:val="right"/>
              <w:ind w:right="12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w w:val="88"/>
              </w:rPr>
              <w:t>December 31,</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tcPr>
          <w:p>
            <w:pPr>
              <w:spacing w:after="0"/>
              <w:rPr>
                <w:sz w:val="19"/>
                <w:szCs w:val="19"/>
                <w:color w:val="auto"/>
              </w:rPr>
            </w:pPr>
          </w:p>
        </w:tc>
        <w:tc>
          <w:tcPr>
            <w:tcW w:w="20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Buyer transaction costs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Interest expense</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Intangible amortization</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Income tax adjustment</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08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shd w:val="clear" w:color="auto" w:fill="CFF0FC"/>
          </w:tcPr>
          <w:p>
            <w:pPr>
              <w:spacing w:after="0"/>
              <w:rPr>
                <w:sz w:val="19"/>
                <w:szCs w:val="19"/>
                <w:color w:val="auto"/>
              </w:rPr>
            </w:pPr>
          </w:p>
        </w:tc>
        <w:tc>
          <w:tcPr>
            <w:tcW w:w="208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660" w:type="dxa"/>
            <w:vAlign w:val="bottom"/>
          </w:tcPr>
          <w:p>
            <w:pPr>
              <w:spacing w:after="0"/>
              <w:rPr>
                <w:sz w:val="24"/>
                <w:szCs w:val="24"/>
                <w:color w:val="auto"/>
              </w:rPr>
            </w:pPr>
          </w:p>
        </w:tc>
        <w:tc>
          <w:tcPr>
            <w:tcW w:w="2880" w:type="dxa"/>
            <w:vAlign w:val="bottom"/>
            <w:gridSpan w:val="2"/>
          </w:tcPr>
          <w:p>
            <w:pPr>
              <w:jc w:val="right"/>
              <w:ind w:right="65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life, the gross carrying value and the related accumulated amortization of our acquired intangible assets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June 30, 2017 (in millions):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Life in Years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December 31, 2017</w:t>
            </w:r>
          </w:p>
        </w:tc>
        <w:tc>
          <w:tcPr>
            <w:tcW w:w="360" w:type="dxa"/>
            <w:vAlign w:val="bottom"/>
          </w:tcPr>
          <w:p>
            <w:pPr>
              <w:spacing w:after="0"/>
              <w:rPr>
                <w:sz w:val="20"/>
                <w:szCs w:val="20"/>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2017</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118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4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Audio and video technology</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147.0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1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Fingerprint authentication technology</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 and other</w:t>
            </w:r>
          </w:p>
        </w:tc>
        <w:tc>
          <w:tcPr>
            <w:tcW w:w="11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Tradename</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11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r>
      <w:tr>
        <w:trPr>
          <w:trHeight w:val="230"/>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Backlog</w:t>
            </w:r>
          </w:p>
        </w:tc>
        <w:tc>
          <w:tcPr>
            <w:tcW w:w="1180" w:type="dxa"/>
            <w:vAlign w:val="bottom"/>
            <w:tcBorders>
              <w:bottom w:val="single" w:sz="8" w:color="CFF0FC"/>
            </w:tcBorders>
          </w:tcPr>
          <w:p>
            <w:pPr>
              <w:jc w:val="right"/>
              <w:ind w:right="350"/>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Acquired intangibles, gross</w:t>
            </w:r>
          </w:p>
        </w:tc>
        <w:tc>
          <w:tcPr>
            <w:tcW w:w="11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w:t>
            </w: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8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(196.2)</w:t>
            </w:r>
          </w:p>
        </w:tc>
        <w:tc>
          <w:tcPr>
            <w:tcW w:w="360" w:type="dxa"/>
            <w:vAlign w:val="bottom"/>
          </w:tcPr>
          <w:p>
            <w:pPr>
              <w:spacing w:after="0"/>
              <w:rPr>
                <w:sz w:val="19"/>
                <w:szCs w:val="19"/>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(181.0)</w:t>
            </w:r>
          </w:p>
        </w:tc>
      </w:tr>
      <w:tr>
        <w:trPr>
          <w:trHeight w:val="223"/>
        </w:trPr>
        <w:tc>
          <w:tcPr>
            <w:tcW w:w="41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Acquired intangibles, net</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total amortization expense for the acquired intangible assets was $23.2 million and $14.5 million for the three months ended December 31, 2017 and 2016, respectively, and $43.3 million and $31.2 million for the six months ended December 31, 2017 and 2016, respectively. During the three months ended December 31, 2017 and 2016, $20.3 million and $12.0 million, respectively, and $36.2 million and $24.2 million for the six months ended December 31, 2017 and 2016, respectively, of amortization expense was included in our condensed consolidated statements of operations in cost of revenue; the remainder was included in acquired intangibles amortization.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December 31, 2017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2018</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Future amortization</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Changes in our goodwill balance for the three months ended December 31, 2017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64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Acquisition activity</w:t>
            </w:r>
          </w:p>
        </w:tc>
        <w:tc>
          <w:tcPr>
            <w:tcW w:w="6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Post-acquisition adjustments</w:t>
            </w:r>
          </w:p>
        </w:tc>
        <w:tc>
          <w:tcPr>
            <w:tcW w:w="6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Ending balance</w:t>
            </w:r>
          </w:p>
        </w:tc>
        <w:tc>
          <w:tcPr>
            <w:tcW w:w="614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6140" w:type="dxa"/>
            <w:vAlign w:val="bottom"/>
            <w:vMerge w:val="restart"/>
          </w:tcPr>
          <w:p>
            <w:pPr>
              <w:jc w:val="right"/>
              <w:ind w:right="409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84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8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Other Accrued Liabilities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Other accrued liabilities consisted of the following (in millions):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r>
      <w:tr>
        <w:trPr>
          <w:trHeight w:val="230"/>
        </w:trPr>
        <w:tc>
          <w:tcPr>
            <w:tcW w:w="120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CFF0FC"/>
            </w:tcBorders>
          </w:tcPr>
          <w:p>
            <w:pPr>
              <w:spacing w:after="0"/>
              <w:rPr>
                <w:sz w:val="20"/>
                <w:szCs w:val="20"/>
                <w:color w:val="auto"/>
              </w:rPr>
            </w:pPr>
          </w:p>
        </w:tc>
      </w:tr>
      <w:tr>
        <w:trPr>
          <w:trHeight w:val="223"/>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Inventory obligations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Borders>
              <w:bottom w:val="single" w:sz="8" w:color="CFF0FC"/>
            </w:tcBorders>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Indemnifications, Contingencies and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In October 2015, Amkor Technology, or Amkor, filed a complaint against us alleging infringement of intellectual property rights and various other claims. In November 2015, we filed an indemnification claim against the former stockholders and option holders of Validity Sensors, Inc., or Validity, to secure our rights under the Agreement and Plan of Reorganization between us and Validity (the “Validity Agreement”). Pursuant to the Validity Agreement, we believe we can offset costs, damages and settlements incurred in connection with our defense and resolution of the complaint with Amkor against the contingent consideration earnout balance of $8.7 million and have classified the reserve balance as a current acquisition-related liability in our condensed consolidated balance sheet. In April 2017, we agreed to settle this case with Amkor on undisclosed terms that include each party licensing and assigning certain intellectual property rights, and cash payments. Settlement costs incurred in connection with this litigation have been recorded in our condensed consolidated financial statements in fiscal 2017 and all but an immaterial amount was paid during fiscal 2017. The indemnification claim against the former stockholders and option holders of Validity remains outstanding.</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June 20, 2017, we entered into a purchase agreement, or the Purchase Agreement, with Wells Fargo Securities, LLC, as representative of the initial purchasers named therein, or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includes proceeds from the Initial Purchasers’ exercise of their option to purchase additional Notes. We received the net proceeds on June 26, 2017, which we used to repurchase 1,698,400 shares of our common stock, to retire our outstanding bank debt, and to provide additional cash resources to fund the Conexant and Marvell Business Acquisitions.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4" w:name="page15"/>
    <w:bookmarkEnd w:id="14"/>
    <w:p>
      <w:pPr>
        <w:ind w:right="22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2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are amortized as interest expense using the effective interest method over five years.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252525"/>
        </w:rPr>
        <w:t>The contractual interest expense and amortization of discount on the Notes for the six months ended December 31, 2017,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Six Months Ended</w:t>
            </w:r>
          </w:p>
        </w:tc>
      </w:tr>
      <w:tr>
        <w:trPr>
          <w:trHeight w:val="230"/>
        </w:trPr>
        <w:tc>
          <w:tcPr>
            <w:tcW w:w="9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December 31,</w:t>
            </w:r>
          </w:p>
        </w:tc>
      </w:tr>
      <w:tr>
        <w:trPr>
          <w:trHeight w:val="223"/>
        </w:trPr>
        <w:tc>
          <w:tcPr>
            <w:tcW w:w="90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30"/>
        </w:trPr>
        <w:tc>
          <w:tcPr>
            <w:tcW w:w="9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FF0FC"/>
            </w:tcBorders>
          </w:tcPr>
          <w:p>
            <w:pPr>
              <w:spacing w:after="0"/>
              <w:rPr>
                <w:sz w:val="19"/>
                <w:szCs w:val="19"/>
                <w:color w:val="auto"/>
              </w:rPr>
            </w:pPr>
          </w:p>
        </w:tc>
      </w:tr>
      <w:tr>
        <w:trPr>
          <w:trHeight w:val="223"/>
        </w:trPr>
        <w:tc>
          <w:tcPr>
            <w:tcW w:w="9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Notes as of December 31, 2017 were $8.3 million and $74.5 million,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 Arrangement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 xml:space="preserve">At the end of fiscal 2017, we had $220.0 million principal outstanding under our credit agreement consisting of $100.0 million under our revolving credit facility and $120.0 million under our term loan arrangement. At the beginning of fiscal 2018, we issued $525.0 million principal amount of convertible senior notes, or the Notes, and utilized a portion of the proceeds from our Notes to retire the outstanding principal and interest balances on our </w:t>
      </w:r>
      <w:r>
        <w:rPr>
          <w:rFonts w:ascii="Arial" w:cs="Arial" w:eastAsia="Arial" w:hAnsi="Arial"/>
          <w:sz w:val="18"/>
          <w:szCs w:val="18"/>
          <w:color w:val="252525"/>
        </w:rPr>
        <w:t>revolving</w:t>
      </w:r>
      <w:r>
        <w:rPr>
          <w:rFonts w:ascii="Arial" w:cs="Arial" w:eastAsia="Arial" w:hAnsi="Arial"/>
          <w:sz w:val="18"/>
          <w:szCs w:val="18"/>
          <w:color w:val="auto"/>
        </w:rPr>
        <w:t xml:space="preserve"> </w:t>
      </w:r>
      <w:r>
        <w:rPr>
          <w:rFonts w:ascii="Arial" w:cs="Arial" w:eastAsia="Arial" w:hAnsi="Arial"/>
          <w:sz w:val="18"/>
          <w:szCs w:val="18"/>
          <w:color w:val="252525"/>
        </w:rPr>
        <w:t>credit facility and our term loan arrangement. At the end of July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right="200"/>
        <w:spacing w:after="0" w:line="277" w:lineRule="auto"/>
        <w:rPr>
          <w:sz w:val="20"/>
          <w:szCs w:val="20"/>
          <w:color w:val="auto"/>
        </w:rPr>
      </w:pPr>
      <w:r>
        <w:rPr>
          <w:rFonts w:ascii="Arial" w:cs="Arial" w:eastAsia="Arial" w:hAnsi="Arial"/>
          <w:sz w:val="18"/>
          <w:szCs w:val="18"/>
          <w:color w:val="252525"/>
        </w:rPr>
        <w:t>2017, we made an election to reduce the commitment under the revolving credit facility from $450.0 million to $250.0 million as we were able to complete the Conexant Acquisition with available cash.</w:t>
      </w:r>
    </w:p>
    <w:p>
      <w:pPr>
        <w:spacing w:after="0" w:line="170"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December 31, 2017, there is no balance outstanding under the revolving credit facility. As a result of terminating our term loan arrangement, we expensed the remaining debt issuance costs attributable to the term loan of $1.0 million during the first quarter of fiscal 2018.</w:t>
      </w:r>
    </w:p>
    <w:p>
      <w:pPr>
        <w:spacing w:after="0" w:line="166"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Notes if the Notes have not been refinanced in full by such date. Debt issuance costs of $2.3 million will be amortized over 60 months.</w:t>
      </w:r>
    </w:p>
    <w:p>
      <w:pPr>
        <w:spacing w:after="0" w:line="14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There is no balance outstanding under the revolving credit facility.</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 As of the end of the quarter, we were in compliance with the restrictive covenants.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Share-Based Compensation</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During the three months ended September 30, 2017, we adopted the accounting standard update, or ASU, for Compensation-Stock Compensation which was issued by the Financial Accounting Standards Board, or FASB. This update simplifies several aspects of the accounting for employee share-based payment transactions including the accounting for income taxes, forfeitures, and statutory tax withholding requirements, as well as classification in the statement of cash flows. Upon adoption of this ASU, we elected to change our accounting policy to account for forfeitures as they occur and we applied the accounting policy change on a modified retrospective basis. As a result of the adoption of this ASU, we recognized the net cumulative effect of this change as a $24.7 million increase to retained earnings, a $1.0 million increase to additional paid-in capital and established an additional $25.7 million of deferred tax assets for research credit and alternative minimum tax credit carryforwards. We have reflected excess tax benefits for share-based payments in the statement of cash flows as operating activities rather than financing activities on a prospective basis and therefore prior periods have not been adjusted.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60" w:type="dxa"/>
            <w:vAlign w:val="bottom"/>
            <w:gridSpan w:val="5"/>
          </w:tcPr>
          <w:p>
            <w:pPr>
              <w:jc w:val="right"/>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60" w:type="dxa"/>
            <w:vAlign w:val="bottom"/>
            <w:gridSpan w:val="5"/>
          </w:tcPr>
          <w:p>
            <w:pPr>
              <w:jc w:val="right"/>
              <w:ind w:right="245"/>
              <w:spacing w:after="0"/>
              <w:rPr>
                <w:sz w:val="20"/>
                <w:szCs w:val="20"/>
                <w:color w:val="auto"/>
              </w:rPr>
            </w:pPr>
            <w:r>
              <w:rPr>
                <w:rFonts w:ascii="Arial" w:cs="Arial" w:eastAsia="Arial" w:hAnsi="Arial"/>
                <w:sz w:val="18"/>
                <w:szCs w:val="18"/>
                <w:color w:val="auto"/>
              </w:rPr>
              <w:t>December 31,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December 31,</w:t>
            </w:r>
          </w:p>
        </w:tc>
      </w:tr>
      <w:tr>
        <w:trPr>
          <w:trHeight w:val="223"/>
        </w:trPr>
        <w:tc>
          <w:tcPr>
            <w:tcW w:w="4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2016</w:t>
            </w: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r>
      <w:tr>
        <w:trPr>
          <w:trHeight w:val="263"/>
        </w:trPr>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15.6</w:t>
            </w:r>
          </w:p>
        </w:tc>
        <w:tc>
          <w:tcPr>
            <w:tcW w:w="100" w:type="dxa"/>
            <w:vAlign w:val="bottom"/>
            <w:tcBorders>
              <w:bottom w:val="single" w:sz="8" w:color="CFF0FC"/>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tcPr>
          <w:p>
            <w:pPr>
              <w:spacing w:after="0"/>
              <w:rPr>
                <w:sz w:val="22"/>
                <w:szCs w:val="22"/>
                <w:color w:val="auto"/>
              </w:rPr>
            </w:pPr>
          </w:p>
        </w:tc>
      </w:tr>
      <w:tr>
        <w:trPr>
          <w:trHeight w:val="210"/>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on share-based compensation</w:t>
            </w:r>
          </w:p>
        </w:tc>
        <w:tc>
          <w:tcPr>
            <w:tcW w:w="9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Stock option activity, including stock options granted, exercised, and forfeited, weighted average exercise prices for stock options outstanding and exercisable, and the aggregate intrinsic value were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2,490,168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61,825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(85,126)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(79,653)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2,387,214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2017</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46.64</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1,943,715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December 29, 2017 of $39.94 and excludes the impact of stock options that were not in-the-money.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Deferred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activity, including DSUs granted, delivered, and forfeited, and the balance and aggregate intrinsic value of DSUs were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DSU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1,320,798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1,230,511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(450,099)</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(101,645)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1,999,565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29, 2017 of $39.94.</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shares delivered, 119,258 shares valued at $4.6 million were withheld to meet statutory tax withholding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have granted MSUs to our executive officers, and other management members, which are designed to vest in three tranches with the target quantity for each tranche equal to one-third of the total MSU grant. The first tranche vests based on a one-year performance period; the second tranche vests based on a two-year performance period; and the third tranche vests based on a three-year performance period. Performance is measured based on the achievement of a specified level of total stockholder return, or TSR, relative to the TSR of the S&amp;P Semiconductor Select Industry Index, or SPSISC Index for grants beginning in fiscal 2018 and relative to the Philadelphia Semiconductor Index, or SOX Index for grants made prior to fiscal 2018. The potential payout ranges from 0% to 200% of the grant target quantity and is adjusted on a two-to-one ratio based on our TSR performance relative to the SPSISC Index TSR or SOX Index TSR using the following formula: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 ([Synaptics TSR — {SPSISC Index TSR or SOX Index TSR}] x 2))</w:t>
      </w:r>
    </w:p>
    <w:p>
      <w:pPr>
        <w:spacing w:after="0" w:line="22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payout for the first tranche and the second tranche will not exceed 100% and the payout for the third tranche will be calculated based on the total target quantity for the entire grant multiplied by the payout factor, based on performance for the three-year performance period, which will then be reduced by shares issued for the first tranche and the second tranche.</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right="420" w:firstLine="518"/>
        <w:spacing w:after="0" w:line="277" w:lineRule="auto"/>
        <w:rPr>
          <w:sz w:val="20"/>
          <w:szCs w:val="20"/>
          <w:color w:val="auto"/>
        </w:rPr>
      </w:pPr>
      <w:r>
        <w:rPr>
          <w:rFonts w:ascii="Arial" w:cs="Arial" w:eastAsia="Arial" w:hAnsi="Arial"/>
          <w:sz w:val="18"/>
          <w:szCs w:val="18"/>
          <w:color w:val="auto"/>
        </w:rPr>
        <w:t>During the six months ended December 31, 2017, MSU activity, including MSUs granted, delivered, and forfeited, and the balance and aggregate intrinsic value of MSUs as of December 31, 2017 was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158,596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300,071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(68,003)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(8,733)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381,931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We value MSUs using the Monte Carlo simulation model on the date of grant and amortize the compensation expense over the three-year performance and service period on a straight-line basis. The unrecognized share-based compensation cost of our outstanding MSUs was approximately $20.8 million as of December 31, 2017, which will be recognized over a weighted average period of approximately 1.6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1"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We have granted PSUs to our executive officers and other management members,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non-GAAP earnings per share. The potential payout ranges from 0% to 200% of the grant target quantity and is adjusted on a linear basis with a payout triggering if our non-GAAP earnings per share equals greater than 65% of the target with a maximum payout achieved at 135% of target.</w:t>
      </w:r>
    </w:p>
    <w:p>
      <w:pPr>
        <w:spacing w:after="0" w:line="15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the six months ended December 31, 2017, there were 300,071 PSUs granted and no PSUs were delivered or forfeited. The aggregate intrinsic value of PSUs as of December 31, 2017 was $12.0 million.</w:t>
      </w:r>
    </w:p>
    <w:p>
      <w:pPr>
        <w:spacing w:after="0" w:line="170"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We value PSUs using the aggregate intrinsic value on the date of grant and amortize the compensation expense over the three-year service period on a ratable basis, dependent upon the probability of meeting the performance measures. The unrecognized share-based compensation cost of our outstanding PSUs was approximately $11.0 million as of December 31, 2017, which will be recognized over a weighted average period of approximately 1.9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Shares purchased, weighted average purchase price, cash received, and the aggregate intrinsic value for employee stock purchase plan purchases during the six-month period ended December 31, 2017 were as follows (in millions, except for shares purchased and weighted average price):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6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210,798</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61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9"/>
                <w:szCs w:val="19"/>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61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61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634"/>
        </w:trPr>
        <w:tc>
          <w:tcPr>
            <w:tcW w:w="4000" w:type="dxa"/>
            <w:vAlign w:val="bottom"/>
          </w:tcPr>
          <w:p>
            <w:pPr>
              <w:spacing w:after="0"/>
              <w:rPr>
                <w:sz w:val="24"/>
                <w:szCs w:val="24"/>
                <w:color w:val="auto"/>
              </w:rPr>
            </w:pPr>
          </w:p>
        </w:tc>
        <w:tc>
          <w:tcPr>
            <w:tcW w:w="6120" w:type="dxa"/>
            <w:vAlign w:val="bottom"/>
          </w:tcPr>
          <w:p>
            <w:pPr>
              <w:jc w:val="right"/>
              <w:ind w:right="4230"/>
              <w:spacing w:after="0"/>
              <w:rPr>
                <w:sz w:val="20"/>
                <w:szCs w:val="20"/>
                <w:color w:val="auto"/>
              </w:rPr>
            </w:pPr>
            <w:r>
              <w:rPr>
                <w:rFonts w:ascii="Arial" w:cs="Arial" w:eastAsia="Arial" w:hAnsi="Arial"/>
                <w:sz w:val="18"/>
                <w:szCs w:val="18"/>
                <w:color w:val="auto"/>
              </w:rPr>
              <w:t>19</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00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On December 22, 2017, the U.S. government enacted comprehensive tax legislation, commonly known as the Tax Cuts and Jobs Act of 2017, or the Act, which significantly reforms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 sourced earnings. As our accounting and tax year is the fiscal period ending on the last Saturday in June, U.S. federal tax law requires that taxpayers with a fiscal year that spans the effective date of a rate change to calculate a blended tax rate based on the pro rata number of days in the fiscal year before and after the effective date. As a result, our U.S. federal tax rate for fiscal 2018 is a days-weighted blended tax rate of 28.17%. For fiscal 2019 and subsequent tax years, our U.S. federal tax rate will be 21%.</w:t>
      </w:r>
    </w:p>
    <w:p>
      <w:pPr>
        <w:spacing w:after="0" w:line="16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As of December 31, 2017, we have not fully completed our accounting for the tax effects of the Act; however, in certain cases, we have made a reasonable estimate of the effects of the enactment. In cases where we have not been able to make a reasonable estimate, we continue to account for those items based on our existing accounting policies. For the items for which we were able to determine a reasonable estimate, namely the one-time transition tax and the remeasurement of deferred tax at the new tax rate, we recognized provisional tax expense of $46.5 million, which is included as a component of provision for income tax expenses in the three and six months ended December 31, 2017. Of the $46.5 million provisional tax expense, $54.4 million was for discrete tax expense items consisting of the one-time transition tax and the remeasurement of the beginning balance of U.S. federal deferred tax assets, partially offset by a non-discrete tax benefit of $7.9 million, which has an impact of 12.6% on our annual effective tax rate. As of December 31, 2017, we remeasured our U.S. federal deferred tax assets and liabilities based on the tax rates at which they are expected to reverse in the future and recorded a discrete tax provision of $5.1 million.</w:t>
      </w:r>
    </w:p>
    <w:p>
      <w:pPr>
        <w:spacing w:after="0" w:line="18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one-time transition tax is based on our post-1986 foreign earnings and profits, or E&amp;P, which we have previously excluded from U.S. income taxes due to our position that we would permanently reinvest future earnings. The one-time transition tax is applied at a 15.5% tax rate on cash assets and an 8% tax rate for other specified assets. We recorded a provisional amount for our one-time transition tax liability for our foreign subsidiaries, resulting in an increase in income tax expense of $49.3 million, net of foreign tax credits. We also expect to fully utilize all of our federal research tax credit carryforwards generated from previous years.</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have not yet completed our calculation of the total post-1986 foreign E&amp;P for these foreign subsidiaries. This amount may change when we finalize the determination of our E&amp;P previously deferred from U.S. federal taxation and finalize the amounts held in cash or other specified assets. No additional income taxes have been provided for any remaining undistributed foreign earnings not subject to the transition tax and any additional outside basis difference inherent in these entities as these amounts continue to be indefinitely reinvested in foreign operations. We did not have the necessary information prepared or analyzed to develop a reasonable estimate of the tax liability, if any, for our remaining outside basis difference including any deferred tax accounting that may be required due to other provisions in the Act beyond the one-time transition tax, including how that accounting may be affected by our ongoing accounting position to indefinitely reinvest unremitted foreign earnings.</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The provision for income taxes of $53.3 million and $6.6 million for the three months ended December 31, 2017 and 2016, respectively, represented estimated federal, foreign, and state income taxes. The effective tax rate for the three months ended December 31, 2017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 The effective tax rate for the three months ended December 31, 2016, diverged from the combined U.S. federal and state statutory tax rate, primarily because of foreign income taxed at lower tax rates and research credits, partially offset by foreign withholding taxes, nondeductible amortization, and the impact of accounting for qualified stock options.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0" w:name="page21"/>
    <w:bookmarkEnd w:id="20"/>
    <w:p>
      <w:pPr>
        <w:ind w:right="280" w:firstLine="518"/>
        <w:spacing w:after="0" w:line="291" w:lineRule="auto"/>
        <w:rPr>
          <w:sz w:val="20"/>
          <w:szCs w:val="20"/>
          <w:color w:val="auto"/>
        </w:rPr>
      </w:pPr>
      <w:r>
        <w:rPr>
          <w:rFonts w:ascii="Arial" w:cs="Arial" w:eastAsia="Arial" w:hAnsi="Arial"/>
          <w:sz w:val="16"/>
          <w:szCs w:val="16"/>
          <w:color w:val="auto"/>
        </w:rPr>
        <w:t>The provision for income taxes of $56.5 million and $7.6 million for the six months ended December 31, 2017, and 2016, respectively, represented estimated federal, foreign, and state income taxes. The effective tax rate for the three months ended December 31, 2017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 The effective tax rate for the three months ended December 31, 2016, diverged from the combined U.S. federal and state statutory tax rate, primarily because of foreign income taxed at lower tax rates and research credits, partially offset by foreign withholding taxes, nondeductible amortization, and the impact of accounting for qualified stock options.</w:t>
      </w:r>
    </w:p>
    <w:p>
      <w:pPr>
        <w:spacing w:after="0" w:line="16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total liability for gross unrecognized tax benefits related to uncertain tax positions increased $2.8 million during the six months ended December 31, 2017, to $18.0 million from $15.2 million at June 30, 2017,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December 31, 2017 were $1.3 million; this balance increased by $0.1 million compared to June 30, 2017. We classify interest and penalties as components of income tax expense. It is reasonably possible that the amount of the liability for unrecognized tax benefits may change within the next twelve months and an estimate of the range of possible changes may include an increase in our liability of up to $2.4 million.</w:t>
      </w:r>
    </w:p>
    <w:p>
      <w:pPr>
        <w:spacing w:after="0" w:line="165" w:lineRule="exact"/>
        <w:rPr>
          <w:sz w:val="20"/>
          <w:szCs w:val="20"/>
          <w:color w:val="auto"/>
        </w:rPr>
      </w:pPr>
    </w:p>
    <w:p>
      <w:pPr>
        <w:ind w:right="140" w:firstLine="518"/>
        <w:spacing w:after="0" w:line="288" w:lineRule="auto"/>
        <w:rPr>
          <w:sz w:val="20"/>
          <w:szCs w:val="20"/>
          <w:color w:val="auto"/>
        </w:rPr>
      </w:pPr>
      <w:r>
        <w:rPr>
          <w:rFonts w:ascii="Arial" w:cs="Arial" w:eastAsia="Arial" w:hAnsi="Arial"/>
          <w:sz w:val="16"/>
          <w:szCs w:val="16"/>
          <w:color w:val="auto"/>
        </w:rPr>
        <w:t>In July 2015, the U.S. Tax Court issued an opinion in Altera Corp. v. Commissioner related to a treasury regulation addressing the treatment of stock-based compensation in a cost-sharing arrangement with a related party. The U.S. Department of the Treasury has not withdrawn the requirement in its regulations related to the treatment of stock-based compensation. The Commissioner filed an appeal to the Ninth Circuit Court of Appeals in February</w:t>
      </w:r>
    </w:p>
    <w:p>
      <w:pPr>
        <w:ind w:right="460"/>
        <w:spacing w:after="0" w:line="261" w:lineRule="auto"/>
        <w:rPr>
          <w:sz w:val="20"/>
          <w:szCs w:val="20"/>
          <w:color w:val="auto"/>
        </w:rPr>
      </w:pPr>
      <w:r>
        <w:rPr>
          <w:rFonts w:ascii="Arial" w:cs="Arial" w:eastAsia="Arial" w:hAnsi="Arial"/>
          <w:sz w:val="18"/>
          <w:szCs w:val="18"/>
          <w:color w:val="auto"/>
        </w:rPr>
        <w:t>2016. While we determined no adjustment to our financial statements is required due to the uncertainties with respect to the ultimate resolution, we will continue to monitor developments in this case.</w:t>
      </w:r>
    </w:p>
    <w:p>
      <w:pPr>
        <w:spacing w:after="0" w:line="184"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major tax jurisdictions are the United States, Hong Kong SAR, and Japan. From fiscal 2010 onward, we remain subject to examination by one or more of these jurisdictions. We are currently under an income tax examination by the IRS for fiscal years 2014 and 2015, which is in the early stages. No issues have been raised during the examination so far.</w:t>
      </w:r>
    </w:p>
    <w:p>
      <w:pPr>
        <w:spacing w:after="0" w:line="18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During the three months ended September 30, 2017, we early adopted the new ASU on Income Taxes: Intra-Entity Transfers of Assets Other Than Inventory, which reduces the complexity in the accounting standards by allowing the recognition of current and deferred income taxes for an intra-entity asset transfer, other than inventory, when the transfer occurs. Historically, recognition of the income tax consequence of an intra-entity asset transfer was deferred and recognized either upon the disposition of the asset or over the economic life of the asset. We applied this amendment on a modified retrospective basis through a cumulative-effect adjustment of $8.3 million directly to retained earnings as of the beginning of fiscal 2018.</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Customers, and Geographic Information</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market, the personal computing, or PC, product market, and the Internet of Things product market, or IoT. We sell our products to original equipment manufacturers, or OEMs, and to contract manufacturers that provide manufacturing services to OEMs.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right"/>
              <w:ind w:right="31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Six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right"/>
              <w:ind w:right="57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center"/>
              <w:ind w:right="340"/>
              <w:spacing w:after="0"/>
              <w:rPr>
                <w:sz w:val="20"/>
                <w:szCs w:val="20"/>
                <w:color w:val="auto"/>
              </w:rPr>
            </w:pPr>
            <w:r>
              <w:rPr>
                <w:rFonts w:ascii="Arial" w:cs="Arial" w:eastAsia="Arial" w:hAnsi="Arial"/>
                <w:sz w:val="18"/>
                <w:szCs w:val="18"/>
                <w:color w:val="auto"/>
                <w:w w:val="88"/>
              </w:rPr>
              <w:t>December 31,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0" w:type="dxa"/>
            <w:vAlign w:val="bottom"/>
            <w:tcBorders>
              <w:bottom w:val="single" w:sz="8" w:color="CFF0FC"/>
            </w:tcBorders>
          </w:tcPr>
          <w:p>
            <w:pPr>
              <w:spacing w:after="0"/>
              <w:rPr>
                <w:sz w:val="19"/>
                <w:szCs w:val="19"/>
                <w:color w:val="auto"/>
              </w:rPr>
            </w:pPr>
          </w:p>
        </w:tc>
        <w:tc>
          <w:tcPr>
            <w:tcW w:w="23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419.7</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Japan</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United States</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vMerge w:val="restart"/>
          </w:tcPr>
          <w:p>
            <w:pPr>
              <w:jc w:val="right"/>
              <w:ind w:right="3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Net revenue from our customers for each group of similar products was as follows (in millions):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right"/>
              <w:ind w:right="31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7"/>
          </w:tcPr>
          <w:p>
            <w:pPr>
              <w:ind w:left="280"/>
              <w:spacing w:after="0"/>
              <w:rPr>
                <w:sz w:val="20"/>
                <w:szCs w:val="20"/>
                <w:color w:val="auto"/>
              </w:rPr>
            </w:pPr>
            <w:r>
              <w:rPr>
                <w:rFonts w:ascii="Arial" w:cs="Arial" w:eastAsia="Arial" w:hAnsi="Arial"/>
                <w:sz w:val="18"/>
                <w:szCs w:val="18"/>
                <w:color w:val="auto"/>
              </w:rPr>
              <w:t>Six Months Ended</w:t>
            </w:r>
          </w:p>
        </w:tc>
      </w:tr>
      <w:tr>
        <w:trPr>
          <w:trHeight w:val="230"/>
        </w:trPr>
        <w:tc>
          <w:tcPr>
            <w:tcW w:w="3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right"/>
              <w:ind w:right="57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7"/>
          </w:tcPr>
          <w:p>
            <w:pPr>
              <w:ind w:left="440"/>
              <w:spacing w:after="0"/>
              <w:rPr>
                <w:sz w:val="20"/>
                <w:szCs w:val="20"/>
                <w:color w:val="auto"/>
              </w:rPr>
            </w:pPr>
            <w:r>
              <w:rPr>
                <w:rFonts w:ascii="Arial" w:cs="Arial" w:eastAsia="Arial" w:hAnsi="Arial"/>
                <w:sz w:val="18"/>
                <w:szCs w:val="18"/>
                <w:color w:val="auto"/>
              </w:rPr>
              <w:t>December 31,</w:t>
            </w:r>
          </w:p>
        </w:tc>
      </w:tr>
      <w:tr>
        <w:trPr>
          <w:trHeight w:val="223"/>
        </w:trPr>
        <w:tc>
          <w:tcPr>
            <w:tcW w:w="368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8"/>
              </w:rPr>
              <w:t>554.7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w:t>
            </w:r>
          </w:p>
        </w:tc>
        <w:tc>
          <w:tcPr>
            <w:tcW w:w="10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auto"/>
                <w:w w:val="88"/>
              </w:rPr>
              <w:t>127.0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6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8"/>
              </w:rPr>
              <w:t>166.1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847.8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a result of our recent acquisitions, we are presenting a new revenue line for IoT. Certain reclassifications have been made to the prior year revenue presentation in the above table in order to conform to the current year revenue presentation.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December 31,</w:t>
            </w:r>
          </w:p>
        </w:tc>
        <w:tc>
          <w:tcPr>
            <w:tcW w:w="244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December 31,</w:t>
            </w:r>
          </w:p>
        </w:tc>
      </w:tr>
      <w:tr>
        <w:trPr>
          <w:trHeight w:val="223"/>
        </w:trPr>
        <w:tc>
          <w:tcPr>
            <w:tcW w:w="580" w:type="dxa"/>
            <w:vAlign w:val="bottom"/>
          </w:tcPr>
          <w:p>
            <w:pPr>
              <w:spacing w:after="0"/>
              <w:rPr>
                <w:sz w:val="19"/>
                <w:szCs w:val="19"/>
                <w:color w:val="auto"/>
              </w:rPr>
            </w:pPr>
          </w:p>
        </w:tc>
        <w:tc>
          <w:tcPr>
            <w:tcW w:w="1720" w:type="dxa"/>
            <w:vAlign w:val="bottom"/>
            <w:tcBorders>
              <w:bottom w:val="single" w:sz="8" w:color="CFF0FC"/>
            </w:tcBorders>
          </w:tcPr>
          <w:p>
            <w:pPr>
              <w:spacing w:after="0"/>
              <w:rPr>
                <w:sz w:val="19"/>
                <w:szCs w:val="19"/>
                <w:color w:val="auto"/>
              </w:rPr>
            </w:pPr>
          </w:p>
        </w:tc>
        <w:tc>
          <w:tcPr>
            <w:tcW w:w="360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Borders>
              <w:top w:val="single" w:sz="8" w:color="auto"/>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Borders>
              <w:top w:val="single" w:sz="8" w:color="auto"/>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21%</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22%</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E</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40" w:lineRule="exact"/>
        <w:rPr>
          <w:sz w:val="20"/>
          <w:szCs w:val="20"/>
          <w:color w:val="auto"/>
        </w:rPr>
      </w:pPr>
    </w:p>
    <w:p>
      <w:pPr>
        <w:ind w:left="740" w:hanging="7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52"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color w:val="auto"/>
              </w:rPr>
              <w:t>December 31,</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June 30,</w:t>
            </w:r>
          </w:p>
        </w:tc>
      </w:tr>
      <w:tr>
        <w:trPr>
          <w:trHeight w:val="230"/>
        </w:trPr>
        <w:tc>
          <w:tcPr>
            <w:tcW w:w="1720" w:type="dxa"/>
            <w:vAlign w:val="bottom"/>
          </w:tcPr>
          <w:p>
            <w:pPr>
              <w:spacing w:after="0"/>
              <w:rPr>
                <w:sz w:val="20"/>
                <w:szCs w:val="20"/>
                <w:color w:val="auto"/>
              </w:rPr>
            </w:pPr>
          </w:p>
        </w:tc>
        <w:tc>
          <w:tcPr>
            <w:tcW w:w="580" w:type="dxa"/>
            <w:vAlign w:val="bottom"/>
            <w:tcBorders>
              <w:bottom w:val="single" w:sz="8" w:color="CFF0FC"/>
            </w:tcBorders>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8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tcBorders>
              <w:bottom w:val="single" w:sz="8" w:color="CFF0FC"/>
            </w:tcBorders>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15%</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17%</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15%</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w:t>
            </w:r>
          </w:p>
        </w:tc>
        <w:tc>
          <w:tcPr>
            <w:tcW w:w="80" w:type="dxa"/>
            <w:vAlign w:val="bottom"/>
            <w:shd w:val="clear" w:color="auto" w:fill="CFF0FC"/>
          </w:tcPr>
          <w:p>
            <w:pPr>
              <w:spacing w:after="0"/>
              <w:rPr>
                <w:sz w:val="19"/>
                <w:szCs w:val="19"/>
                <w:color w:val="auto"/>
              </w:rPr>
            </w:pPr>
          </w:p>
        </w:tc>
      </w:tr>
      <w:tr>
        <w:trPr>
          <w:trHeight w:val="108"/>
        </w:trPr>
        <w:tc>
          <w:tcPr>
            <w:tcW w:w="17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40"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Income/(Loss)</w:t>
      </w:r>
    </w:p>
    <w:p>
      <w:pPr>
        <w:spacing w:after="0" w:line="121"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Our comprehensive income/(loss) generally consists of net income/(loss) plus the effect of unrealized gains and losses on our investments, primarily due to temporary changes in market value of certain of our ARS investments. In addition, we recognize the noncredit portion of other-than-temporary impairment on debt securities in other comprehensive income/(loss). We recognize foreign currency remeasurement adjustments and foreign currency transaction gains and losses in our condensed consolidated statements of operations as the U.S. dollar is the functional currency of our foreign entities.</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15. Restructuring Activities Announced November 2017</w:t>
      </w:r>
    </w:p>
    <w:p>
      <w:pPr>
        <w:spacing w:after="0" w:line="121"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In November 2017, we committed to a plan and initiated a restructuring action intended to streamline and reduce our operating cost structure and capitalize on acquisition synergies. While the total cost of this restructuring action is subject to change as we refine our plans, we currently estimate the cost to be $9.5 million to $10.5 million for fiscal 2018. Restructuring costs related to the November 2017 restructuring activities were recorded to the restructuring costs line item within our condensed consolidated statements of income. These costs primarily related to severance costs for a reduction in headcount. The remaining restructuring charges for employee severance and benefits costs and facility consolidation and related charges are expected to be recognized before the end of fiscal 2018. The restructuring liability activities during the six months ended December 31, 2017 were as follows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Employee Severance</w:t>
            </w:r>
          </w:p>
        </w:tc>
        <w:tc>
          <w:tcPr>
            <w:tcW w:w="496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right"/>
              <w:ind w:right="760"/>
              <w:spacing w:after="0"/>
              <w:rPr>
                <w:sz w:val="20"/>
                <w:szCs w:val="20"/>
                <w:color w:val="auto"/>
              </w:rPr>
            </w:pPr>
            <w:r>
              <w:rPr>
                <w:rFonts w:ascii="Arial" w:cs="Arial" w:eastAsia="Arial" w:hAnsi="Arial"/>
                <w:sz w:val="18"/>
                <w:szCs w:val="18"/>
                <w:color w:val="auto"/>
              </w:rPr>
              <w:t>and Benefits</w:t>
            </w:r>
          </w:p>
        </w:tc>
        <w:tc>
          <w:tcPr>
            <w:tcW w:w="4960" w:type="dxa"/>
            <w:vAlign w:val="bottom"/>
          </w:tcPr>
          <w:p>
            <w:pPr>
              <w:spacing w:after="0"/>
              <w:rPr>
                <w:sz w:val="20"/>
                <w:szCs w:val="20"/>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FF0FC"/>
            </w:tcBorders>
            <w:shd w:val="clear" w:color="auto" w:fill="CFF0FC"/>
          </w:tcPr>
          <w:p>
            <w:pPr>
              <w:spacing w:after="0"/>
              <w:rPr>
                <w:sz w:val="19"/>
                <w:szCs w:val="19"/>
                <w:color w:val="auto"/>
              </w:rPr>
            </w:pPr>
          </w:p>
        </w:tc>
        <w:tc>
          <w:tcPr>
            <w:tcW w:w="496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19"/>
                <w:szCs w:val="19"/>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4960" w:type="dxa"/>
            <w:vAlign w:val="bottom"/>
          </w:tcPr>
          <w:p>
            <w:pPr>
              <w:spacing w:after="0"/>
              <w:rPr>
                <w:sz w:val="19"/>
                <w:szCs w:val="19"/>
                <w:color w:val="auto"/>
              </w:rPr>
            </w:pP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96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737"/>
        </w:trPr>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4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31"/>
        </w:trPr>
        <w:tc>
          <w:tcPr>
            <w:tcW w:w="4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ind w:right="14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ind w:firstLine="518"/>
        <w:spacing w:after="0" w:line="268" w:lineRule="auto"/>
        <w:rPr>
          <w:sz w:val="20"/>
          <w:szCs w:val="20"/>
          <w:color w:val="auto"/>
        </w:rPr>
      </w:pPr>
      <w:r>
        <w:rPr>
          <w:rFonts w:ascii="Arial" w:cs="Arial" w:eastAsia="Arial" w:hAnsi="Arial"/>
          <w:sz w:val="17"/>
          <w:szCs w:val="17"/>
          <w:color w:val="auto"/>
        </w:rPr>
        <w:t>This Quarterly Report on Form 10-Q for the quarter ended December 30, 2017 (this “Report”) contains forward-looking statements that are subject to the safe harbors created under the Securities Act of 1933, as amended (the “Securities Act”), and the Securities Act of 1934, as amended (the “Exchange Act”). For ease of presentation, this Report shows reporting periods ending on calendar quarter end dates as of and for all periods presented, unless otherwise indicated.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of our Annual Report on Form 10-K for the fiscal year ended June 24, 2017,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We are a leading worldwide developer and supplier of custom-designed human interface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which includes devices with voice, speech and video within smart homes, and other select electronic devices, including devices in automobiles, with our custom human interface solutions. Every solution we deliver either contains or consists of our touch-, display driver-, fingerprint authentication-based-, voice and speech-, and </w:t>
      </w:r>
      <w:r>
        <w:rPr>
          <w:rFonts w:ascii="Arial" w:cs="Arial" w:eastAsia="Arial" w:hAnsi="Arial"/>
          <w:sz w:val="17"/>
          <w:szCs w:val="17"/>
          <w:color w:val="333333"/>
        </w:rPr>
        <w:t>video-</w:t>
      </w:r>
      <w:r>
        <w:rPr>
          <w:rFonts w:ascii="Arial" w:cs="Arial" w:eastAsia="Arial" w:hAnsi="Arial"/>
          <w:sz w:val="17"/>
          <w:szCs w:val="17"/>
          <w:color w:val="auto"/>
        </w:rPr>
        <w:t>semiconductor solutions, which include our chip, customer-specific firmware, and software.</w:t>
      </w:r>
    </w:p>
    <w:p>
      <w:pPr>
        <w:spacing w:after="0" w:line="17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Armenia, China, Hong Kong, India, Japan, Korea, Switzerland, Taiwan, and the United States,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thereby reducing the need for significant capital expenditures and allowing us to minimize our investment in inventories. This approach requires us to work closely with our contract manufacturers and semiconductor foundries to ensure adequate production capacity to meet our forecasted volume requirements. We provide our contract manufacturers with rolling forecasts and issue purchase orders based on our anticipated requirements. We do not have long-term supply contracts with any of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and supplier arrangements; fair value adjustments for inventory acquired in a business purchase transaction;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t>may have lower margins than our more mature products, which have realized greater benefits associated with our ongoing cost-improvement programs. As a result, new product introductions may initially negatively impact our gross margin.</w:t>
      </w:r>
    </w:p>
    <w:p>
      <w:pPr>
        <w:spacing w:after="0" w:line="170" w:lineRule="exact"/>
        <w:rPr>
          <w:sz w:val="20"/>
          <w:szCs w:val="20"/>
          <w:color w:val="auto"/>
        </w:rPr>
      </w:pPr>
    </w:p>
    <w:p>
      <w:pPr>
        <w:jc w:val="both"/>
        <w:ind w:right="340" w:firstLine="518"/>
        <w:spacing w:after="0" w:line="259" w:lineRule="auto"/>
        <w:rPr>
          <w:sz w:val="20"/>
          <w:szCs w:val="20"/>
          <w:color w:val="auto"/>
        </w:rPr>
      </w:pPr>
      <w:r>
        <w:rPr>
          <w:rFonts w:ascii="Arial" w:cs="Arial" w:eastAsia="Arial" w:hAnsi="Arial"/>
          <w:sz w:val="18"/>
          <w:szCs w:val="18"/>
          <w:color w:val="auto"/>
        </w:rPr>
        <w:t>Our research and development expenses include costs for supplies and materials related to product development, as well as the engineering costs incurred to design ASICs and human interface solutions for OEM customers prior to and after their commitment to incorporate those solutions into their products. We are continuing our commitment to the technological and design innovation required to maintain our position in our existing markets, and to adapt our existing technologies or develop new technologies for new markets.</w:t>
      </w:r>
    </w:p>
    <w:p>
      <w:pPr>
        <w:spacing w:after="0" w:line="187"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trademark intangible assets recognized under the purchase method for business combinations.</w:t>
      </w:r>
    </w:p>
    <w:p>
      <w:pPr>
        <w:spacing w:after="0" w:line="170"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Restructuring costs primarily reflect severance and facilities costs related to our restructuring of operations to reduce operating expenses. These headcount-related costs and facilities costs were in cost of revenue, research and development, and selling, general and administrative expenses.</w:t>
      </w:r>
    </w:p>
    <w:p>
      <w:pPr>
        <w:spacing w:after="0" w:line="124"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Interest and other income/(expense), net, primarily reflects interest expense on convertible notes as well as the amortization of debt issuance costs and discount on convertible notes.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Conexant</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252525"/>
        </w:rPr>
        <w:t xml:space="preserve">On June 11, 2017, we entered into a securities purchase agreement to acquire all of the outstanding limited liability company interests of Conexant Systems, LLC, or Conexant, </w:t>
      </w:r>
      <w:r>
        <w:rPr>
          <w:rFonts w:ascii="Arial" w:cs="Arial" w:eastAsia="Arial" w:hAnsi="Arial"/>
          <w:sz w:val="18"/>
          <w:szCs w:val="18"/>
          <w:color w:val="333333"/>
        </w:rPr>
        <w:t>a technology leader in voice and audio processing solutions for the smart home, or the Conexant</w:t>
      </w:r>
      <w:r>
        <w:rPr>
          <w:rFonts w:ascii="Arial" w:cs="Arial" w:eastAsia="Arial" w:hAnsi="Arial"/>
          <w:sz w:val="18"/>
          <w:szCs w:val="18"/>
          <w:color w:val="252525"/>
        </w:rPr>
        <w:t xml:space="preserve"> Acquisition. The Conexant Acquisition is intended to increase our </w:t>
      </w:r>
      <w:r>
        <w:rPr>
          <w:rFonts w:ascii="Arial" w:cs="Arial" w:eastAsia="Arial" w:hAnsi="Arial"/>
          <w:sz w:val="18"/>
          <w:szCs w:val="18"/>
          <w:color w:val="333333"/>
        </w:rPr>
        <w:t>presence in the smart home market and increase opportunities to grow revenue. Effective July 25, 2017, we</w:t>
      </w:r>
      <w:r>
        <w:rPr>
          <w:rFonts w:ascii="Arial" w:cs="Arial" w:eastAsia="Arial" w:hAnsi="Arial"/>
          <w:sz w:val="18"/>
          <w:szCs w:val="18"/>
          <w:color w:val="252525"/>
        </w:rPr>
        <w:t xml:space="preserve"> </w:t>
      </w:r>
      <w:r>
        <w:rPr>
          <w:rFonts w:ascii="Arial" w:cs="Arial" w:eastAsia="Arial" w:hAnsi="Arial"/>
          <w:sz w:val="18"/>
          <w:szCs w:val="18"/>
          <w:color w:val="000000"/>
        </w:rPr>
        <w:t>completed</w:t>
      </w:r>
      <w:r>
        <w:rPr>
          <w:rFonts w:ascii="Arial" w:cs="Arial" w:eastAsia="Arial" w:hAnsi="Arial"/>
          <w:sz w:val="18"/>
          <w:szCs w:val="18"/>
          <w:color w:val="252525"/>
        </w:rPr>
        <w:t xml:space="preserve"> </w:t>
      </w:r>
      <w:r>
        <w:rPr>
          <w:rFonts w:ascii="Arial" w:cs="Arial" w:eastAsia="Arial" w:hAnsi="Arial"/>
          <w:sz w:val="18"/>
          <w:szCs w:val="18"/>
          <w:color w:val="333333"/>
        </w:rPr>
        <w:t>the Conexant Acquisition. The results of Conexant are included in our condensed consolidated financial statements for the period from July 25, 2017 through December 31, 2017. For further discussion of the Conexant Acquisition, see Note 6 Acquisitions included in the condensed consolidated financial statements contained elsewhere in this Report.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Marvell</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252525"/>
        </w:rPr>
        <w:t xml:space="preserve">On June 11, 2017, the Company entered into an asset purchase agreement to acquire the assets of the multimedia solutions business of Marvell Technology Group Ltd., or Marvell, </w:t>
      </w:r>
      <w:r>
        <w:rPr>
          <w:rFonts w:ascii="Arial" w:cs="Arial" w:eastAsia="Arial" w:hAnsi="Arial"/>
          <w:sz w:val="17"/>
          <w:szCs w:val="17"/>
          <w:color w:val="333333"/>
        </w:rPr>
        <w:t>a leading provider of advanced video and audio processing applications for the smart home</w:t>
      </w:r>
      <w:r>
        <w:rPr>
          <w:rFonts w:ascii="Arial" w:cs="Arial" w:eastAsia="Arial" w:hAnsi="Arial"/>
          <w:sz w:val="17"/>
          <w:szCs w:val="17"/>
          <w:color w:val="252525"/>
        </w:rPr>
        <w:t xml:space="preserve">, or the Marvell Business Acquisition. The </w:t>
      </w:r>
      <w:r>
        <w:rPr>
          <w:rFonts w:ascii="Arial" w:cs="Arial" w:eastAsia="Arial" w:hAnsi="Arial"/>
          <w:sz w:val="17"/>
          <w:szCs w:val="17"/>
          <w:color w:val="000000"/>
        </w:rPr>
        <w:t>Marvell</w:t>
      </w:r>
      <w:r>
        <w:rPr>
          <w:rFonts w:ascii="Arial" w:cs="Arial" w:eastAsia="Arial" w:hAnsi="Arial"/>
          <w:sz w:val="17"/>
          <w:szCs w:val="17"/>
          <w:color w:val="252525"/>
        </w:rPr>
        <w:t xml:space="preserve"> Business Acquisition is also intended to increase our </w:t>
      </w:r>
      <w:r>
        <w:rPr>
          <w:rFonts w:ascii="Arial" w:cs="Arial" w:eastAsia="Arial" w:hAnsi="Arial"/>
          <w:sz w:val="17"/>
          <w:szCs w:val="17"/>
          <w:color w:val="333333"/>
        </w:rPr>
        <w:t>presence in the smart home market and increase opportunities to grow</w:t>
      </w:r>
      <w:r>
        <w:rPr>
          <w:rFonts w:ascii="Arial" w:cs="Arial" w:eastAsia="Arial" w:hAnsi="Arial"/>
          <w:sz w:val="17"/>
          <w:szCs w:val="17"/>
          <w:color w:val="252525"/>
        </w:rPr>
        <w:t xml:space="preserve"> </w:t>
      </w:r>
      <w:r>
        <w:rPr>
          <w:rFonts w:ascii="Arial" w:cs="Arial" w:eastAsia="Arial" w:hAnsi="Arial"/>
          <w:sz w:val="17"/>
          <w:szCs w:val="17"/>
          <w:color w:val="333333"/>
        </w:rPr>
        <w:t xml:space="preserve">revenue. </w:t>
      </w:r>
      <w:r>
        <w:rPr>
          <w:rFonts w:ascii="Arial" w:cs="Arial" w:eastAsia="Arial" w:hAnsi="Arial"/>
          <w:sz w:val="17"/>
          <w:szCs w:val="17"/>
          <w:color w:val="252525"/>
        </w:rPr>
        <w:t>Effective September 8, 2017, we</w:t>
      </w:r>
      <w:r>
        <w:rPr>
          <w:rFonts w:ascii="Arial" w:cs="Arial" w:eastAsia="Arial" w:hAnsi="Arial"/>
          <w:sz w:val="17"/>
          <w:szCs w:val="17"/>
          <w:color w:val="333333"/>
        </w:rPr>
        <w:t xml:space="preserve"> </w:t>
      </w:r>
      <w:r>
        <w:rPr>
          <w:rFonts w:ascii="Arial" w:cs="Arial" w:eastAsia="Arial" w:hAnsi="Arial"/>
          <w:sz w:val="17"/>
          <w:szCs w:val="17"/>
          <w:color w:val="000000"/>
        </w:rPr>
        <w:t>completed</w:t>
      </w:r>
      <w:r>
        <w:rPr>
          <w:rFonts w:ascii="Arial" w:cs="Arial" w:eastAsia="Arial" w:hAnsi="Arial"/>
          <w:sz w:val="17"/>
          <w:szCs w:val="17"/>
          <w:color w:val="333333"/>
        </w:rPr>
        <w:t xml:space="preserve"> the Marvell Business Acquisition. The results of Marvell are included in our condensed consolidated financial statements for the period from September 8, 2017 through December 31, 2017. For further discussion of the Marvell Business Acquisition, see Note 6 Acquisitions included in the condensed consolidated financial statements contained elsewhere in this Report.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December 31, 2017, compared with our critical accounting policies and estimates disclosed in Management’s Discussion and Analysis of Financial Condition and Results of Operations included in our Annual Report on Form 10-K for the fiscal year ended June 24,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a result of our recent acquisitions, we are presenting a new revenue line for revenue derived from the Internet of Things, or IoT market. Certain reclassifications have been made to the prior period revenue presentation to conform to the current period revenue presentation. Certain of the data used in our condensed consolidated statements of income for the periods indicated, together with comparative absolute and percentage changes in these amounts, were as follows (in millions,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10"/>
          </w:tcPr>
          <w:p>
            <w:pPr>
              <w:jc w:val="right"/>
              <w:ind w:right="820"/>
              <w:spacing w:after="0"/>
              <w:rPr>
                <w:sz w:val="20"/>
                <w:szCs w:val="20"/>
                <w:color w:val="auto"/>
              </w:rPr>
            </w:pPr>
            <w:r>
              <w:rPr>
                <w:rFonts w:ascii="Arial" w:cs="Arial" w:eastAsia="Arial" w:hAnsi="Arial"/>
                <w:sz w:val="16"/>
                <w:szCs w:val="16"/>
                <w:b w:val="1"/>
                <w:bCs w:val="1"/>
                <w:color w:val="auto"/>
              </w:rPr>
              <w:t>Three Months Ended 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gridSpan w:val="10"/>
          </w:tcPr>
          <w:p>
            <w:pPr>
              <w:jc w:val="right"/>
              <w:ind w:right="960"/>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9"/>
              <w:spacing w:after="0" w:line="212" w:lineRule="exact"/>
              <w:rPr>
                <w:sz w:val="20"/>
                <w:szCs w:val="20"/>
                <w:color w:val="auto"/>
              </w:rPr>
            </w:pPr>
            <w:r>
              <w:rPr>
                <w:rFonts w:ascii="Arial" w:cs="Arial" w:eastAsia="Arial" w:hAnsi="Arial"/>
                <w:sz w:val="15"/>
                <w:szCs w:val="15"/>
                <w:b w:val="1"/>
                <w:bCs w:val="1"/>
                <w:color w:val="auto"/>
                <w:w w:val="91"/>
              </w:rPr>
              <w:t xml:space="preserve">2017 </w:t>
            </w:r>
            <w:r>
              <w:rPr>
                <w:rFonts w:ascii="Arial" w:cs="Arial" w:eastAsia="Arial" w:hAnsi="Arial"/>
                <w:sz w:val="24"/>
                <w:szCs w:val="24"/>
                <w:color w:val="auto"/>
                <w:w w:val="91"/>
                <w:vertAlign w:val="superscript"/>
              </w:rPr>
              <w:t>(1)</w:t>
            </w:r>
          </w:p>
        </w:tc>
        <w:tc>
          <w:tcPr>
            <w:tcW w:w="20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 Change</w:t>
            </w:r>
          </w:p>
        </w:tc>
        <w:tc>
          <w:tcPr>
            <w:tcW w:w="180" w:type="dxa"/>
            <w:vAlign w:val="bottom"/>
            <w:tcBorders>
              <w:top w:val="single" w:sz="8" w:color="auto"/>
              <w:bottom w:val="single" w:sz="8" w:color="CFF0FC"/>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Change</w:t>
            </w:r>
          </w:p>
        </w:tc>
        <w:tc>
          <w:tcPr>
            <w:tcW w:w="200" w:type="dxa"/>
            <w:vAlign w:val="bottom"/>
            <w:tcBorders>
              <w:bottom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
              <w:spacing w:after="0" w:line="212" w:lineRule="exact"/>
              <w:rPr>
                <w:sz w:val="20"/>
                <w:szCs w:val="20"/>
                <w:color w:val="auto"/>
              </w:rPr>
            </w:pPr>
            <w:r>
              <w:rPr>
                <w:rFonts w:ascii="Arial" w:cs="Arial" w:eastAsia="Arial" w:hAnsi="Arial"/>
                <w:sz w:val="15"/>
                <w:szCs w:val="15"/>
                <w:b w:val="1"/>
                <w:bCs w:val="1"/>
                <w:color w:val="auto"/>
                <w:w w:val="91"/>
              </w:rPr>
              <w:t xml:space="preserve">2017 </w:t>
            </w:r>
            <w:r>
              <w:rPr>
                <w:rFonts w:ascii="Arial" w:cs="Arial" w:eastAsia="Arial" w:hAnsi="Arial"/>
                <w:sz w:val="24"/>
                <w:szCs w:val="24"/>
                <w:color w:val="auto"/>
                <w:w w:val="91"/>
                <w:vertAlign w:val="superscript"/>
              </w:rPr>
              <w:t>(1)</w:t>
            </w:r>
          </w:p>
        </w:tc>
        <w:tc>
          <w:tcPr>
            <w:tcW w:w="20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8"/>
              </w:rPr>
              <w:t>$ Change</w:t>
            </w:r>
          </w:p>
        </w:tc>
        <w:tc>
          <w:tcPr>
            <w:tcW w:w="200" w:type="dxa"/>
            <w:vAlign w:val="bottom"/>
            <w:tcBorders>
              <w:top w:val="single" w:sz="8" w:color="auto"/>
              <w:bottom w:val="single" w:sz="8" w:color="CFF0FC"/>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Change</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(114.8)</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(30.5%)</w:t>
            </w:r>
          </w:p>
        </w:tc>
        <w:tc>
          <w:tcPr>
            <w:tcW w:w="80" w:type="dxa"/>
            <w:vAlign w:val="bottom"/>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(135.9)</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411.5%</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38.2</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127.9</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334.8%</w:t>
            </w:r>
          </w:p>
        </w:tc>
        <w:tc>
          <w:tcPr>
            <w:tcW w:w="0" w:type="dxa"/>
            <w:vAlign w:val="bottom"/>
          </w:tcPr>
          <w:p>
            <w:pPr>
              <w:spacing w:after="0"/>
              <w:rPr>
                <w:sz w:val="1"/>
                <w:szCs w:val="1"/>
                <w:color w:val="auto"/>
              </w:rPr>
            </w:pPr>
          </w:p>
        </w:tc>
      </w:tr>
      <w:tr>
        <w:trPr>
          <w:trHeight w:val="207"/>
        </w:trPr>
        <w:tc>
          <w:tcPr>
            <w:tcW w:w="348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461.3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(30.9)</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3480" w:type="dxa"/>
            <w:vAlign w:val="bottom"/>
            <w:tcBorders>
              <w:right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line="20" w:lineRule="exact"/>
              <w:rPr>
                <w:sz w:val="1"/>
                <w:szCs w:val="1"/>
                <w:color w:val="auto"/>
              </w:rPr>
            </w:pPr>
          </w:p>
        </w:tc>
      </w:tr>
      <w:tr>
        <w:trPr>
          <w:trHeight w:val="213"/>
        </w:trPr>
        <w:tc>
          <w:tcPr>
            <w:tcW w:w="3480" w:type="dxa"/>
            <w:vAlign w:val="bottom"/>
            <w:tcBorders>
              <w:right w:val="single" w:sz="8" w:color="CFF0FC"/>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(23.5)</w:t>
            </w:r>
          </w:p>
        </w:tc>
        <w:tc>
          <w:tcPr>
            <w:tcW w:w="100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(32.5)</w:t>
            </w:r>
          </w:p>
        </w:tc>
        <w:tc>
          <w:tcPr>
            <w:tcW w:w="10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8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348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288.2%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3480" w:type="dxa"/>
            <w:vAlign w:val="bottom"/>
            <w:tcBorders>
              <w:right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Operating income/(loss)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(183.3%)</w:t>
            </w: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line="20" w:lineRule="exact"/>
              <w:rPr>
                <w:sz w:val="1"/>
                <w:szCs w:val="1"/>
                <w:color w:val="auto"/>
              </w:rPr>
            </w:pPr>
          </w:p>
        </w:tc>
      </w:tr>
      <w:tr>
        <w:trPr>
          <w:trHeight w:val="213"/>
        </w:trPr>
        <w:tc>
          <w:tcPr>
            <w:tcW w:w="3480" w:type="dxa"/>
            <w:vAlign w:val="bottom"/>
            <w:tcBorders>
              <w:right w:val="single" w:sz="8" w:color="CFF0FC"/>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(24.0)</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(52.8)</w:t>
            </w:r>
          </w:p>
        </w:tc>
        <w:tc>
          <w:tcPr>
            <w:tcW w:w="100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(40.9)</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(75.3)</w:t>
            </w:r>
          </w:p>
        </w:tc>
        <w:tc>
          <w:tcPr>
            <w:tcW w:w="10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6"/>
                <w:szCs w:val="16"/>
                <w:color w:val="auto"/>
              </w:rPr>
              <w:t>Interest and other income/(expense), net</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(883.3%)</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(3466.7%)</w:t>
            </w:r>
          </w:p>
        </w:tc>
        <w:tc>
          <w:tcPr>
            <w:tcW w:w="0" w:type="dxa"/>
            <w:vAlign w:val="bottom"/>
          </w:tcPr>
          <w:p>
            <w:pPr>
              <w:spacing w:after="0" w:line="20" w:lineRule="exact"/>
              <w:rPr>
                <w:sz w:val="1"/>
                <w:szCs w:val="1"/>
                <w:color w:val="auto"/>
              </w:rPr>
            </w:pPr>
          </w:p>
        </w:tc>
      </w:tr>
      <w:tr>
        <w:trPr>
          <w:trHeight w:val="207"/>
        </w:trPr>
        <w:tc>
          <w:tcPr>
            <w:tcW w:w="3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(5.3)</w:t>
            </w:r>
          </w:p>
        </w:tc>
        <w:tc>
          <w:tcPr>
            <w:tcW w:w="1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(10.4)</w:t>
            </w: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Borders>
              <w:right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w w:val="94"/>
              </w:rPr>
              <w:t>Income/(loss) before provision for income taxes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(197.6%)</w:t>
            </w: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(251.3%)</w:t>
            </w:r>
          </w:p>
        </w:tc>
        <w:tc>
          <w:tcPr>
            <w:tcW w:w="0" w:type="dxa"/>
            <w:vAlign w:val="bottom"/>
          </w:tcPr>
          <w:p>
            <w:pPr>
              <w:spacing w:after="0" w:line="20" w:lineRule="exact"/>
              <w:rPr>
                <w:sz w:val="1"/>
                <w:szCs w:val="1"/>
                <w:color w:val="auto"/>
              </w:rPr>
            </w:pPr>
          </w:p>
        </w:tc>
      </w:tr>
      <w:tr>
        <w:trPr>
          <w:trHeight w:val="213"/>
        </w:trPr>
        <w:tc>
          <w:tcPr>
            <w:tcW w:w="3480" w:type="dxa"/>
            <w:vAlign w:val="bottom"/>
            <w:tcBorders>
              <w:right w:val="single" w:sz="8" w:color="CFF0FC"/>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(28.7)</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(58.1)</w:t>
            </w:r>
          </w:p>
        </w:tc>
        <w:tc>
          <w:tcPr>
            <w:tcW w:w="100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(51.6)</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(85.7)</w:t>
            </w:r>
          </w:p>
        </w:tc>
        <w:tc>
          <w:tcPr>
            <w:tcW w:w="10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46.7</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707.6%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643.4%</w:t>
            </w:r>
          </w:p>
        </w:tc>
        <w:tc>
          <w:tcPr>
            <w:tcW w:w="0" w:type="dxa"/>
            <w:vAlign w:val="bottom"/>
          </w:tcPr>
          <w:p>
            <w:pPr>
              <w:spacing w:after="0"/>
              <w:rPr>
                <w:sz w:val="1"/>
                <w:szCs w:val="1"/>
                <w:color w:val="auto"/>
              </w:rPr>
            </w:pPr>
          </w:p>
        </w:tc>
      </w:tr>
      <w:tr>
        <w:trPr>
          <w:trHeight w:val="219"/>
        </w:trPr>
        <w:tc>
          <w:tcPr>
            <w:tcW w:w="34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(0.4)</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(0.8)</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ind w:left="260"/>
              <w:spacing w:after="0"/>
              <w:rPr>
                <w:sz w:val="20"/>
                <w:szCs w:val="20"/>
                <w:color w:val="auto"/>
              </w:rPr>
            </w:pPr>
            <w:r>
              <w:rPr>
                <w:rFonts w:ascii="Arial" w:cs="Arial" w:eastAsia="Arial" w:hAnsi="Arial"/>
                <w:sz w:val="16"/>
                <w:szCs w:val="16"/>
                <w:color w:val="auto"/>
              </w:rPr>
              <w:t>Net income/(loss)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(461.4%)</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(510.9%)</w:t>
            </w:r>
          </w:p>
        </w:tc>
        <w:tc>
          <w:tcPr>
            <w:tcW w:w="0" w:type="dxa"/>
            <w:vAlign w:val="bottom"/>
          </w:tcPr>
          <w:p>
            <w:pPr>
              <w:spacing w:after="0" w:line="20" w:lineRule="exact"/>
              <w:rPr>
                <w:sz w:val="1"/>
                <w:szCs w:val="1"/>
                <w:color w:val="auto"/>
              </w:rPr>
            </w:pPr>
          </w:p>
        </w:tc>
      </w:tr>
      <w:tr>
        <w:trPr>
          <w:trHeight w:val="207"/>
        </w:trPr>
        <w:tc>
          <w:tcPr>
            <w:tcW w:w="34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(82.4)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(105.2)</w:t>
            </w:r>
          </w:p>
        </w:tc>
        <w:tc>
          <w:tcPr>
            <w:tcW w:w="1000" w:type="dxa"/>
            <w:vAlign w:val="bottom"/>
            <w:gridSpan w:val="2"/>
            <w:vMerge w:val="continue"/>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(108.9)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26.5</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(135.4)</w:t>
            </w: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449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0"/>
          <w:szCs w:val="20"/>
          <w:color w:val="auto"/>
        </w:rPr>
      </w:pPr>
    </w:p>
    <w:p>
      <w:pPr>
        <w:ind w:left="1040" w:right="20" w:hanging="519"/>
        <w:spacing w:after="0" w:line="255" w:lineRule="auto"/>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the post-acquisition results of operations from the Conexant Acquisition, completed on July 25, 2017, and from the Marvell Business Acquisition, completed on September 8, 2017.</w:t>
      </w:r>
    </w:p>
    <w:p>
      <w:pPr>
        <w:spacing w:after="0" w:line="173" w:lineRule="exact"/>
        <w:rPr>
          <w:sz w:val="20"/>
          <w:szCs w:val="20"/>
          <w:color w:val="auto"/>
        </w:rPr>
      </w:pPr>
    </w:p>
    <w:p>
      <w:pPr>
        <w:ind w:right="280" w:firstLine="518"/>
        <w:spacing w:after="0" w:line="258"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Percentage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232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Point</w:t>
            </w:r>
          </w:p>
        </w:tc>
        <w:tc>
          <w:tcPr>
            <w:tcW w:w="100" w:type="dxa"/>
            <w:vAlign w:val="bottom"/>
          </w:tcPr>
          <w:p>
            <w:pPr>
              <w:spacing w:after="0"/>
              <w:rPr>
                <w:sz w:val="18"/>
                <w:szCs w:val="18"/>
                <w:color w:val="auto"/>
              </w:rPr>
            </w:pPr>
          </w:p>
        </w:tc>
        <w:tc>
          <w:tcPr>
            <w:tcW w:w="232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Six Months Ended</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Point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32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Increase/</w:t>
            </w:r>
          </w:p>
        </w:tc>
        <w:tc>
          <w:tcPr>
            <w:tcW w:w="100" w:type="dxa"/>
            <w:vAlign w:val="bottom"/>
          </w:tcPr>
          <w:p>
            <w:pPr>
              <w:spacing w:after="0"/>
              <w:rPr>
                <w:sz w:val="18"/>
                <w:szCs w:val="18"/>
                <w:color w:val="auto"/>
              </w:rPr>
            </w:pPr>
          </w:p>
        </w:tc>
        <w:tc>
          <w:tcPr>
            <w:tcW w:w="232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99"/>
              <w:spacing w:after="0" w:line="216" w:lineRule="exact"/>
              <w:rPr>
                <w:sz w:val="20"/>
                <w:szCs w:val="20"/>
                <w:color w:val="auto"/>
              </w:rPr>
            </w:pPr>
            <w:r>
              <w:rPr>
                <w:rFonts w:ascii="Arial" w:cs="Arial" w:eastAsia="Arial" w:hAnsi="Arial"/>
                <w:sz w:val="15"/>
                <w:szCs w:val="15"/>
                <w:b w:val="1"/>
                <w:bCs w:val="1"/>
                <w:color w:val="auto"/>
              </w:rPr>
              <w:t xml:space="preserve">2017 </w:t>
            </w:r>
            <w:r>
              <w:rPr>
                <w:rFonts w:ascii="Arial" w:cs="Arial" w:eastAsia="Arial" w:hAnsi="Arial"/>
                <w:sz w:val="25"/>
                <w:szCs w:val="25"/>
                <w:color w:val="auto"/>
                <w:vertAlign w:val="superscript"/>
              </w:rPr>
              <w:t>(1)</w:t>
            </w:r>
          </w:p>
        </w:tc>
        <w:tc>
          <w:tcPr>
            <w:tcW w:w="300" w:type="dxa"/>
            <w:vAlign w:val="bottom"/>
            <w:tcBorders>
              <w:top w:val="single" w:sz="8" w:color="auto"/>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 (1)</w:t>
            </w:r>
          </w:p>
        </w:tc>
        <w:tc>
          <w:tcPr>
            <w:tcW w:w="320" w:type="dxa"/>
            <w:vAlign w:val="bottom"/>
            <w:tcBorders>
              <w:top w:val="single" w:sz="8" w:color="auto"/>
              <w:bottom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60.8%</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81.7%</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(20.9%)</w:t>
            </w: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65.4%</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81.5%</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14.3%</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13.8%</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0.5%</w:t>
            </w:r>
          </w:p>
        </w:tc>
        <w:tc>
          <w:tcPr>
            <w:tcW w:w="1300" w:type="dxa"/>
            <w:vAlign w:val="bottom"/>
            <w:gridSpan w:val="3"/>
          </w:tcPr>
          <w:p>
            <w:pPr>
              <w:jc w:val="right"/>
              <w:ind w:right="180"/>
              <w:spacing w:after="0"/>
              <w:rPr>
                <w:sz w:val="20"/>
                <w:szCs w:val="20"/>
                <w:color w:val="auto"/>
              </w:rPr>
            </w:pPr>
            <w:r>
              <w:rPr>
                <w:rFonts w:ascii="Arial" w:cs="Arial" w:eastAsia="Arial" w:hAnsi="Arial"/>
                <w:sz w:val="16"/>
                <w:szCs w:val="16"/>
                <w:color w:val="auto"/>
              </w:rPr>
              <w:t>15.0%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14.0%</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24.9%</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4.5%</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20.4%</w:t>
            </w: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19.6%</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4.5%</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60"/>
              <w:spacing w:after="0"/>
              <w:rPr>
                <w:sz w:val="20"/>
                <w:szCs w:val="20"/>
                <w:color w:val="auto"/>
              </w:rPr>
            </w:pPr>
            <w:r>
              <w:rPr>
                <w:rFonts w:ascii="Arial" w:cs="Arial" w:eastAsia="Arial" w:hAnsi="Arial"/>
                <w:sz w:val="16"/>
                <w:szCs w:val="16"/>
                <w:color w:val="auto"/>
              </w:rPr>
              <w:t>Net revenue</w:t>
            </w: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line="20" w:lineRule="exact"/>
              <w:rPr>
                <w:sz w:val="1"/>
                <w:szCs w:val="1"/>
                <w:color w:val="auto"/>
              </w:rPr>
            </w:pPr>
          </w:p>
        </w:tc>
      </w:tr>
      <w:tr>
        <w:trPr>
          <w:trHeight w:val="207"/>
        </w:trPr>
        <w:tc>
          <w:tcPr>
            <w:tcW w:w="4480" w:type="dxa"/>
            <w:vAlign w:val="bottom"/>
            <w:vMerge w:val="continue"/>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1100" w:type="dxa"/>
            <w:vAlign w:val="bottom"/>
            <w:gridSpan w:val="2"/>
            <w:vMerge w:val="continue"/>
          </w:tcPr>
          <w:p>
            <w:pPr>
              <w:spacing w:after="0"/>
              <w:rPr>
                <w:sz w:val="17"/>
                <w:szCs w:val="17"/>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6"/>
                <w:szCs w:val="16"/>
                <w:color w:val="auto"/>
              </w:rPr>
              <w:t>100.0%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line="20" w:lineRule="exact"/>
              <w:rPr>
                <w:sz w:val="1"/>
                <w:szCs w:val="1"/>
                <w:color w:val="auto"/>
              </w:rPr>
            </w:pPr>
          </w:p>
        </w:tc>
      </w:tr>
      <w:tr>
        <w:trPr>
          <w:trHeight w:val="213"/>
        </w:trPr>
        <w:tc>
          <w:tcPr>
            <w:tcW w:w="448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26.8%</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30.1%</w:t>
            </w:r>
          </w:p>
        </w:tc>
        <w:tc>
          <w:tcPr>
            <w:tcW w:w="1100" w:type="dxa"/>
            <w:vAlign w:val="bottom"/>
            <w:gridSpan w:val="2"/>
            <w:vMerge w:val="continue"/>
            <w:shd w:val="clear" w:color="auto" w:fill="CFF0FC"/>
          </w:tcPr>
          <w:p>
            <w:pPr>
              <w:spacing w:after="0"/>
              <w:rPr>
                <w:sz w:val="18"/>
                <w:szCs w:val="18"/>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27.1%</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30.9%</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80" w:type="dxa"/>
            <w:vAlign w:val="bottom"/>
          </w:tcPr>
          <w:p>
            <w:pPr>
              <w:spacing w:after="0"/>
              <w:rPr>
                <w:sz w:val="20"/>
                <w:szCs w:val="20"/>
                <w:color w:val="auto"/>
              </w:rPr>
            </w:pPr>
            <w:r>
              <w:rPr>
                <w:rFonts w:ascii="Arial" w:cs="Arial" w:eastAsia="Arial" w:hAnsi="Arial"/>
                <w:sz w:val="16"/>
                <w:szCs w:val="16"/>
                <w:color w:val="auto"/>
              </w:rPr>
              <w:t>Operating expenses:</w:t>
            </w: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21.4%</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15.9%</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5.5%</w:t>
            </w: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21.1%</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17.3%</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44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8.7%</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1.7%</w:t>
            </w:r>
          </w:p>
        </w:tc>
        <w:tc>
          <w:tcPr>
            <w:tcW w:w="1300" w:type="dxa"/>
            <w:vAlign w:val="bottom"/>
            <w:gridSpan w:val="3"/>
          </w:tcPr>
          <w:p>
            <w:pPr>
              <w:jc w:val="right"/>
              <w:ind w:right="180"/>
              <w:spacing w:after="0"/>
              <w:rPr>
                <w:sz w:val="20"/>
                <w:szCs w:val="20"/>
                <w:color w:val="auto"/>
              </w:rPr>
            </w:pPr>
            <w:r>
              <w:rPr>
                <w:rFonts w:ascii="Arial" w:cs="Arial" w:eastAsia="Arial" w:hAnsi="Arial"/>
                <w:sz w:val="16"/>
                <w:szCs w:val="16"/>
                <w:color w:val="auto"/>
              </w:rPr>
              <w:t>9.2%</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7.9%</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0.7%</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0.5%</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0.2%</w:t>
            </w: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0.8%</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0.8%</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448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0.4%</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0.8%</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Operating income/(loss)</w:t>
            </w: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(5.6%)</w:t>
            </w:r>
          </w:p>
        </w:tc>
        <w:tc>
          <w:tcPr>
            <w:tcW w:w="11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6.2%</w:t>
            </w: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line="20" w:lineRule="exact"/>
              <w:rPr>
                <w:sz w:val="1"/>
                <w:szCs w:val="1"/>
                <w:color w:val="auto"/>
              </w:rPr>
            </w:pPr>
          </w:p>
        </w:tc>
      </w:tr>
      <w:tr>
        <w:trPr>
          <w:trHeight w:val="213"/>
        </w:trPr>
        <w:tc>
          <w:tcPr>
            <w:tcW w:w="4480" w:type="dxa"/>
            <w:vAlign w:val="bottom"/>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(4.8%)</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color w:val="auto"/>
              </w:rPr>
              <w:t>Interest and other income/(expense), net</w:t>
            </w: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line="20" w:lineRule="exact"/>
              <w:rPr>
                <w:sz w:val="1"/>
                <w:szCs w:val="1"/>
                <w:color w:val="auto"/>
              </w:rPr>
            </w:pPr>
          </w:p>
        </w:tc>
      </w:tr>
      <w:tr>
        <w:trPr>
          <w:trHeight w:val="207"/>
        </w:trPr>
        <w:tc>
          <w:tcPr>
            <w:tcW w:w="4480" w:type="dxa"/>
            <w:vAlign w:val="bottom"/>
            <w:vMerge w:val="continue"/>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0.1%</w:t>
            </w:r>
          </w:p>
        </w:tc>
        <w:tc>
          <w:tcPr>
            <w:tcW w:w="1100" w:type="dxa"/>
            <w:vAlign w:val="bottom"/>
            <w:gridSpan w:val="2"/>
            <w:vMerge w:val="continue"/>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1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Income/(loss) before provision for income taxes</w:t>
            </w: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line="20" w:lineRule="exact"/>
              <w:rPr>
                <w:sz w:val="1"/>
                <w:szCs w:val="1"/>
                <w:color w:val="auto"/>
              </w:rPr>
            </w:pPr>
          </w:p>
        </w:tc>
      </w:tr>
      <w:tr>
        <w:trPr>
          <w:trHeight w:val="213"/>
        </w:trPr>
        <w:tc>
          <w:tcPr>
            <w:tcW w:w="448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6.4%</w:t>
            </w:r>
          </w:p>
        </w:tc>
        <w:tc>
          <w:tcPr>
            <w:tcW w:w="11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(6.1%)</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4.0%</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12.4%</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FF0FC"/>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6.7%</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0.9%</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60"/>
              <w:spacing w:after="0"/>
              <w:rPr>
                <w:sz w:val="20"/>
                <w:szCs w:val="20"/>
                <w:color w:val="auto"/>
              </w:rPr>
            </w:pPr>
            <w:r>
              <w:rPr>
                <w:rFonts w:ascii="Arial" w:cs="Arial" w:eastAsia="Arial" w:hAnsi="Arial"/>
                <w:sz w:val="16"/>
                <w:szCs w:val="16"/>
                <w:color w:val="auto"/>
              </w:rPr>
              <w:t>Net income/(loss)</w:t>
            </w: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line="20" w:lineRule="exact"/>
              <w:rPr>
                <w:sz w:val="1"/>
                <w:szCs w:val="1"/>
                <w:color w:val="auto"/>
              </w:rPr>
            </w:pPr>
          </w:p>
        </w:tc>
      </w:tr>
      <w:tr>
        <w:trPr>
          <w:trHeight w:val="207"/>
        </w:trPr>
        <w:tc>
          <w:tcPr>
            <w:tcW w:w="4480" w:type="dxa"/>
            <w:vAlign w:val="bottom"/>
            <w:vMerge w:val="continue"/>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(19.1%)</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4.9%</w:t>
            </w:r>
          </w:p>
        </w:tc>
        <w:tc>
          <w:tcPr>
            <w:tcW w:w="1100" w:type="dxa"/>
            <w:vAlign w:val="bottom"/>
            <w:gridSpan w:val="2"/>
            <w:vMerge w:val="continue"/>
          </w:tcPr>
          <w:p>
            <w:pPr>
              <w:spacing w:after="0"/>
              <w:rPr>
                <w:sz w:val="17"/>
                <w:szCs w:val="17"/>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(12.8%)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90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0"/>
          <w:szCs w:val="20"/>
          <w:color w:val="auto"/>
        </w:rPr>
      </w:pPr>
    </w:p>
    <w:p>
      <w:pPr>
        <w:ind w:left="1040" w:right="20" w:hanging="519"/>
        <w:spacing w:after="0" w:line="255" w:lineRule="auto"/>
        <w:tabs>
          <w:tab w:leader="none" w:pos="10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the post-acquisition results of operations from the Conexant Acquisition, completed on July 25, 2017, and from the Marvell Business Acquisition, completed on September 8,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Net revenue was $430.4 million for the three months ended December 31, 2017 compared with $461.3 million for the three months ended December 31, 2016, a decrease of $30.9 million, or 6.7%. Of this net revenue, $261.8 million, or 60.8% was from mobile product applications, $106.9 million, or 24.9% was from IoT product applications, and $61.7 million, or 14.3%, was from PC product applications. The decrease in net revenue for the three months ended December 31, 2017, was attributable to a decrease in mobile and PC product applications, partially offset by an increase in net revenue from IoT product applications. Mobile product applications decreased as a result of a decline in units sold (which decreased 41.1%), partially offset by higher average selling prices for mobile product applications (which increased 18.0%). PC product applications decreased as a result of a decline in units sold (which decreased 10.3%), partially offset by higher average selling prices for PC product applications (which increased 7.8%). Net revenue from IoT product applications increased primarily as a result of the Conexant Acquisition and Marvell Business Acquisition.</w:t>
      </w:r>
    </w:p>
    <w:p>
      <w:pPr>
        <w:spacing w:after="0" w:line="71" w:lineRule="exact"/>
        <w:rPr>
          <w:sz w:val="20"/>
          <w:szCs w:val="20"/>
          <w:color w:val="auto"/>
        </w:rPr>
      </w:pPr>
    </w:p>
    <w:p>
      <w:pPr>
        <w:ind w:right="160" w:firstLine="518"/>
        <w:spacing w:after="0" w:line="284" w:lineRule="auto"/>
        <w:rPr>
          <w:sz w:val="20"/>
          <w:szCs w:val="20"/>
          <w:color w:val="auto"/>
        </w:rPr>
      </w:pPr>
      <w:r>
        <w:rPr>
          <w:rFonts w:ascii="Arial" w:cs="Arial" w:eastAsia="Arial" w:hAnsi="Arial"/>
          <w:sz w:val="16"/>
          <w:szCs w:val="16"/>
          <w:color w:val="auto"/>
        </w:rPr>
        <w:t>Net revenue was $847.8 million for the six months ended December 31, 2017 compared with $847.5 million for the six months ended December 31, 2016, an increase of $0.3 million, or less than 0.1%. Of this net revenue, $554.7 million, or 65.4% was from mobile product applications, $166.1 million, or 19.6%, was from IoT product applications, and $127.0 million, or 15.0%, was from PC product applications. The increase in net revenue for the six months ended December 31, 2017, was attributable to an increase in net revenue from IoT and PC product applications, partially offset by a decrease in mobile product applications. Net revenue from IoT product applications increased primarily as a result of the Conexant Acquisition and Marvell Business Acquisition. PC product applications increased as a result of higher average selling prices (which increased 6.2%) and more units sold (which increased</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0.7%). Mobile product applications decreased as a result of a decline in units sold (which decreased 27.4%), partially offset by higher average selling prices for mobile product applications (which increased 10.6%).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Gross margin as a percentage of net revenue was 26.8%, or $115.2 million, for the three months ended December 31, 2017 compared with 30.1%, or $138.7 million, for the three months ended December 31, 2016. The 330 basis point decline in gross margin was primarily due to $18.2 million of inventory fair value adjustments associated with the Conexant Acquisition and the Marvell Business Acquisition, as well as a $8.2 million increase in acquired intangibles amortization that were charged to cost of revenue during the quarter, partially offset by a favorable mix due primarily to IoT business products which have higher gross margins.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margin as a percentage of net revenue was 27.1%, or $229.6 million, for the six months ended December 31, 2017 compared with 30.9%,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$262.1 million, for the six months ended December 31, 2016. The 380 basis point decline in gross margin was primarily due to $33.9 million of inventory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adjustments associated with the Conexant Acquisition and the Marvell Business Acquisition, as well as a $12.0 million increase in acquired intangibles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amortization that were charged to cost of revenue during the quarter, partially offset by a favorable mix due primarily to IoT business products which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higher gross margins.</w:t>
      </w:r>
    </w:p>
    <w:p>
      <w:pPr>
        <w:spacing w:after="0" w:line="21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continually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 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increased $18.7 million to $92.2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compared with the three months ended December 31, 2016. The increase in research and development expenses primarily reflected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$15.4 million increase in personnel-related costs, which included additional headcount due to our recent acquisitions; a $2.9 million increase in infrastructure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costs; a $1.2 million increase in software licensing costs; and a $0.7 million increase in non-employee services; partially offset by a $2.2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decrease in supplies and project related costs.</w:t>
      </w:r>
    </w:p>
    <w:p>
      <w:pPr>
        <w:spacing w:after="0" w:line="10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Research and development expenses increased $32.4 million to $179.3 million for the six months ended December 31, 2017 compared with the six months ended December 31, 2016. The increase in research and development expenses primarily reflected a $25.4 million increase in personnel-related costs, which included additional headcount due to our recent acquisitions; a $4.8 million increase in infrastructure related costs; a $1.1 million increase in software licensing costs; a $1.3 million increase in travel related expenses; and a $1.2 million increase in non-employee services; partially offset by a $1.7 million decrease in supplies and project related costs.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ind w:right="160" w:firstLine="518"/>
        <w:spacing w:after="0" w:line="312"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increased $5.1 million to $37.4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December 31, 2017, compared with the three months ended December 31, 2016. The increase in selling, general, and administrative expenses primarily reflected an increase in personnel-related costs, which included additional headcount due to our recent acquisitions.</w:t>
      </w:r>
    </w:p>
    <w:p>
      <w:pPr>
        <w:spacing w:after="0" w:line="147"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Selling, general, and administrative expenses increased $10.8 million to $77.7 million for the six months ended December 31, 2017, compared with the six months ended December 31, 2016. The increase in selling, general, and administrative expenses primarily reflected an increase in personnel-related costs, which included additional headcount due to our recent acquisitions.</w:t>
      </w:r>
    </w:p>
    <w:p>
      <w:pPr>
        <w:spacing w:after="0" w:line="18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i w:val="1"/>
          <w:iCs w:val="1"/>
          <w:color w:val="auto"/>
        </w:rPr>
        <w:t xml:space="preserve">Acquired intangibles amortization. </w:t>
      </w:r>
      <w:r>
        <w:rPr>
          <w:rFonts w:ascii="Arial" w:cs="Arial" w:eastAsia="Arial" w:hAnsi="Arial"/>
          <w:sz w:val="16"/>
          <w:szCs w:val="16"/>
          <w:color w:val="auto"/>
        </w:rPr>
        <w:t>Acquired intangibles amortization reflects the amortization of intangibles acquired through acquisitions. For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of acquired intangibles amortization, see Note 7 included in the condensed consolidated financial statements contained elsewhere in this Report.</w:t>
      </w:r>
    </w:p>
    <w:p>
      <w:pPr>
        <w:spacing w:after="0" w:line="12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of $6.6 million in the three months ended December 31, 2017 reflect severance costs related to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operations to reduce operating costs which commenced in the second quarter of fiscal 2018. We expect to incur additional restructuring costs in fiscal 2018 as our restructuring activities are completed, which will include additional severance costs and facility consolidation costs, ranging from $2.9 million to $3.9 million. See Note 15 to the condensed consolidated financial statements contained elsewhere in this report. Restructuring costs of $7.0 million in the six months ended December 31, 2016, reflect severance costs related to restructuring of the operations to reduce operating costs which commenced in the fourth quarter of fiscal 2016.</w:t>
      </w:r>
    </w:p>
    <w:p>
      <w:pPr>
        <w:spacing w:after="0" w:line="193"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i w:val="1"/>
          <w:iCs w:val="1"/>
          <w:color w:val="auto"/>
        </w:rPr>
        <w:t>Interest and other income/(expense), net</w:t>
      </w:r>
      <w:r>
        <w:rPr>
          <w:rFonts w:ascii="Arial" w:cs="Arial" w:eastAsia="Arial" w:hAnsi="Arial"/>
          <w:sz w:val="17"/>
          <w:szCs w:val="17"/>
          <w:color w:val="auto"/>
        </w:rPr>
        <w:t>. Interest and other income/(expense), net primarily includes the amortization of debt discount and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costs, as well as interest on the debt. See </w:t>
      </w:r>
      <w:r>
        <w:rPr>
          <w:rFonts w:ascii="Arial" w:cs="Arial" w:eastAsia="Arial" w:hAnsi="Arial"/>
          <w:sz w:val="17"/>
          <w:szCs w:val="17"/>
          <w:b w:val="1"/>
          <w:bCs w:val="1"/>
          <w:color w:val="auto"/>
        </w:rPr>
        <w:t>Liquidity and Capital Resources</w:t>
      </w:r>
      <w:r>
        <w:rPr>
          <w:rFonts w:ascii="Arial" w:cs="Arial" w:eastAsia="Arial" w:hAnsi="Arial"/>
          <w:sz w:val="17"/>
          <w:szCs w:val="17"/>
          <w:color w:val="auto"/>
        </w:rPr>
        <w:t xml:space="preserve"> included in the next section of this Report.</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On December 22, 2017, the U.S. government enacted comprehensive tax legislation, commonly known as the Tax Cuts and Jobs Act of 2017, or the Act, which significantly reforms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 sourced earnings. As our accounting and tax year is the fiscal period ending on the last Saturday in June, U.S. federal tax law requires that taxpayers with a fiscal year that spans the effective date of a rate change to calculate a blended tax rate based on the pro rata number of days in the fiscal year before and after the effective date. As a result, our U.S. federal tax rate for fiscal 2018 is a days-weighted blended tax rate of 28.17%. For fiscal 2019 and subsequent tax years, our U.S. federal tax rate will be 21%.</w:t>
      </w:r>
    </w:p>
    <w:p>
      <w:pPr>
        <w:spacing w:after="0" w:line="16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As of December 31, 2017, we have not fully completed our accounting for the tax effects of the Act; however, in certain cases, we have made a reasonable estimate of the effects of the enactment. In cases where we have not been able to make a reasonable estimate, we continue to account for those items based on our existing accounting policies. For the items for which we were able to determine a reasonable estimate, namely the one-time transition tax and the remeasurement of deferred tax at the new tax rate, we recognized provisional tax expense of $46.5 million, which is included as a component of provision for income tax expenses in the three and six months ended December 31, 2017. Of the $46.5 million provisional tax expense, $54.4 million was for discrete tax expense items consisting of the one-time transition tax and the remeasurement of the beginning balance of U.S. federal deferred tax assets, partially offset by a non-discrete tax benefit of $7.9 million, which has an impact of 12.6% on our annual effective tax rate. As of December 31, 2017, we remeasured our U.S. federal deferred tax assets and liabilities based on the tax rates at which they are expected to reverse in the future and recorded a discrete tax provision of $5.1 million.</w:t>
      </w:r>
    </w:p>
    <w:p>
      <w:pPr>
        <w:spacing w:after="0" w:line="18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one-time transition tax is based on our post-1986 foreign earnings and profits, or E&amp;P, which we have previously excluded from U.S. income taxes due to our position that we would permanently reinvest future earnings. The one-time transition tax is applied at a 15.5% tax rate on cash assets and an 8% tax rate for other specified assets. We recorded a provisional amount for our one-time transition tax liability for our foreign subsidiaries, resulting in an increase in income tax expense of $49.3 million, net of foreign tax credits. We also expect to fully utilize all of our federal research tax credit carryforwards generated from previous years.</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not yet completed our calculation of the total post-1986 foreign E&amp;P for these foreign subsidiaries. This amount may change when we finalize the determination of our E&amp;P previously deferred from U.S. federal taxation and finalize the amounts held in cash or other specified assets. No additional income taxes have been provided for any remaining undistributed foreign earnings not subject to the transition tax and any additional outside basis difference inherent in these entities as these amounts continue to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380"/>
        <w:spacing w:after="0" w:line="259" w:lineRule="auto"/>
        <w:rPr>
          <w:sz w:val="20"/>
          <w:szCs w:val="20"/>
          <w:color w:val="auto"/>
        </w:rPr>
      </w:pPr>
      <w:r>
        <w:rPr>
          <w:rFonts w:ascii="Arial" w:cs="Arial" w:eastAsia="Arial" w:hAnsi="Arial"/>
          <w:sz w:val="18"/>
          <w:szCs w:val="18"/>
          <w:color w:val="auto"/>
        </w:rPr>
        <w:t>indefinitely reinvested in foreign operations. We did not have the necessary information prepared or analyzed to develop a reasonable estimate of the tax liability, if any, for our remaining outside basis difference including any deferred tax accounting that may be required due to other provisions in the Act beyond the one-time transition tax, including how that accounting may be affected by our ongoing accounting position to indefinitely reinvest unremitted foreign earnings.</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color w:val="auto"/>
        </w:rPr>
        <w:t>The provision for income taxes of $53.3 million and $6.6 million for the three months ended December 31, 2017 and 2016, respectively, represented estimated federal, foreign, and state income taxes. The effective tax rate for the three months ended December 31, 2017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 The effective tax rate for the three months ended December 31, 2016, diverged from the combined U.S. federal and state statutory tax rate, primarily because of foreign income taxed at lower tax rates and research credits, partially offset by foreign withholding taxes, nondeductible amortization, and the impact of accounting for qualified stock options.</w:t>
      </w:r>
    </w:p>
    <w:p>
      <w:pPr>
        <w:spacing w:after="0" w:line="167" w:lineRule="exact"/>
        <w:rPr>
          <w:sz w:val="20"/>
          <w:szCs w:val="20"/>
          <w:color w:val="auto"/>
        </w:rPr>
      </w:pPr>
    </w:p>
    <w:p>
      <w:pPr>
        <w:ind w:right="260" w:firstLine="518"/>
        <w:spacing w:after="0" w:line="291" w:lineRule="auto"/>
        <w:rPr>
          <w:sz w:val="20"/>
          <w:szCs w:val="20"/>
          <w:color w:val="auto"/>
        </w:rPr>
      </w:pPr>
      <w:r>
        <w:rPr>
          <w:rFonts w:ascii="Arial" w:cs="Arial" w:eastAsia="Arial" w:hAnsi="Arial"/>
          <w:sz w:val="16"/>
          <w:szCs w:val="16"/>
          <w:color w:val="auto"/>
        </w:rPr>
        <w:t>The provision for income taxes of $56.5 million and $7.6 million for the six months ended December 31, 2017, and 2016, respectively, represented estimated federal, foreign, and state income taxes. The effective tax rate for the three months ended December 31, 2017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 The effective tax rate for the three months ended December 31, 2016, diverged from the combined U.S. federal and state statutory tax rate, primarily because of foreign income taxed at lower tax rates and research credits, partially offset by foreign withholding taxes, nondeductible amortization, and the impact of accounting for qualified stock options.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cash and cash equivalents were $252.2 million as of December 31, 2017, compared with $367.8 million as of June 30, 2017, a decrease of $115.6 million. The decrease primarily reflected the combination of $395.9 million used for the acquisition of businesses, net of cash and cash equivalents acquired; $220.0 million for payment of debt; $93.6 million used to repurchase 1,698,400 shares of our common stock; and $19.5 million used for the purchase of property and equipment; partially offset by $514.5 million in net proceeds from issuance of convertible notes and $103.2 million of net cash provided by operating activities. At this time, we consider earnings of our foreign subsidiaries indefinitely invested overseas and have made no provision for income or withholding taxes that may result from a future repatriation of those earnings. As of December 31, 2017, $162.2 million of cash and cash equivalents was held by our foreign subsidiaries. If these funds are needed for our operations in the United States, we may be required to accrue and pay certain state and foreign taxes to repatriate these funds.</w:t>
      </w:r>
    </w:p>
    <w:p>
      <w:pPr>
        <w:spacing w:after="0" w:line="192"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Operating activities during the six months ended December 31, 2017 generated $103.2 million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$52.4 net cash generated during the six months ended December 31, 2016. From June 30, 2017 to December 31, 2017, our days sales outstanding decreased slightly from 54 days to 49 days. Our annual inventory turns decreased from nine to eight due to the additional inventory acquired in recent acquisitions, including the fair value adjustment recorded as part of the purchase accounting for such acquisitions. From June 30, 2016 to December 31, 2016, our days sales outstanding decreased from 70 days to 51 days, due to a much smaller percentage of the quarter’s net revenue occurring late in the December 31, 2016 quarter compared with a much larger percentage of the quarter’s net revenue occurring late in the June 30, 2016 quarter. Our annual inventory turns increased from six to eight during the same period.</w:t>
      </w:r>
    </w:p>
    <w:p>
      <w:pPr>
        <w:spacing w:after="0" w:line="178"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during the six months ended December 31, 2017 consisted of $395.9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of businesses, net of cash and cash equivalents acquired, $19.5 million for purchases of property and equipment, and $7.7 million for purchases of intangible assets. Cash used in investing activities during the six months ended December 31, 2016 consisted of $20.3 million for purchase of property and equipment and $15.8 million for the investment in a direct financing lease, partially offset by $7.5 million of proceeds from sales of investments.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20" w:firstLine="518"/>
        <w:spacing w:after="0" w:line="273"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Net cash provided by financing activities for the six months ended December 31, 2017 was $204.4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with $26.9 million used in financing activities for the six months ended December 31, 2016. Net cash provided by financing activities for the six months ended December 31, 2017 was primarily related to $514.5 million in proceeds from issuance of convertible debt, net of issuance costs, partially offset by $220.0 million used for payment of debt and $93.6 million used to repurchase 1,698,400 shares of our common stock. Net cash used in financing activities for the three months ended December 31, 2016 primarily related to $25.0 million used to repurchase 508,063 shares of our common stock, $11.3 million for the payment of debt, partially offset by $13.1 million in proceeds from issuance of shares.</w:t>
      </w:r>
    </w:p>
    <w:p>
      <w:pPr>
        <w:spacing w:after="0" w:line="17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December 31, 2017, our board has cumulatively authorized $1.3 billion for our common stock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will expire in July 2019.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Common stock purchased under this program is held as treasury stock. From April 2005 through December 31, 2017, we purchased 27,639,876 shares of our common stock in the open market for an aggregate cost of $1.1 billion. Treasury shares purchased prior to August 28, 2008 were not subject to the stock split on that date. During the six months ended December 31, 2017, we repurchased 1,698,400 shares of our common stock for a total cost of $93.6 million. As of December 31, 2017, the remaining available authorization under our common stock repurchase program is $226.1 million.</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June 20, 2017, we entered into a purchase agreement, or the Purchase Agreement, with Wells Fargo Securities, LLC, as representative of the initial purchasers named therein, or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includes proceeds from the Initial Purchasers’ exercise of their option to purchase additional Notes. We received the net proceeds on June 26, 2017, which we used to repurchase shares of our common stock, to retire our outstanding bank debt, and to provide additional cash resources to fund the Conexant and Marvell Business Acquisitions.</w:t>
      </w:r>
    </w:p>
    <w:p>
      <w:pPr>
        <w:spacing w:after="0" w:line="192" w:lineRule="exact"/>
        <w:rPr>
          <w:sz w:val="20"/>
          <w:szCs w:val="20"/>
          <w:color w:val="auto"/>
        </w:rPr>
      </w:pPr>
    </w:p>
    <w:p>
      <w:pPr>
        <w:jc w:val="both"/>
        <w:ind w:right="14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will accrue from June 26, 2017 and will be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78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 w:name="page31"/>
    <w:bookmarkEnd w:id="30"/>
    <w:p>
      <w:pPr>
        <w:spacing w:after="0" w:line="308" w:lineRule="auto"/>
        <w:rPr>
          <w:sz w:val="20"/>
          <w:szCs w:val="20"/>
          <w:color w:val="auto"/>
        </w:rPr>
      </w:pPr>
      <w:r>
        <w:rPr>
          <w:rFonts w:ascii="Arial" w:cs="Arial" w:eastAsia="Arial" w:hAnsi="Arial"/>
          <w:sz w:val="17"/>
          <w:szCs w:val="17"/>
          <w:color w:val="252525"/>
        </w:rPr>
        <w:t>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4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At the end of fiscal 2017, we had $220.0 million principal outstanding under our credit agreement consisting of $100.0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our revolving credit facility and $120.0 million under our term loan arrangement. At the beginning of fiscal 2018, we issued $525.0 million principal amount of convertible notes and utilized a portion of the proceeds from our Notes to retire the outstanding principal and interest balances on our </w:t>
      </w:r>
      <w:r>
        <w:rPr>
          <w:rFonts w:ascii="Arial" w:cs="Arial" w:eastAsia="Arial" w:hAnsi="Arial"/>
          <w:sz w:val="17"/>
          <w:szCs w:val="17"/>
          <w:color w:val="252525"/>
        </w:rPr>
        <w:t>revolving</w:t>
      </w:r>
      <w:r>
        <w:rPr>
          <w:rFonts w:ascii="Arial" w:cs="Arial" w:eastAsia="Arial" w:hAnsi="Arial"/>
          <w:sz w:val="17"/>
          <w:szCs w:val="17"/>
          <w:color w:val="auto"/>
        </w:rPr>
        <w:t xml:space="preserve"> </w:t>
      </w:r>
      <w:r>
        <w:rPr>
          <w:rFonts w:ascii="Arial" w:cs="Arial" w:eastAsia="Arial" w:hAnsi="Arial"/>
          <w:sz w:val="17"/>
          <w:szCs w:val="17"/>
          <w:color w:val="252525"/>
        </w:rPr>
        <w:t>credit facility and our term loan arrangement. At the end of July 2017, we made an election to reduce the commitment under the revolving credit facility from $450.0 million to $250.0 million as we were able to complete the Conexant Acquisition with available cash.</w:t>
      </w:r>
    </w:p>
    <w:p>
      <w:pPr>
        <w:spacing w:after="0" w:line="173"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December 31, 2017, there is no balance outstanding under the revolving credit facility. As a result of terminating our term loan arrangement, we expensed the remaining debt issuance costs attributable to the term loan of $1.0 million during the first quarter of fiscal 2018.</w:t>
      </w:r>
    </w:p>
    <w:p>
      <w:pPr>
        <w:spacing w:after="0" w:line="166"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will be amortized over 60 months.</w:t>
      </w:r>
    </w:p>
    <w:p>
      <w:pPr>
        <w:spacing w:after="0" w:line="14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As of December 31, 2017, there is no balance outstanding under the revolving credit facility.</w:t>
      </w:r>
    </w:p>
    <w:p>
      <w:pPr>
        <w:spacing w:after="0" w:line="178"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w:t>
      </w:r>
    </w:p>
    <w:p>
      <w:pPr>
        <w:spacing w:after="0" w:line="167"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acquisitions, which shares will generally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4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We believe our existing cash and cash equivalents, anticipated cash flows from operating activities, and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under the Agreement will be sufficient to meet our working capital and other cash requirements for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180"/>
        <w:spacing w:after="0" w:line="290" w:lineRule="auto"/>
        <w:rPr>
          <w:sz w:val="20"/>
          <w:szCs w:val="20"/>
          <w:color w:val="auto"/>
        </w:rPr>
      </w:pPr>
      <w:r>
        <w:rPr>
          <w:rFonts w:ascii="Arial" w:cs="Arial" w:eastAsia="Arial" w:hAnsi="Arial"/>
          <w:sz w:val="16"/>
          <w:szCs w:val="16"/>
          <w:color w:val="auto"/>
        </w:rPr>
        <w:t>least the next 12 months, our contingent consideration obligations associated with the acquisition of Validity, and our debt service obligations.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introductions of new products and enhancements to existing products, the costs to ensure access to adequate manufacturing, the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166"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December 31, 2017 were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89"/>
              </w:rPr>
              <w:t>Fiscal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50"/>
              <w:spacing w:after="0"/>
              <w:rPr>
                <w:sz w:val="20"/>
                <w:szCs w:val="20"/>
                <w:color w:val="auto"/>
              </w:rPr>
            </w:pPr>
            <w:r>
              <w:rPr>
                <w:rFonts w:ascii="Arial" w:cs="Arial" w:eastAsia="Arial" w:hAnsi="Arial"/>
                <w:sz w:val="18"/>
                <w:szCs w:val="18"/>
                <w:color w:val="auto"/>
                <w:w w:val="89"/>
              </w:rPr>
              <w:t>Fiscal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Fiscal</w:t>
            </w:r>
          </w:p>
        </w:tc>
        <w:tc>
          <w:tcPr>
            <w:tcW w:w="120" w:type="dxa"/>
            <w:vAlign w:val="bottom"/>
          </w:tcPr>
          <w:p>
            <w:pPr>
              <w:spacing w:after="0"/>
              <w:rPr>
                <w:sz w:val="18"/>
                <w:szCs w:val="18"/>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Fiscal</w:t>
            </w:r>
          </w:p>
        </w:tc>
        <w:tc>
          <w:tcPr>
            <w:tcW w:w="10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89"/>
              </w:rPr>
              <w:t>Fiscal</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in Fiscal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89"/>
              </w:rPr>
              <w:t>Year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50"/>
              <w:spacing w:after="0"/>
              <w:rPr>
                <w:sz w:val="20"/>
                <w:szCs w:val="20"/>
                <w:color w:val="auto"/>
              </w:rPr>
            </w:pPr>
            <w:r>
              <w:rPr>
                <w:rFonts w:ascii="Arial" w:cs="Arial" w:eastAsia="Arial" w:hAnsi="Arial"/>
                <w:sz w:val="18"/>
                <w:szCs w:val="18"/>
                <w:color w:val="auto"/>
                <w:w w:val="89"/>
              </w:rPr>
              <w:t>Year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Year</w:t>
            </w:r>
          </w:p>
        </w:tc>
        <w:tc>
          <w:tcPr>
            <w:tcW w:w="120" w:type="dxa"/>
            <w:vAlign w:val="bottom"/>
          </w:tcPr>
          <w:p>
            <w:pPr>
              <w:spacing w:after="0"/>
              <w:rPr>
                <w:sz w:val="18"/>
                <w:szCs w:val="18"/>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Year</w:t>
            </w:r>
          </w:p>
        </w:tc>
        <w:tc>
          <w:tcPr>
            <w:tcW w:w="10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89"/>
              </w:rPr>
              <w:t>Year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1"/>
              </w:rPr>
              <w:t>Year 2018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ind w:right="10"/>
              <w:spacing w:after="0"/>
              <w:rPr>
                <w:sz w:val="20"/>
                <w:szCs w:val="20"/>
                <w:color w:val="auto"/>
              </w:rPr>
            </w:pPr>
            <w:r>
              <w:rPr>
                <w:rFonts w:ascii="Arial" w:cs="Arial" w:eastAsia="Arial" w:hAnsi="Arial"/>
                <w:sz w:val="18"/>
                <w:szCs w:val="18"/>
                <w:color w:val="auto"/>
                <w:w w:val="89"/>
              </w:rPr>
              <w:t>2023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Total</w:t>
            </w:r>
          </w:p>
        </w:tc>
      </w:tr>
      <w:tr>
        <w:trPr>
          <w:trHeight w:val="223"/>
        </w:trPr>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Leases</w:t>
            </w: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r>
      <w:tr>
        <w:trPr>
          <w:trHeight w:val="215"/>
        </w:trPr>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obligations and other</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39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commitments </w:t>
            </w:r>
            <w:r>
              <w:rPr>
                <w:rFonts w:ascii="Arial" w:cs="Arial" w:eastAsia="Arial" w:hAnsi="Arial"/>
                <w:sz w:val="15"/>
                <w:szCs w:val="15"/>
                <w:color w:val="auto"/>
              </w:rPr>
              <w:t>(2)</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60" w:type="dxa"/>
            <w:vAlign w:val="bottom"/>
            <w:shd w:val="clear" w:color="auto" w:fill="CFF0FC"/>
          </w:tcPr>
          <w:p>
            <w:pPr>
              <w:spacing w:after="0"/>
              <w:rPr>
                <w:sz w:val="20"/>
                <w:szCs w:val="20"/>
                <w:color w:val="auto"/>
              </w:rPr>
            </w:pPr>
          </w:p>
        </w:tc>
      </w:tr>
      <w:tr>
        <w:trPr>
          <w:trHeight w:val="230"/>
        </w:trPr>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15"/>
                <w:szCs w:val="15"/>
                <w:color w:val="auto"/>
              </w:rPr>
              <w:t>(3)</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9" w:lineRule="exact"/>
        <w:rPr>
          <w:rFonts w:ascii="Arial" w:cs="Arial" w:eastAsia="Arial" w:hAnsi="Arial"/>
          <w:sz w:val="18"/>
          <w:szCs w:val="18"/>
          <w:color w:val="auto"/>
        </w:rPr>
      </w:pPr>
    </w:p>
    <w:p>
      <w:pPr>
        <w:ind w:left="520" w:right="660" w:hanging="512"/>
        <w:spacing w:after="0" w:line="27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payments retained in connection with the earnout consideration related to the Validity acquisition.</w:t>
      </w:r>
    </w:p>
    <w:p>
      <w:pPr>
        <w:spacing w:after="0" w:line="225"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 xml:space="preserve">In connection with the Validity acquisition in November 2013, we entered into a contingent consideration arrangement. The earnout period for this arrangement was complete as of March 31, 2016. As of December 31, 2017, $8.7 million of the final earnout consideration liability is outstanding; this balance represents amounts we have not paid and have retained, subject to resolution of matters relating to the Amkor Technology legal dispute (see </w:t>
      </w:r>
      <w:r>
        <w:rPr>
          <w:rFonts w:ascii="Arial" w:cs="Arial" w:eastAsia="Arial" w:hAnsi="Arial"/>
          <w:sz w:val="16"/>
          <w:szCs w:val="16"/>
          <w:i w:val="1"/>
          <w:iCs w:val="1"/>
          <w:color w:val="auto"/>
        </w:rPr>
        <w:t>Legal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w:t>
      </w:r>
      <w:r>
        <w:rPr>
          <w:rFonts w:ascii="Arial" w:cs="Arial" w:eastAsia="Arial" w:hAnsi="Arial"/>
          <w:sz w:val="16"/>
          <w:szCs w:val="16"/>
          <w:color w:val="auto"/>
        </w:rPr>
        <w:t>under Note 9 included in the condensed consolidated financial statements contained elsewhere in this Report).</w:t>
      </w:r>
    </w:p>
    <w:p>
      <w:pPr>
        <w:spacing w:after="0" w:line="154"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The amounts in the table above exclude unrecognized tax benefits of $18.0 million. As of December 31, 2017, we were unable to make a reasonably reliable estimate of when cash settlement with a taxing authority may occur in connection with our gross unrecognized tax benefit.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2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May 2014, the Financial Accounting Standards Board, or FASB, issued an accounting standard update, or ASU, on Revenue from Contracts with Customers. The ASU will supersede most of the existing revenue recognition guidance in U.S. GAAP when the new standard becomes effective, and requires entities to recognize revenue when they transfer promised goods or services to customers in an amount that reflects the consideration which the entity expects to be entitled to in exchange for those goods or services. The ASU is effective for us in our fiscal year 2019, with early adoption permitted in the first quarter of fiscal 2018. We did not early adopt the new standard. The new standard permits the use of either the full retrospective or modified retrospective transition method and we plan to adopt the standard using the modified retrospective transition method. Based on our current assessment of the ASU and our related customer contracts and current revenue recognition methodologies and processes, the new revenue standard is not expected to have a material impact on the amount and timing of revenue recognized in our consolidated financial statements.</w:t>
      </w:r>
    </w:p>
    <w:p>
      <w:pPr>
        <w:spacing w:after="0" w:line="17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February 2016, the FASB issued an ASU on Leases. This update requires organizations that lease assets with lease terms of more than 12 months to recognize assets and liabilities for the rights and obligations created by those leases on their balance sheets. 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7"/>
          <w:szCs w:val="17"/>
          <w:color w:val="auto"/>
        </w:rPr>
        <w:t>also requires new qualitative and quantitative disclosures to help investors and other financial statement users better understand the amount, timing, and uncertainty of cash flows arising from leases. The new standard will be effective for us beginning in the first quarter of our fiscal year 2020, with early adoption permitted. We are evaluating the effects of adoption of this ASU on our consolidated financial statements.</w:t>
      </w:r>
    </w:p>
    <w:p>
      <w:pPr>
        <w:spacing w:after="0" w:line="36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40" w:top="341" w:right="7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As of December 31, 2017, our market risk related to interest rates on our cash and cash equivalents and ARS investments, and foreign currency exchange risks has not changed materially from the risks disclosed in Item 7A of our Annual Report on Form 10-K for the fiscal year ended June 24, 2017.</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Rate Risk</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As of December 31, 2017, there is no balance outstanding under our revolving credit facility. 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right="40" w:firstLine="518"/>
        <w:spacing w:after="0" w:line="279"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the Chief Executive Officer, or CEO, and the Chief Financial Officer, or CFO, as appropriate, to allow timely decisions regarding required disclosure.</w:t>
      </w:r>
    </w:p>
    <w:p>
      <w:pPr>
        <w:spacing w:after="0" w:line="17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CEO and CFO, we evaluated the effectiveness of the design and operation of our disclosure controls and procedures as of the end of the period covered by this Report. Based on this evaluation, our CEO and CFO concluded that our disclosure controls and procedures were effective as of the end of the period covered by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assessed, with the participation of the CEO and CFO, any change in our internal control over financial reporting as of the end of the fiscal quarter covered by this Report.</w:t>
      </w:r>
    </w:p>
    <w:p>
      <w:pPr>
        <w:spacing w:after="0" w:line="170"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Our assessment excluded Conexant which was acquired on July 25, 2017. Conexant had net revenues of approximately $57.4 million and total tangible assets of approximately $75.1 million, which are included in our condensed consolidated financial statements as of and for the six months ended December 31, 2017. We are currently assessing the control environment of this acquired business. Conexant’s sales constitute approximately 6.8% of our sales for the quarterly period covered by this Report, and Conexant’s tangible assets constitute approximately 5.0% of our total assets as of the end of such period.</w:t>
      </w:r>
    </w:p>
    <w:p>
      <w:pPr>
        <w:spacing w:after="0" w:line="188"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Under guidelines established by the SEC, companies are permitted to exclude acquisitions from their assessment of internal control over financial reporting during the first year of an acquisition while integrating the acquired company. During the integration period, management is developing additional controls to ensure the financial information provided by Conexant is complete and accurate in all material respects.</w:t>
      </w:r>
    </w:p>
    <w:p>
      <w:pPr>
        <w:spacing w:after="0" w:line="166"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Except as noted above, there were no changes in our internal control over financial reporting during the three months ended December 31, 2017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252525"/>
        </w:rPr>
        <w:t>You should carefully consider the following factors, together with all the other information included in this report and in the factors set forth in Part I, Item 1A, “Risk Factors,” of our Annual Report on Form 10-K for the fiscal year ended June 24, 2017, in evaluating our company and our business.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changes in tax laws could adversely affect our consolidated financial position, results of operations or cash flows.</w:t>
      </w:r>
    </w:p>
    <w:p>
      <w:pPr>
        <w:spacing w:after="0" w:line="1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On December 22, 2017, the U.S. government enacted comprehensive tax legislation, commonly known as the Tax Cuts and Jobs Act, or the Act, which significantly reforms the Internal Revenue Code of 1986, as amended. The Act contains broad and complex changes to corporate taxation, including in part reduction of the U.S federal corporate tax rate, limitation of the tax deduction for interest expense, a limitation on the deduction for net operating losses, elimination of net operating loss carrybacks, one-time taxation of foreign earnings at reduced tax rates regardless of whether they are repatriated, elimination of U.S. federal tax on foreign earnings (subject to certain important exceptions), immediate deductions for certain new investments instead of deductions for depreciation expense over time, a limitation on the deduction for compensation paid to certain executive officers, and modifying or repealing many business deductions and credits. As regulations, new legislation, or technical corrections are enacted to interpret various elements of the Act, these changes may result in adjustments to our estimates.</w:t>
      </w:r>
    </w:p>
    <w:p>
      <w:pPr>
        <w:spacing w:after="0" w:line="71"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Notwithstanding the reduction in the corporate U.S. federal corporate tax rate, the initial impact of accounting for the Act was a material increase to our provision for income taxes in the quarter of enactment. The ongoing impact is uncertain, pending completion of U.S. federal and state regulations and guidance, and could adversely affect our consolidated financial position, results of operations, or cash flows.</w:t>
      </w:r>
    </w:p>
    <w:p>
      <w:pPr>
        <w:spacing w:after="0" w:line="67" w:lineRule="exact"/>
        <w:rPr>
          <w:sz w:val="20"/>
          <w:szCs w:val="20"/>
          <w:color w:val="auto"/>
        </w:rPr>
      </w:pPr>
    </w:p>
    <w:p>
      <w:pPr>
        <w:ind w:right="428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ind w:firstLine="518"/>
        <w:spacing w:after="0" w:line="264" w:lineRule="auto"/>
        <w:rPr>
          <w:sz w:val="20"/>
          <w:szCs w:val="20"/>
          <w:color w:val="auto"/>
        </w:rPr>
      </w:pPr>
      <w:r>
        <w:rPr>
          <w:rFonts w:ascii="Arial" w:cs="Arial" w:eastAsia="Arial" w:hAnsi="Arial"/>
          <w:sz w:val="18"/>
          <w:szCs w:val="18"/>
          <w:color w:val="auto"/>
        </w:rPr>
        <w:t>Our Board of Directors has cumulatively authorized $1.3 billion for our common stock repurchase program, which expires at the end of July 2019. As of December 31, 2017, the remaining amount authorized for the repurchase of our common stock is $226.1 million. There were no repurchases under our common stock repurchase program during the three-month period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10.3*</w:t>
            </w:r>
          </w:p>
        </w:tc>
        <w:tc>
          <w:tcPr>
            <w:tcW w:w="9340" w:type="dxa"/>
            <w:vAlign w:val="bottom"/>
            <w:tcBorders>
              <w:bottom w:val="single" w:sz="8" w:color="0000EE"/>
            </w:tcBorders>
            <w:gridSpan w:val="7"/>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Synaptics Incorporated Amended and Restated 2010 Incentive Compensation Plan, as amended effective on October 31, 2017 (1)</w:t>
              </w:r>
            </w:hyperlink>
          </w:p>
        </w:tc>
        <w:tc>
          <w:tcPr>
            <w:tcW w:w="400" w:type="dxa"/>
            <w:vAlign w:val="bottom"/>
          </w:tcPr>
          <w:p>
            <w:pPr>
              <w:spacing w:after="0"/>
              <w:rPr>
                <w:sz w:val="17"/>
                <w:szCs w:val="17"/>
                <w:color w:val="auto"/>
              </w:rPr>
            </w:pPr>
          </w:p>
        </w:tc>
      </w:tr>
      <w:tr>
        <w:trPr>
          <w:trHeight w:val="331"/>
        </w:trPr>
        <w:tc>
          <w:tcPr>
            <w:tcW w:w="1160" w:type="dxa"/>
            <w:vAlign w:val="bottom"/>
          </w:tcPr>
          <w:p>
            <w:pPr>
              <w:jc w:val="right"/>
              <w:ind w:right="370"/>
              <w:spacing w:after="0"/>
              <w:rPr>
                <w:sz w:val="20"/>
                <w:szCs w:val="20"/>
                <w:color w:val="auto"/>
              </w:rPr>
            </w:pPr>
            <w:r>
              <w:rPr>
                <w:rFonts w:ascii="Arial" w:cs="Arial" w:eastAsia="Arial" w:hAnsi="Arial"/>
                <w:sz w:val="18"/>
                <w:szCs w:val="18"/>
                <w:color w:val="auto"/>
                <w:w w:val="91"/>
              </w:rPr>
              <w:t>10.24(e)*</w:t>
            </w:r>
          </w:p>
        </w:tc>
        <w:tc>
          <w:tcPr>
            <w:tcW w:w="93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Form of Deferred Stock Award Agreement for Market Stock Units for Amended and Restated 2010 Incentive Compensation Plan</w:t>
              </w:r>
            </w:hyperlink>
          </w:p>
        </w:tc>
        <w:tc>
          <w:tcPr>
            <w:tcW w:w="400" w:type="dxa"/>
            <w:vAlign w:val="bottom"/>
          </w:tcPr>
          <w:p>
            <w:pPr>
              <w:spacing w:after="0"/>
              <w:rPr>
                <w:sz w:val="24"/>
                <w:szCs w:val="24"/>
                <w:color w:val="auto"/>
              </w:rPr>
            </w:pPr>
          </w:p>
        </w:tc>
      </w:tr>
      <w:tr>
        <w:trPr>
          <w:trHeight w:val="331"/>
        </w:trPr>
        <w:tc>
          <w:tcPr>
            <w:tcW w:w="1160" w:type="dxa"/>
            <w:vAlign w:val="bottom"/>
          </w:tcPr>
          <w:p>
            <w:pPr>
              <w:jc w:val="right"/>
              <w:ind w:right="390"/>
              <w:spacing w:after="0"/>
              <w:rPr>
                <w:sz w:val="20"/>
                <w:szCs w:val="20"/>
                <w:color w:val="auto"/>
              </w:rPr>
            </w:pPr>
            <w:r>
              <w:rPr>
                <w:rFonts w:ascii="Arial" w:cs="Arial" w:eastAsia="Arial" w:hAnsi="Arial"/>
                <w:sz w:val="18"/>
                <w:szCs w:val="18"/>
                <w:color w:val="auto"/>
                <w:w w:val="95"/>
              </w:rPr>
              <w:t>10.24(f)*</w:t>
            </w:r>
          </w:p>
        </w:tc>
        <w:tc>
          <w:tcPr>
            <w:tcW w:w="9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Form of Deferred Stock Award Agreement for Performance Stock Units for Amended and Restated 2010 Incentive Compensation Plan</w:t>
              </w:r>
            </w:hyperlink>
          </w:p>
        </w:tc>
      </w:tr>
      <w:tr>
        <w:trPr>
          <w:trHeight w:val="412"/>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92"/>
              </w:rPr>
              <w:t>10.26*</w:t>
            </w:r>
          </w:p>
        </w:tc>
        <w:tc>
          <w:tcPr>
            <w:tcW w:w="49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Change of Control Severance Policy for Principal Executive Officers</w:t>
              </w:r>
            </w:hyperlink>
          </w:p>
        </w:tc>
        <w:tc>
          <w:tcPr>
            <w:tcW w:w="4760" w:type="dxa"/>
            <w:vAlign w:val="bottom"/>
            <w:gridSpan w:val="2"/>
          </w:tcPr>
          <w:p>
            <w:pPr>
              <w:spacing w:after="0"/>
              <w:rPr>
                <w:sz w:val="24"/>
                <w:szCs w:val="24"/>
                <w:color w:val="auto"/>
              </w:rPr>
            </w:pPr>
          </w:p>
        </w:tc>
      </w:tr>
      <w:tr>
        <w:trPr>
          <w:trHeight w:val="412"/>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92"/>
              </w:rPr>
              <w:t>10.27*</w:t>
            </w:r>
          </w:p>
        </w:tc>
        <w:tc>
          <w:tcPr>
            <w:tcW w:w="974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Severance Policy for Principal Executive Officers</w:t>
              </w:r>
            </w:hyperlink>
          </w:p>
        </w:tc>
      </w:tr>
      <w:tr>
        <w:trPr>
          <w:trHeight w:val="412"/>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31.1</w:t>
            </w:r>
          </w:p>
        </w:tc>
        <w:tc>
          <w:tcPr>
            <w:tcW w:w="28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67">
              <w:r>
                <w:rPr>
                  <w:rFonts w:ascii="Arial" w:cs="Arial" w:eastAsia="Arial" w:hAnsi="Arial"/>
                  <w:sz w:val="18"/>
                  <w:szCs w:val="18"/>
                  <w:color w:val="0000EE"/>
                  <w:w w:val="94"/>
                </w:rPr>
                <w:t>Certification of Chief Executive Officer</w:t>
              </w:r>
            </w:hyperlink>
          </w:p>
        </w:tc>
        <w:tc>
          <w:tcPr>
            <w:tcW w:w="700" w:type="dxa"/>
            <w:vAlign w:val="bottom"/>
            <w:tcBorders>
              <w:top w:val="single" w:sz="8" w:color="0000EE"/>
            </w:tcBorders>
          </w:tcPr>
          <w:p>
            <w:pPr>
              <w:spacing w:after="0"/>
              <w:rPr>
                <w:sz w:val="24"/>
                <w:szCs w:val="24"/>
                <w:color w:val="auto"/>
              </w:rPr>
            </w:pPr>
          </w:p>
        </w:tc>
        <w:tc>
          <w:tcPr>
            <w:tcW w:w="6160" w:type="dxa"/>
            <w:vAlign w:val="bottom"/>
            <w:gridSpan w:val="5"/>
          </w:tcPr>
          <w:p>
            <w:pPr>
              <w:spacing w:after="0"/>
              <w:rPr>
                <w:sz w:val="24"/>
                <w:szCs w:val="24"/>
                <w:color w:val="auto"/>
              </w:rPr>
            </w:pPr>
          </w:p>
        </w:tc>
      </w:tr>
      <w:tr>
        <w:trPr>
          <w:trHeight w:val="331"/>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31.2</w:t>
            </w:r>
          </w:p>
        </w:tc>
        <w:tc>
          <w:tcPr>
            <w:tcW w:w="974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Certification of Chief Financial Officer</w:t>
              </w:r>
            </w:hyperlink>
          </w:p>
        </w:tc>
      </w:tr>
      <w:tr>
        <w:trPr>
          <w:trHeight w:val="20"/>
        </w:trPr>
        <w:tc>
          <w:tcPr>
            <w:tcW w:w="11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r>
      <w:tr>
        <w:trPr>
          <w:trHeight w:val="331"/>
        </w:trPr>
        <w:tc>
          <w:tcPr>
            <w:tcW w:w="11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974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Section 1350 Certification of Chief Executive Officer</w:t>
              </w:r>
            </w:hyperlink>
          </w:p>
        </w:tc>
      </w:tr>
      <w:tr>
        <w:trPr>
          <w:trHeight w:val="331"/>
        </w:trPr>
        <w:tc>
          <w:tcPr>
            <w:tcW w:w="1160" w:type="dxa"/>
            <w:vAlign w:val="bottom"/>
          </w:tcPr>
          <w:p>
            <w:pPr>
              <w:jc w:val="right"/>
              <w:ind w:right="470"/>
              <w:spacing w:after="0"/>
              <w:rPr>
                <w:sz w:val="20"/>
                <w:szCs w:val="20"/>
                <w:color w:val="auto"/>
              </w:rPr>
            </w:pPr>
            <w:r>
              <w:rPr>
                <w:rFonts w:ascii="Arial" w:cs="Arial" w:eastAsia="Arial" w:hAnsi="Arial"/>
                <w:sz w:val="18"/>
                <w:szCs w:val="18"/>
                <w:color w:val="auto"/>
              </w:rPr>
              <w:t>32.2**</w:t>
            </w:r>
          </w:p>
        </w:tc>
        <w:tc>
          <w:tcPr>
            <w:tcW w:w="38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Section 1350 Certification of Chief Financial Officer</w:t>
              </w:r>
            </w:hyperlink>
          </w:p>
        </w:tc>
        <w:tc>
          <w:tcPr>
            <w:tcW w:w="40" w:type="dxa"/>
            <w:vAlign w:val="bottom"/>
            <w:tcBorders>
              <w:top w:val="single" w:sz="8" w:color="0000EE"/>
            </w:tcBorders>
          </w:tcPr>
          <w:p>
            <w:pPr>
              <w:spacing w:after="0"/>
              <w:rPr>
                <w:sz w:val="24"/>
                <w:szCs w:val="24"/>
                <w:color w:val="auto"/>
              </w:rPr>
            </w:pPr>
          </w:p>
        </w:tc>
        <w:tc>
          <w:tcPr>
            <w:tcW w:w="5880" w:type="dxa"/>
            <w:vAlign w:val="bottom"/>
            <w:gridSpan w:val="3"/>
          </w:tcPr>
          <w:p>
            <w:pPr>
              <w:spacing w:after="0"/>
              <w:rPr>
                <w:sz w:val="24"/>
                <w:szCs w:val="24"/>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49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as filed with the SEC on November 3, 2017.</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contract with management or compensatory plan or arrangement.</w:t>
      </w:r>
    </w:p>
    <w:p>
      <w:pPr>
        <w:spacing w:after="0" w:line="50" w:lineRule="exact"/>
        <w:rPr>
          <w:sz w:val="20"/>
          <w:szCs w:val="20"/>
          <w:color w:val="auto"/>
        </w:rPr>
      </w:pPr>
    </w:p>
    <w:p>
      <w:pPr>
        <w:ind w:left="52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3160"/>
              <w:spacing w:after="0"/>
              <w:rPr>
                <w:sz w:val="20"/>
                <w:szCs w:val="20"/>
                <w:color w:val="auto"/>
              </w:rPr>
            </w:pPr>
            <w:r>
              <w:rPr>
                <w:rFonts w:ascii="Arial" w:cs="Arial" w:eastAsia="Arial" w:hAnsi="Arial"/>
                <w:sz w:val="18"/>
                <w:szCs w:val="18"/>
                <w:b w:val="1"/>
                <w:bCs w:val="1"/>
                <w:color w:val="auto"/>
              </w:rPr>
              <w:t>SYNAPTICS INCORPORATED</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February 8, 2018</w:t>
            </w:r>
          </w:p>
        </w:tc>
        <w:tc>
          <w:tcPr>
            <w:tcW w:w="3760" w:type="dxa"/>
            <w:vAlign w:val="bottom"/>
          </w:tcPr>
          <w:p>
            <w:pPr>
              <w:ind w:left="31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A. Bergman</w:t>
            </w:r>
          </w:p>
        </w:tc>
      </w:tr>
      <w:tr>
        <w:trPr>
          <w:trHeight w:val="195"/>
        </w:trPr>
        <w:tc>
          <w:tcPr>
            <w:tcW w:w="3680" w:type="dxa"/>
            <w:vAlign w:val="bottom"/>
          </w:tcPr>
          <w:p>
            <w:pPr>
              <w:spacing w:after="0"/>
              <w:rPr>
                <w:sz w:val="16"/>
                <w:szCs w:val="16"/>
                <w:color w:val="auto"/>
              </w:rPr>
            </w:pPr>
          </w:p>
        </w:tc>
        <w:tc>
          <w:tcPr>
            <w:tcW w:w="3760" w:type="dxa"/>
            <w:vAlign w:val="bottom"/>
          </w:tcPr>
          <w:p>
            <w:pPr>
              <w:ind w:left="316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Richard A. Bergman</w:t>
            </w:r>
          </w:p>
        </w:tc>
      </w:tr>
      <w:tr>
        <w:trPr>
          <w:trHeight w:val="230"/>
        </w:trPr>
        <w:tc>
          <w:tcPr>
            <w:tcW w:w="3680" w:type="dxa"/>
            <w:vAlign w:val="bottom"/>
          </w:tcPr>
          <w:p>
            <w:pPr>
              <w:spacing w:after="0"/>
              <w:rPr>
                <w:sz w:val="20"/>
                <w:szCs w:val="20"/>
                <w:color w:val="auto"/>
              </w:rPr>
            </w:pPr>
          </w:p>
        </w:tc>
        <w:tc>
          <w:tcPr>
            <w:tcW w:w="3760" w:type="dxa"/>
            <w:vAlign w:val="bottom"/>
          </w:tcPr>
          <w:p>
            <w:pPr>
              <w:ind w:left="31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February 8, 2018</w:t>
            </w:r>
          </w:p>
        </w:tc>
        <w:tc>
          <w:tcPr>
            <w:tcW w:w="3760" w:type="dxa"/>
            <w:vAlign w:val="bottom"/>
          </w:tcPr>
          <w:p>
            <w:pPr>
              <w:ind w:left="31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Wajid Ali</w:t>
            </w:r>
          </w:p>
        </w:tc>
      </w:tr>
      <w:tr>
        <w:trPr>
          <w:trHeight w:val="195"/>
        </w:trPr>
        <w:tc>
          <w:tcPr>
            <w:tcW w:w="3680" w:type="dxa"/>
            <w:vAlign w:val="bottom"/>
          </w:tcPr>
          <w:p>
            <w:pPr>
              <w:spacing w:after="0"/>
              <w:rPr>
                <w:sz w:val="16"/>
                <w:szCs w:val="16"/>
                <w:color w:val="auto"/>
              </w:rPr>
            </w:pPr>
          </w:p>
        </w:tc>
        <w:tc>
          <w:tcPr>
            <w:tcW w:w="3760" w:type="dxa"/>
            <w:vAlign w:val="bottom"/>
          </w:tcPr>
          <w:p>
            <w:pPr>
              <w:ind w:left="316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Wajid Ali</w:t>
            </w:r>
          </w:p>
        </w:tc>
      </w:tr>
      <w:tr>
        <w:trPr>
          <w:trHeight w:val="230"/>
        </w:trPr>
        <w:tc>
          <w:tcPr>
            <w:tcW w:w="3680" w:type="dxa"/>
            <w:vAlign w:val="bottom"/>
          </w:tcPr>
          <w:p>
            <w:pPr>
              <w:spacing w:after="0"/>
              <w:rPr>
                <w:sz w:val="20"/>
                <w:szCs w:val="20"/>
                <w:color w:val="auto"/>
              </w:rPr>
            </w:pPr>
          </w:p>
        </w:tc>
        <w:tc>
          <w:tcPr>
            <w:tcW w:w="3760" w:type="dxa"/>
            <w:vAlign w:val="bottom"/>
          </w:tcPr>
          <w:p>
            <w:pPr>
              <w:ind w:left="31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48"/>
        </w:trPr>
        <w:tc>
          <w:tcPr>
            <w:tcW w:w="3680" w:type="dxa"/>
            <w:vAlign w:val="bottom"/>
          </w:tcPr>
          <w:p>
            <w:pPr>
              <w:spacing w:after="0"/>
              <w:rPr>
                <w:sz w:val="24"/>
                <w:szCs w:val="24"/>
                <w:color w:val="auto"/>
              </w:rPr>
            </w:pPr>
          </w:p>
        </w:tc>
        <w:tc>
          <w:tcPr>
            <w:tcW w:w="3760" w:type="dxa"/>
            <w:vAlign w:val="bottom"/>
          </w:tcPr>
          <w:p>
            <w:pPr>
              <w:ind w:left="1940"/>
              <w:spacing w:after="0"/>
              <w:rPr>
                <w:sz w:val="20"/>
                <w:szCs w:val="20"/>
                <w:color w:val="auto"/>
              </w:rPr>
            </w:pPr>
            <w:r>
              <w:rPr>
                <w:rFonts w:ascii="Arial" w:cs="Arial" w:eastAsia="Arial" w:hAnsi="Arial"/>
                <w:sz w:val="18"/>
                <w:szCs w:val="18"/>
                <w:color w:val="auto"/>
              </w:rPr>
              <w:t>37</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ind w:right="20"/>
        <w:spacing w:after="0"/>
        <w:rPr>
          <w:sz w:val="20"/>
          <w:szCs w:val="20"/>
          <w:color w:val="auto"/>
        </w:rPr>
      </w:pPr>
      <w:r>
        <w:rPr>
          <w:rFonts w:ascii="Arial" w:cs="Arial" w:eastAsia="Arial" w:hAnsi="Arial"/>
          <w:sz w:val="22"/>
          <w:szCs w:val="22"/>
          <w:b w:val="1"/>
          <w:bCs w:val="1"/>
          <w:color w:val="auto"/>
        </w:rPr>
        <w:t>Exhibit 10.24(e)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FOR FISCAL 2018 MSU AWARDS</w:t>
      </w:r>
    </w:p>
    <w:p>
      <w:pPr>
        <w:jc w:val="center"/>
        <w:ind w:right="20"/>
        <w:spacing w:after="0" w:line="230" w:lineRule="auto"/>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YNAPTICS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NCORPORATED</w:t>
      </w:r>
    </w:p>
    <w:p>
      <w:pPr>
        <w:jc w:val="center"/>
        <w:ind w:right="20"/>
        <w:spacing w:after="0" w:line="231" w:lineRule="auto"/>
        <w:rPr>
          <w:sz w:val="20"/>
          <w:szCs w:val="20"/>
          <w:color w:val="auto"/>
        </w:rPr>
      </w:pPr>
      <w:r>
        <w:rPr>
          <w:rFonts w:ascii="Arial" w:cs="Arial" w:eastAsia="Arial" w:hAnsi="Arial"/>
          <w:sz w:val="22"/>
          <w:szCs w:val="22"/>
          <w:b w:val="1"/>
          <w:bCs w:val="1"/>
          <w:color w:val="auto"/>
        </w:rPr>
        <w:t>2010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jc w:val="center"/>
        <w:ind w:right="20"/>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EFERRED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FOR</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ARKET</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NITS</w:t>
      </w:r>
    </w:p>
    <w:p>
      <w:pPr>
        <w:spacing w:after="0" w:line="39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Synaptics Incorporated (the “Company”) wishes to grant to </w:t>
      </w:r>
      <w:r>
        <w:rPr>
          <w:rFonts w:ascii="Arial" w:cs="Arial" w:eastAsia="Arial" w:hAnsi="Arial"/>
          <w:sz w:val="19"/>
          <w:szCs w:val="19"/>
          <w:b w:val="1"/>
          <w:bCs w:val="1"/>
          <w:color w:val="auto"/>
        </w:rPr>
        <w:t>[</w:t>
      </w:r>
      <w:r>
        <w:rPr>
          <w:rFonts w:ascii="Arial" w:cs="Arial" w:eastAsia="Arial" w:hAnsi="Arial"/>
          <w:sz w:val="19"/>
          <w:szCs w:val="19"/>
          <w:color w:val="auto"/>
        </w:rPr>
        <w:t>_________________</w:t>
      </w:r>
      <w:r>
        <w:rPr>
          <w:rFonts w:ascii="Arial" w:cs="Arial" w:eastAsia="Arial" w:hAnsi="Arial"/>
          <w:sz w:val="19"/>
          <w:szCs w:val="19"/>
          <w:b w:val="1"/>
          <w:bCs w:val="1"/>
          <w:color w:val="auto"/>
        </w:rPr>
        <w:t>]</w:t>
      </w:r>
      <w:r>
        <w:rPr>
          <w:rFonts w:ascii="Arial" w:cs="Arial" w:eastAsia="Arial" w:hAnsi="Arial"/>
          <w:sz w:val="19"/>
          <w:szCs w:val="19"/>
          <w:color w:val="auto"/>
        </w:rPr>
        <w:t xml:space="preserve"> (the “Participant”) a Deferred Stock</w:t>
      </w:r>
    </w:p>
    <w:p>
      <w:pPr>
        <w:spacing w:after="0" w:line="49" w:lineRule="exact"/>
        <w:rPr>
          <w:sz w:val="20"/>
          <w:szCs w:val="20"/>
          <w:color w:val="auto"/>
        </w:rPr>
      </w:pPr>
    </w:p>
    <w:p>
      <w:pPr>
        <w:jc w:val="both"/>
        <w:ind w:right="20"/>
        <w:spacing w:after="0" w:line="233" w:lineRule="auto"/>
        <w:rPr>
          <w:sz w:val="20"/>
          <w:szCs w:val="20"/>
          <w:color w:val="auto"/>
        </w:rPr>
      </w:pPr>
      <w:r>
        <w:rPr>
          <w:rFonts w:ascii="Arial" w:cs="Arial" w:eastAsia="Arial" w:hAnsi="Arial"/>
          <w:sz w:val="22"/>
          <w:szCs w:val="22"/>
          <w:color w:val="auto"/>
        </w:rPr>
        <w:t>Unit Award (the “Award”) pursuant to the provisions of the Company’s 2010 Incentive Compensation Plan, as amended (the “Plan”). The Award will entitle the Participant to shares of Stock from the Company, if the Participant meets the vesting requirements described herein. Therefore, pursuant to the terms of the attached Notice of Grant (“Notice of Grant”) and this Deferred Stock Unit Award Agreement (the “Agreement”), the Company grants the Participant the number of Deferred Stock Units listed below in Section 2.</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details of the Award are as follows:</w:t>
      </w:r>
    </w:p>
    <w:p>
      <w:pPr>
        <w:spacing w:after="0" w:line="206" w:lineRule="exact"/>
        <w:rPr>
          <w:sz w:val="20"/>
          <w:szCs w:val="20"/>
          <w:color w:val="auto"/>
        </w:rPr>
      </w:pPr>
    </w:p>
    <w:p>
      <w:pPr>
        <w:jc w:val="both"/>
        <w:ind w:right="20" w:firstLine="877"/>
        <w:spacing w:after="0" w:line="287" w:lineRule="auto"/>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Grant Pursuant to Plan</w:t>
      </w:r>
      <w:r>
        <w:rPr>
          <w:rFonts w:ascii="Arial" w:cs="Arial" w:eastAsia="Arial" w:hAnsi="Arial"/>
          <w:sz w:val="19"/>
          <w:szCs w:val="19"/>
          <w:color w:val="auto"/>
        </w:rPr>
        <w:t>. This Award is granted pursuant to the Plan, which is incorporated herein for all purposes. The Participant hereby acknowledges receipt of a copy of the Plan and agrees to be bound by all of the terms and conditions of this Agreement and of the Plan. All capitalized terms in this Agreement shall have the meaning assigned to them in this Agreement, or, if such term is not defined in this Agreement, such term shall have the meaning assigned to it under the Plan.</w:t>
      </w:r>
    </w:p>
    <w:p>
      <w:pPr>
        <w:spacing w:after="0" w:line="114"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00" w:type="dxa"/>
            <w:vAlign w:val="bottom"/>
          </w:tcPr>
          <w:p>
            <w:pPr>
              <w:jc w:val="right"/>
              <w:ind w:right="1032"/>
              <w:spacing w:after="0"/>
              <w:rPr>
                <w:sz w:val="20"/>
                <w:szCs w:val="20"/>
                <w:color w:val="auto"/>
              </w:rPr>
            </w:pPr>
            <w:r>
              <w:rPr>
                <w:rFonts w:ascii="Arial" w:cs="Arial" w:eastAsia="Arial" w:hAnsi="Arial"/>
                <w:sz w:val="22"/>
                <w:szCs w:val="22"/>
                <w:color w:val="auto"/>
                <w:w w:val="76"/>
              </w:rPr>
              <w:t>2.</w:t>
            </w:r>
          </w:p>
        </w:tc>
        <w:tc>
          <w:tcPr>
            <w:tcW w:w="160" w:type="dxa"/>
            <w:vAlign w:val="bottom"/>
          </w:tcPr>
          <w:p>
            <w:pPr>
              <w:spacing w:after="0"/>
              <w:rPr>
                <w:sz w:val="21"/>
                <w:szCs w:val="21"/>
                <w:color w:val="auto"/>
              </w:rPr>
            </w:pPr>
          </w:p>
        </w:tc>
        <w:tc>
          <w:tcPr>
            <w:tcW w:w="9080" w:type="dxa"/>
            <w:vAlign w:val="bottom"/>
            <w:gridSpan w:val="4"/>
          </w:tcPr>
          <w:p>
            <w:pPr>
              <w:spacing w:after="0"/>
              <w:rPr>
                <w:sz w:val="20"/>
                <w:szCs w:val="20"/>
                <w:color w:val="auto"/>
              </w:rPr>
            </w:pPr>
            <w:r>
              <w:rPr>
                <w:rFonts w:ascii="Arial" w:cs="Arial" w:eastAsia="Arial" w:hAnsi="Arial"/>
                <w:sz w:val="22"/>
                <w:szCs w:val="22"/>
                <w:color w:val="auto"/>
              </w:rPr>
              <w:t>Deferred Stock Unit Award.</w:t>
            </w: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39"/>
        </w:trPr>
        <w:tc>
          <w:tcPr>
            <w:tcW w:w="1300" w:type="dxa"/>
            <w:vAlign w:val="bottom"/>
          </w:tcPr>
          <w:p>
            <w:pPr>
              <w:jc w:val="right"/>
              <w:ind w:right="72"/>
              <w:spacing w:after="0"/>
              <w:rPr>
                <w:sz w:val="20"/>
                <w:szCs w:val="20"/>
                <w:color w:val="auto"/>
              </w:rPr>
            </w:pPr>
            <w:r>
              <w:rPr>
                <w:rFonts w:ascii="Arial" w:cs="Arial" w:eastAsia="Arial" w:hAnsi="Arial"/>
                <w:sz w:val="22"/>
                <w:szCs w:val="22"/>
                <w:color w:val="auto"/>
              </w:rPr>
              <w:t>(a)</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80" w:type="dxa"/>
            <w:vAlign w:val="bottom"/>
            <w:gridSpan w:val="3"/>
          </w:tcPr>
          <w:p>
            <w:pPr>
              <w:spacing w:after="0"/>
              <w:rPr>
                <w:sz w:val="20"/>
                <w:szCs w:val="20"/>
                <w:color w:val="auto"/>
              </w:rPr>
            </w:pPr>
            <w:r>
              <w:rPr>
                <w:rFonts w:ascii="Arial" w:cs="Arial" w:eastAsia="Arial" w:hAnsi="Arial"/>
                <w:sz w:val="22"/>
                <w:szCs w:val="22"/>
                <w:color w:val="auto"/>
                <w:w w:val="93"/>
              </w:rPr>
              <w:t>Number of Deferred Stock Units.  On [______________], 2017 (the “Grant Date”),</w:t>
            </w: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the Company granted to the Participant a Target Number of Deferred Stock Units set forth below that may be earned based on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Payout Factor:</w:t>
      </w:r>
    </w:p>
    <w:p>
      <w:pPr>
        <w:spacing w:after="0" w:line="190" w:lineRule="exact"/>
        <w:rPr>
          <w:sz w:val="20"/>
          <w:szCs w:val="20"/>
          <w:color w:val="auto"/>
        </w:rPr>
      </w:pPr>
    </w:p>
    <w:tbl>
      <w:tblPr>
        <w:tblLayout w:type="fixed"/>
        <w:tblInd w:w="1770" w:type="dxa"/>
        <w:tblCellMar>
          <w:top w:w="0" w:type="dxa"/>
          <w:left w:w="0" w:type="dxa"/>
          <w:bottom w:w="0" w:type="dxa"/>
          <w:right w:w="0" w:type="dxa"/>
        </w:tblCellMar>
      </w:tblPr>
      <w:tr>
        <w:trPr>
          <w:trHeight w:val="294"/>
        </w:trPr>
        <w:tc>
          <w:tcPr>
            <w:tcW w:w="49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Target Number of Deferred Stock Units</w:t>
            </w:r>
          </w:p>
        </w:tc>
        <w:tc>
          <w:tcPr>
            <w:tcW w:w="2540" w:type="dxa"/>
            <w:vAlign w:val="bottom"/>
            <w:tcBorders>
              <w:top w:val="single" w:sz="8" w:color="auto"/>
              <w:right w:val="single" w:sz="8" w:color="auto"/>
            </w:tcBorders>
          </w:tcPr>
          <w:p>
            <w:pPr>
              <w:jc w:val="right"/>
              <w:ind w:right="772"/>
              <w:spacing w:after="0"/>
              <w:rPr>
                <w:sz w:val="20"/>
                <w:szCs w:val="20"/>
                <w:color w:val="auto"/>
              </w:rPr>
            </w:pPr>
            <w:r>
              <w:rPr>
                <w:rFonts w:ascii="Arial" w:cs="Arial" w:eastAsia="Arial" w:hAnsi="Arial"/>
                <w:sz w:val="22"/>
                <w:szCs w:val="22"/>
                <w:b w:val="1"/>
                <w:bCs w:val="1"/>
                <w:color w:val="auto"/>
                <w:w w:val="88"/>
              </w:rPr>
              <w:t>[</w:t>
            </w:r>
            <w:r>
              <w:rPr>
                <w:rFonts w:ascii="Arial" w:cs="Arial" w:eastAsia="Arial" w:hAnsi="Arial"/>
                <w:sz w:val="22"/>
                <w:szCs w:val="22"/>
                <w:color w:val="auto"/>
                <w:w w:val="88"/>
              </w:rPr>
              <w:t>______________</w:t>
            </w:r>
            <w:r>
              <w:rPr>
                <w:rFonts w:ascii="Arial" w:cs="Arial" w:eastAsia="Arial" w:hAnsi="Arial"/>
                <w:sz w:val="22"/>
                <w:szCs w:val="22"/>
                <w:b w:val="1"/>
                <w:bCs w:val="1"/>
                <w:color w:val="auto"/>
                <w:w w:val="88"/>
              </w:rPr>
              <w:t>]</w:t>
            </w:r>
          </w:p>
        </w:tc>
      </w:tr>
      <w:tr>
        <w:trPr>
          <w:trHeight w:val="179"/>
        </w:trPr>
        <w:tc>
          <w:tcPr>
            <w:tcW w:w="4920" w:type="dxa"/>
            <w:vAlign w:val="bottom"/>
            <w:tcBorders>
              <w:left w:val="single" w:sz="8" w:color="auto"/>
              <w:bottom w:val="single" w:sz="8" w:color="auto"/>
              <w:right w:val="single" w:sz="8" w:color="auto"/>
            </w:tcBorders>
          </w:tcPr>
          <w:p>
            <w:pPr>
              <w:spacing w:after="0"/>
              <w:rPr>
                <w:sz w:val="15"/>
                <w:szCs w:val="15"/>
                <w:color w:val="auto"/>
              </w:rPr>
            </w:pPr>
          </w:p>
        </w:tc>
        <w:tc>
          <w:tcPr>
            <w:tcW w:w="2540" w:type="dxa"/>
            <w:vAlign w:val="bottom"/>
            <w:tcBorders>
              <w:bottom w:val="single" w:sz="8" w:color="auto"/>
              <w:right w:val="single" w:sz="8" w:color="auto"/>
            </w:tcBorders>
          </w:tcPr>
          <w:p>
            <w:pPr>
              <w:spacing w:after="0"/>
              <w:rPr>
                <w:sz w:val="15"/>
                <w:szCs w:val="15"/>
                <w:color w:val="auto"/>
              </w:rPr>
            </w:pPr>
          </w:p>
        </w:tc>
      </w:tr>
    </w:tbl>
    <w:p>
      <w:pPr>
        <w:spacing w:after="0" w:line="195"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The Target Number of Deferred Stock Units has been divided into the following three Tranches, each with a corresponding Performance Period with respect to which the Payout Factor will be determined.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Borders>
              <w:right w:val="single" w:sz="8" w:color="auto"/>
            </w:tcBorders>
          </w:tcPr>
          <w:p>
            <w:pPr>
              <w:spacing w:after="0"/>
              <w:rPr>
                <w:sz w:val="18"/>
                <w:szCs w:val="18"/>
                <w:color w:val="auto"/>
              </w:rPr>
            </w:pPr>
          </w:p>
        </w:tc>
        <w:tc>
          <w:tcPr>
            <w:tcW w:w="3060" w:type="dxa"/>
            <w:vAlign w:val="bottom"/>
            <w:tcBorders>
              <w:top w:val="single" w:sz="8" w:color="auto"/>
              <w:right w:val="single" w:sz="8" w:color="auto"/>
            </w:tcBorders>
            <w:gridSpan w:val="2"/>
          </w:tcPr>
          <w:p>
            <w:pPr>
              <w:spacing w:after="0" w:line="217" w:lineRule="exact"/>
              <w:rPr>
                <w:sz w:val="20"/>
                <w:szCs w:val="20"/>
                <w:color w:val="auto"/>
              </w:rPr>
            </w:pPr>
            <w:r>
              <w:rPr>
                <w:rFonts w:ascii="Arial" w:cs="Arial" w:eastAsia="Arial" w:hAnsi="Arial"/>
                <w:sz w:val="22"/>
                <w:szCs w:val="22"/>
                <w:color w:val="auto"/>
              </w:rPr>
              <w:t>Tranche</w:t>
            </w:r>
          </w:p>
        </w:tc>
        <w:tc>
          <w:tcPr>
            <w:tcW w:w="3000" w:type="dxa"/>
            <w:vAlign w:val="bottom"/>
            <w:tcBorders>
              <w:top w:val="single" w:sz="8" w:color="auto"/>
              <w:right w:val="single" w:sz="8" w:color="auto"/>
            </w:tcBorders>
            <w:gridSpan w:val="3"/>
          </w:tcPr>
          <w:p>
            <w:pPr>
              <w:spacing w:after="0" w:line="217" w:lineRule="exact"/>
              <w:rPr>
                <w:sz w:val="20"/>
                <w:szCs w:val="20"/>
                <w:color w:val="auto"/>
              </w:rPr>
            </w:pPr>
            <w:r>
              <w:rPr>
                <w:rFonts w:ascii="Arial" w:cs="Arial" w:eastAsia="Arial" w:hAnsi="Arial"/>
                <w:sz w:val="22"/>
                <w:szCs w:val="22"/>
                <w:color w:val="auto"/>
                <w:w w:val="90"/>
              </w:rPr>
              <w:t>Target Number of Deferred Stock</w:t>
            </w:r>
          </w:p>
        </w:tc>
        <w:tc>
          <w:tcPr>
            <w:tcW w:w="2940" w:type="dxa"/>
            <w:vAlign w:val="bottom"/>
            <w:tcBorders>
              <w:top w:val="single" w:sz="8" w:color="auto"/>
              <w:right w:val="single" w:sz="8" w:color="auto"/>
            </w:tcBorders>
            <w:gridSpan w:val="2"/>
          </w:tcPr>
          <w:p>
            <w:pPr>
              <w:spacing w:after="0" w:line="217" w:lineRule="exact"/>
              <w:rPr>
                <w:sz w:val="20"/>
                <w:szCs w:val="20"/>
                <w:color w:val="auto"/>
              </w:rPr>
            </w:pPr>
            <w:r>
              <w:rPr>
                <w:rFonts w:ascii="Arial" w:cs="Arial" w:eastAsia="Arial" w:hAnsi="Arial"/>
                <w:sz w:val="22"/>
                <w:szCs w:val="22"/>
                <w:color w:val="auto"/>
              </w:rPr>
              <w:t>Performance Period</w:t>
            </w:r>
          </w:p>
        </w:tc>
        <w:tc>
          <w:tcPr>
            <w:tcW w:w="1200" w:type="dxa"/>
            <w:vAlign w:val="bottom"/>
          </w:tcPr>
          <w:p>
            <w:pPr>
              <w:spacing w:after="0"/>
              <w:rPr>
                <w:sz w:val="18"/>
                <w:szCs w:val="18"/>
                <w:color w:val="auto"/>
              </w:rPr>
            </w:pPr>
          </w:p>
        </w:tc>
      </w:tr>
      <w:tr>
        <w:trPr>
          <w:trHeight w:val="223"/>
        </w:trPr>
        <w:tc>
          <w:tcPr>
            <w:tcW w:w="1240" w:type="dxa"/>
            <w:vAlign w:val="bottom"/>
            <w:tcBorders>
              <w:right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292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color w:val="auto"/>
              </w:rPr>
              <w:t>Units</w:t>
            </w:r>
          </w:p>
        </w:tc>
        <w:tc>
          <w:tcPr>
            <w:tcW w:w="80" w:type="dxa"/>
            <w:vAlign w:val="bottom"/>
            <w:tcBorders>
              <w:right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1"/>
        </w:trPr>
        <w:tc>
          <w:tcPr>
            <w:tcW w:w="1240" w:type="dxa"/>
            <w:vAlign w:val="bottom"/>
            <w:tcBorders>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5"/>
        </w:trPr>
        <w:tc>
          <w:tcPr>
            <w:tcW w:w="124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2"/>
                <w:szCs w:val="22"/>
                <w:color w:val="auto"/>
              </w:rPr>
              <w:t>Tranche One</w:t>
            </w:r>
          </w:p>
        </w:tc>
        <w:tc>
          <w:tcPr>
            <w:tcW w:w="2920" w:type="dxa"/>
            <w:vAlign w:val="bottom"/>
            <w:gridSpan w:val="2"/>
          </w:tcPr>
          <w:p>
            <w:pPr>
              <w:spacing w:after="0" w:line="216"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______________</w:t>
            </w:r>
            <w:r>
              <w:rPr>
                <w:rFonts w:ascii="Arial" w:cs="Arial" w:eastAsia="Arial" w:hAnsi="Arial"/>
                <w:sz w:val="22"/>
                <w:szCs w:val="22"/>
                <w:b w:val="1"/>
                <w:bCs w:val="1"/>
                <w:color w:val="auto"/>
              </w:rPr>
              <w:t>]</w:t>
            </w:r>
          </w:p>
        </w:tc>
        <w:tc>
          <w:tcPr>
            <w:tcW w:w="8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2"/>
                <w:szCs w:val="22"/>
                <w:color w:val="auto"/>
              </w:rPr>
              <w:t>October 1, 2017 –</w:t>
            </w:r>
          </w:p>
        </w:tc>
        <w:tc>
          <w:tcPr>
            <w:tcW w:w="1200" w:type="dxa"/>
            <w:vAlign w:val="bottom"/>
          </w:tcPr>
          <w:p>
            <w:pPr>
              <w:spacing w:after="0"/>
              <w:rPr>
                <w:sz w:val="18"/>
                <w:szCs w:val="18"/>
                <w:color w:val="auto"/>
              </w:rPr>
            </w:pPr>
          </w:p>
        </w:tc>
      </w:tr>
      <w:tr>
        <w:trPr>
          <w:trHeight w:val="265"/>
        </w:trPr>
        <w:tc>
          <w:tcPr>
            <w:tcW w:w="1240" w:type="dxa"/>
            <w:vAlign w:val="bottom"/>
            <w:tcBorders>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80" w:type="dxa"/>
            <w:vAlign w:val="bottom"/>
            <w:tcBorders>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September 30, 2018</w:t>
            </w:r>
          </w:p>
        </w:tc>
        <w:tc>
          <w:tcPr>
            <w:tcW w:w="1200" w:type="dxa"/>
            <w:vAlign w:val="bottom"/>
          </w:tcPr>
          <w:p>
            <w:pPr>
              <w:spacing w:after="0"/>
              <w:rPr>
                <w:sz w:val="23"/>
                <w:szCs w:val="23"/>
                <w:color w:val="auto"/>
              </w:rPr>
            </w:pPr>
          </w:p>
        </w:tc>
      </w:tr>
      <w:tr>
        <w:trPr>
          <w:trHeight w:val="215"/>
        </w:trPr>
        <w:tc>
          <w:tcPr>
            <w:tcW w:w="124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2"/>
                <w:szCs w:val="22"/>
                <w:color w:val="auto"/>
              </w:rPr>
              <w:t>Tranche Two</w:t>
            </w:r>
          </w:p>
        </w:tc>
        <w:tc>
          <w:tcPr>
            <w:tcW w:w="2920" w:type="dxa"/>
            <w:vAlign w:val="bottom"/>
            <w:gridSpan w:val="2"/>
          </w:tcPr>
          <w:p>
            <w:pPr>
              <w:spacing w:after="0" w:line="216"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______________</w:t>
            </w:r>
            <w:r>
              <w:rPr>
                <w:rFonts w:ascii="Arial" w:cs="Arial" w:eastAsia="Arial" w:hAnsi="Arial"/>
                <w:sz w:val="22"/>
                <w:szCs w:val="22"/>
                <w:b w:val="1"/>
                <w:bCs w:val="1"/>
                <w:color w:val="auto"/>
              </w:rPr>
              <w:t>]</w:t>
            </w:r>
          </w:p>
        </w:tc>
        <w:tc>
          <w:tcPr>
            <w:tcW w:w="8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2"/>
                <w:szCs w:val="22"/>
                <w:color w:val="auto"/>
              </w:rPr>
              <w:t>October 1, 2017 –</w:t>
            </w:r>
          </w:p>
        </w:tc>
        <w:tc>
          <w:tcPr>
            <w:tcW w:w="1200" w:type="dxa"/>
            <w:vAlign w:val="bottom"/>
          </w:tcPr>
          <w:p>
            <w:pPr>
              <w:spacing w:after="0"/>
              <w:rPr>
                <w:sz w:val="18"/>
                <w:szCs w:val="18"/>
                <w:color w:val="auto"/>
              </w:rPr>
            </w:pPr>
          </w:p>
        </w:tc>
      </w:tr>
      <w:tr>
        <w:trPr>
          <w:trHeight w:val="265"/>
        </w:trPr>
        <w:tc>
          <w:tcPr>
            <w:tcW w:w="1240" w:type="dxa"/>
            <w:vAlign w:val="bottom"/>
            <w:tcBorders>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80" w:type="dxa"/>
            <w:vAlign w:val="bottom"/>
            <w:tcBorders>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September 30, 2019</w:t>
            </w:r>
          </w:p>
        </w:tc>
        <w:tc>
          <w:tcPr>
            <w:tcW w:w="1200" w:type="dxa"/>
            <w:vAlign w:val="bottom"/>
          </w:tcPr>
          <w:p>
            <w:pPr>
              <w:spacing w:after="0"/>
              <w:rPr>
                <w:sz w:val="23"/>
                <w:szCs w:val="23"/>
                <w:color w:val="auto"/>
              </w:rPr>
            </w:pPr>
          </w:p>
        </w:tc>
      </w:tr>
      <w:tr>
        <w:trPr>
          <w:trHeight w:val="215"/>
        </w:trPr>
        <w:tc>
          <w:tcPr>
            <w:tcW w:w="124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2"/>
                <w:szCs w:val="22"/>
                <w:color w:val="auto"/>
              </w:rPr>
              <w:t>Tranche Three</w:t>
            </w:r>
          </w:p>
        </w:tc>
        <w:tc>
          <w:tcPr>
            <w:tcW w:w="2920" w:type="dxa"/>
            <w:vAlign w:val="bottom"/>
            <w:gridSpan w:val="2"/>
          </w:tcPr>
          <w:p>
            <w:pPr>
              <w:spacing w:after="0" w:line="216"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______________</w:t>
            </w:r>
            <w:r>
              <w:rPr>
                <w:rFonts w:ascii="Arial" w:cs="Arial" w:eastAsia="Arial" w:hAnsi="Arial"/>
                <w:sz w:val="22"/>
                <w:szCs w:val="22"/>
                <w:b w:val="1"/>
                <w:bCs w:val="1"/>
                <w:color w:val="auto"/>
              </w:rPr>
              <w:t>]</w:t>
            </w:r>
          </w:p>
        </w:tc>
        <w:tc>
          <w:tcPr>
            <w:tcW w:w="8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2"/>
                <w:szCs w:val="22"/>
                <w:color w:val="auto"/>
              </w:rPr>
              <w:t>October 1, 2017 –</w:t>
            </w:r>
          </w:p>
        </w:tc>
        <w:tc>
          <w:tcPr>
            <w:tcW w:w="1200" w:type="dxa"/>
            <w:vAlign w:val="bottom"/>
          </w:tcPr>
          <w:p>
            <w:pPr>
              <w:spacing w:after="0"/>
              <w:rPr>
                <w:sz w:val="18"/>
                <w:szCs w:val="18"/>
                <w:color w:val="auto"/>
              </w:rPr>
            </w:pPr>
          </w:p>
        </w:tc>
      </w:tr>
      <w:tr>
        <w:trPr>
          <w:trHeight w:val="265"/>
        </w:trPr>
        <w:tc>
          <w:tcPr>
            <w:tcW w:w="1240" w:type="dxa"/>
            <w:vAlign w:val="bottom"/>
            <w:tcBorders>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80" w:type="dxa"/>
            <w:vAlign w:val="bottom"/>
            <w:tcBorders>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September 30, 2020</w:t>
            </w:r>
          </w:p>
        </w:tc>
        <w:tc>
          <w:tcPr>
            <w:tcW w:w="1200" w:type="dxa"/>
            <w:vAlign w:val="bottom"/>
          </w:tcPr>
          <w:p>
            <w:pPr>
              <w:spacing w:after="0"/>
              <w:rPr>
                <w:sz w:val="23"/>
                <w:szCs w:val="23"/>
                <w:color w:val="auto"/>
              </w:rPr>
            </w:pPr>
          </w:p>
        </w:tc>
      </w:tr>
      <w:tr>
        <w:trPr>
          <w:trHeight w:val="541"/>
        </w:trPr>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38" w:name="page39"/>
    <w:bookmarkEnd w:id="38"/>
    <w:p>
      <w:pPr>
        <w:ind w:left="880"/>
        <w:spacing w:after="0"/>
        <w:rPr>
          <w:sz w:val="20"/>
          <w:szCs w:val="20"/>
          <w:color w:val="auto"/>
        </w:rPr>
      </w:pPr>
      <w:r>
        <w:rPr>
          <w:rFonts w:ascii="Arial" w:cs="Arial" w:eastAsia="Arial" w:hAnsi="Arial"/>
          <w:sz w:val="19"/>
          <w:szCs w:val="19"/>
          <w:color w:val="auto"/>
        </w:rPr>
        <w:t>The total number of Deferred Stock Units shall be adjusted from time to time pursuant to Section 10(c) of the Plan.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ind w:left="1760"/>
              <w:spacing w:after="0"/>
              <w:rPr>
                <w:sz w:val="20"/>
                <w:szCs w:val="20"/>
                <w:color w:val="auto"/>
              </w:rPr>
            </w:pPr>
            <w:r>
              <w:rPr>
                <w:rFonts w:ascii="Arial" w:cs="Arial" w:eastAsia="Arial" w:hAnsi="Arial"/>
                <w:sz w:val="22"/>
                <w:szCs w:val="22"/>
                <w:color w:val="auto"/>
              </w:rPr>
              <w:t>(b)</w:t>
            </w:r>
          </w:p>
        </w:tc>
        <w:tc>
          <w:tcPr>
            <w:tcW w:w="7460" w:type="dxa"/>
            <w:vAlign w:val="bottom"/>
            <w:gridSpan w:val="2"/>
          </w:tcPr>
          <w:p>
            <w:pPr>
              <w:jc w:val="right"/>
              <w:ind w:right="20"/>
              <w:spacing w:after="0"/>
              <w:rPr>
                <w:sz w:val="20"/>
                <w:szCs w:val="20"/>
                <w:color w:val="auto"/>
              </w:rPr>
            </w:pPr>
            <w:r>
              <w:rPr>
                <w:rFonts w:ascii="Arial" w:cs="Arial" w:eastAsia="Arial" w:hAnsi="Arial"/>
                <w:sz w:val="22"/>
                <w:szCs w:val="22"/>
                <w:color w:val="auto"/>
                <w:w w:val="92"/>
              </w:rPr>
              <w:t>Certain Definitions. For purposes of this Agreement, the following terms shall have</w:t>
            </w:r>
          </w:p>
        </w:tc>
      </w:tr>
      <w:tr>
        <w:trPr>
          <w:trHeight w:val="274"/>
        </w:trPr>
        <w:tc>
          <w:tcPr>
            <w:tcW w:w="3960" w:type="dxa"/>
            <w:vAlign w:val="bottom"/>
          </w:tcPr>
          <w:p>
            <w:pPr>
              <w:spacing w:after="0"/>
              <w:rPr>
                <w:sz w:val="20"/>
                <w:szCs w:val="20"/>
                <w:color w:val="auto"/>
              </w:rPr>
            </w:pPr>
            <w:r>
              <w:rPr>
                <w:rFonts w:ascii="Arial" w:cs="Arial" w:eastAsia="Arial" w:hAnsi="Arial"/>
                <w:sz w:val="22"/>
                <w:szCs w:val="22"/>
                <w:color w:val="auto"/>
              </w:rPr>
              <w:t>the meanings indicated:</w:t>
            </w:r>
          </w:p>
        </w:tc>
        <w:tc>
          <w:tcPr>
            <w:tcW w:w="1680" w:type="dxa"/>
            <w:vAlign w:val="bottom"/>
            <w:tcBorders>
              <w:top w:val="single" w:sz="8" w:color="auto"/>
            </w:tcBorders>
          </w:tcPr>
          <w:p>
            <w:pPr>
              <w:spacing w:after="0"/>
              <w:rPr>
                <w:sz w:val="23"/>
                <w:szCs w:val="23"/>
                <w:color w:val="auto"/>
              </w:rPr>
            </w:pPr>
          </w:p>
        </w:tc>
        <w:tc>
          <w:tcPr>
            <w:tcW w:w="5780" w:type="dxa"/>
            <w:vAlign w:val="bottom"/>
          </w:tcPr>
          <w:p>
            <w:pPr>
              <w:spacing w:after="0"/>
              <w:rPr>
                <w:sz w:val="23"/>
                <w:szCs w:val="23"/>
                <w:color w:val="auto"/>
              </w:rPr>
            </w:pPr>
          </w:p>
        </w:tc>
      </w:tr>
      <w:tr>
        <w:trPr>
          <w:trHeight w:val="446"/>
        </w:trPr>
        <w:tc>
          <w:tcPr>
            <w:tcW w:w="3960" w:type="dxa"/>
            <w:vAlign w:val="bottom"/>
          </w:tcPr>
          <w:p>
            <w:pPr>
              <w:ind w:left="2640"/>
              <w:spacing w:after="0"/>
              <w:rPr>
                <w:sz w:val="20"/>
                <w:szCs w:val="20"/>
                <w:color w:val="auto"/>
              </w:rPr>
            </w:pPr>
            <w:r>
              <w:rPr>
                <w:rFonts w:ascii="Arial" w:cs="Arial" w:eastAsia="Arial" w:hAnsi="Arial"/>
                <w:sz w:val="22"/>
                <w:szCs w:val="22"/>
                <w:color w:val="auto"/>
              </w:rPr>
              <w:t>(i)</w:t>
            </w:r>
          </w:p>
        </w:tc>
        <w:tc>
          <w:tcPr>
            <w:tcW w:w="7460" w:type="dxa"/>
            <w:vAlign w:val="bottom"/>
            <w:gridSpan w:val="2"/>
          </w:tcPr>
          <w:p>
            <w:pPr>
              <w:jc w:val="right"/>
              <w:spacing w:after="0"/>
              <w:rPr>
                <w:sz w:val="20"/>
                <w:szCs w:val="20"/>
                <w:color w:val="auto"/>
              </w:rPr>
            </w:pPr>
            <w:r>
              <w:rPr>
                <w:rFonts w:ascii="Arial" w:cs="Arial" w:eastAsia="Arial" w:hAnsi="Arial"/>
                <w:sz w:val="22"/>
                <w:szCs w:val="22"/>
                <w:color w:val="auto"/>
              </w:rPr>
              <w:t>“Beginning Company TSR” shall mean the average closing price for</w:t>
            </w:r>
          </w:p>
        </w:tc>
      </w:tr>
    </w:tbl>
    <w:p>
      <w:pPr>
        <w:jc w:val="both"/>
        <w:ind w:right="20"/>
        <w:spacing w:after="0" w:line="237" w:lineRule="auto"/>
        <w:rPr>
          <w:sz w:val="20"/>
          <w:szCs w:val="20"/>
          <w:color w:val="auto"/>
        </w:rPr>
      </w:pPr>
      <w:r>
        <w:rPr>
          <w:rFonts w:ascii="Arial" w:cs="Arial" w:eastAsia="Arial" w:hAnsi="Arial"/>
          <w:sz w:val="22"/>
          <w:szCs w:val="22"/>
          <w:color w:val="auto"/>
        </w:rPr>
        <w:t>the Company’s common stock during the period starting on October 1, 2017, and ending on October 31, 2017, as reported in The Wall Street Journal.</w:t>
      </w:r>
    </w:p>
    <w:p>
      <w:pPr>
        <w:spacing w:after="0" w:line="185" w:lineRule="exact"/>
        <w:rPr>
          <w:sz w:val="20"/>
          <w:szCs w:val="20"/>
          <w:color w:val="auto"/>
        </w:rPr>
      </w:pPr>
    </w:p>
    <w:p>
      <w:pPr>
        <w:ind w:right="120" w:firstLine="2634"/>
        <w:spacing w:after="0"/>
        <w:rPr>
          <w:sz w:val="20"/>
          <w:szCs w:val="20"/>
          <w:color w:val="auto"/>
        </w:rPr>
      </w:pPr>
      <w:r>
        <w:rPr>
          <w:rFonts w:ascii="Arial" w:cs="Arial" w:eastAsia="Arial" w:hAnsi="Arial"/>
          <w:sz w:val="22"/>
          <w:szCs w:val="22"/>
          <w:color w:val="auto"/>
        </w:rPr>
        <w:t>(ii) “Beginning SPSISC TSR” shall mean the average closing price for the S&amp;P Semiconductor Select Industry Index during the period starting on October 1, 2017, and ending on October 31, 2017, as reported in The Wall Street Journal.</w:t>
      </w:r>
    </w:p>
    <w:p>
      <w:pPr>
        <w:sectPr>
          <w:pgSz w:w="11900" w:h="16838" w:orient="portrait"/>
          <w:cols w:equalWidth="0" w:num="1">
            <w:col w:w="11420"/>
          </w:cols>
          <w:pgMar w:left="240" w:top="550" w:right="239" w:bottom="1440" w:gutter="0" w:footer="0" w:header="0"/>
        </w:sectPr>
      </w:pPr>
    </w:p>
    <w:p>
      <w:pPr>
        <w:spacing w:after="0" w:line="186" w:lineRule="exact"/>
        <w:rPr>
          <w:sz w:val="20"/>
          <w:szCs w:val="20"/>
          <w:color w:val="auto"/>
        </w:rPr>
      </w:pPr>
    </w:p>
    <w:p>
      <w:pPr>
        <w:jc w:val="center"/>
        <w:ind w:left="7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“Change in Control” shall mean any of the following:</w:t>
      </w:r>
    </w:p>
    <w:p>
      <w:pPr>
        <w:spacing w:after="0" w:line="234" w:lineRule="exact"/>
        <w:rPr>
          <w:sz w:val="20"/>
          <w:szCs w:val="20"/>
          <w:color w:val="auto"/>
        </w:rPr>
      </w:pPr>
    </w:p>
    <w:p>
      <w:pPr>
        <w:sectPr>
          <w:pgSz w:w="11900" w:h="16838" w:orient="portrait"/>
          <w:cols w:equalWidth="0" w:num="2">
            <w:col w:w="4840" w:space="720"/>
            <w:col w:w="5860"/>
          </w:cols>
          <w:pgMar w:left="240" w:top="550" w:right="239" w:bottom="1440" w:gutter="0" w:footer="0" w:header="0"/>
          <w:type w:val="continuous"/>
        </w:sectPr>
      </w:pPr>
    </w:p>
    <w:p>
      <w:pPr>
        <w:spacing w:after="0" w:line="6" w:lineRule="exact"/>
        <w:rPr>
          <w:sz w:val="20"/>
          <w:szCs w:val="20"/>
          <w:color w:val="auto"/>
        </w:rPr>
      </w:pPr>
    </w:p>
    <w:p>
      <w:pPr>
        <w:ind w:left="3520"/>
        <w:spacing w:after="0"/>
        <w:tabs>
          <w:tab w:leader="none" w:pos="70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a change in control of a nature that would be</w:t>
      </w:r>
    </w:p>
    <w:p>
      <w:pPr>
        <w:sectPr>
          <w:pgSz w:w="11900" w:h="16838" w:orient="portrait"/>
          <w:cols w:equalWidth="0" w:num="1">
            <w:col w:w="11420"/>
          </w:cols>
          <w:pgMar w:left="240" w:top="550" w:right="239" w:bottom="1440" w:gutter="0" w:footer="0" w:header="0"/>
          <w:type w:val="continuous"/>
        </w:sectPr>
      </w:pPr>
    </w:p>
    <w:p>
      <w:pPr>
        <w:spacing w:after="0" w:line="2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required to be reported in response to Item 6(e) of Schedule 14A of Regulation 14A promulgated under the Securities Exchange Act of 1934, as amended, or if Item 6(e) is no longer in effect, any regulations issued by the Securities and Exchange Commission pursuant to the Securities Exchange Act of 1934, as amended, which serve similar purposes;</w:t>
      </w:r>
    </w:p>
    <w:p>
      <w:pPr>
        <w:spacing w:after="0" w:line="187" w:lineRule="exact"/>
        <w:rPr>
          <w:sz w:val="20"/>
          <w:szCs w:val="20"/>
          <w:color w:val="auto"/>
        </w:rPr>
      </w:pPr>
    </w:p>
    <w:p>
      <w:pPr>
        <w:jc w:val="both"/>
        <w:ind w:firstLine="3511"/>
        <w:spacing w:after="0" w:line="269" w:lineRule="auto"/>
        <w:rPr>
          <w:sz w:val="20"/>
          <w:szCs w:val="20"/>
          <w:color w:val="auto"/>
        </w:rPr>
      </w:pPr>
      <w:r>
        <w:rPr>
          <w:rFonts w:ascii="Arial" w:cs="Arial" w:eastAsia="Arial" w:hAnsi="Arial"/>
          <w:sz w:val="19"/>
          <w:szCs w:val="19"/>
          <w:color w:val="auto"/>
        </w:rPr>
        <w:t>(B) the following individuals no longer constitute a majority of the members of the Board of Directors of the Company (the “Board”): (1) the individuals who, as of the date of this Agreement constitute the Board (the “Current Directors”); (2) the individuals who thereafter are elected to the Board and whose election, or nomination for election, to the Board was approved by a vote of all of the Current Directors then still in office (such directors becoming “Additional Directors” immediately following their election); and (3) the individuals who are elected to the Board and whose election, or nomination for election, to the Board was approved by a vote of all of the Current Directors and Additional Directors then still in office (such directors also becoming “Additional Directors” immediately following their election);</w:t>
      </w:r>
    </w:p>
    <w:p>
      <w:pPr>
        <w:spacing w:after="0" w:line="5" w:lineRule="exact"/>
        <w:rPr>
          <w:sz w:val="20"/>
          <w:szCs w:val="20"/>
          <w:color w:val="auto"/>
        </w:rPr>
      </w:pPr>
    </w:p>
    <w:p>
      <w:pPr>
        <w:jc w:val="both"/>
        <w:ind w:firstLine="3511"/>
        <w:spacing w:after="0" w:line="234" w:lineRule="auto"/>
        <w:rPr>
          <w:sz w:val="20"/>
          <w:szCs w:val="20"/>
          <w:color w:val="auto"/>
        </w:rPr>
      </w:pPr>
      <w:r>
        <w:rPr>
          <w:rFonts w:ascii="Arial" w:cs="Arial" w:eastAsia="Arial" w:hAnsi="Arial"/>
          <w:sz w:val="22"/>
          <w:szCs w:val="22"/>
          <w:color w:val="auto"/>
        </w:rPr>
        <w:t>(C) a tender offer or exchange offer is made whereby the effect of such offer is to take over and control the Company, and such offer is consummated for the equity securities of the Company representing more than 50% of the combined voting power of the Company’s then outstanding voting securities;</w:t>
      </w:r>
    </w:p>
    <w:p>
      <w:pPr>
        <w:spacing w:after="0" w:line="187" w:lineRule="exact"/>
        <w:rPr>
          <w:sz w:val="20"/>
          <w:szCs w:val="20"/>
          <w:color w:val="auto"/>
        </w:rPr>
      </w:pPr>
    </w:p>
    <w:p>
      <w:pPr>
        <w:jc w:val="both"/>
        <w:ind w:firstLine="3511"/>
        <w:spacing w:after="0" w:line="234" w:lineRule="auto"/>
        <w:rPr>
          <w:sz w:val="20"/>
          <w:szCs w:val="20"/>
          <w:color w:val="auto"/>
        </w:rPr>
      </w:pPr>
      <w:r>
        <w:rPr>
          <w:rFonts w:ascii="Arial" w:cs="Arial" w:eastAsia="Arial" w:hAnsi="Arial"/>
          <w:sz w:val="22"/>
          <w:szCs w:val="22"/>
          <w:color w:val="auto"/>
        </w:rPr>
        <w:t>(D) upon the consummation of a transaction approved by the stockholders of the Company of a merger, consolidation, recapitalization, or reorganization of the Company, a reverse stock split of outstanding voting securities, or consummation of any such transaction if stockholder approval is not obtained, other than any such transaction that would result in more than 50% of the total voting power represented by the voting securities of the surviving entity outstanding immediately after such transaction being beneficially owned by the holders of outstanding voting securities of the Company immediately prior to the transaction, with the voting power of each such continuing holder relative to other such continuing holders not substantially altered in the transaction;</w:t>
      </w:r>
    </w:p>
    <w:p>
      <w:pPr>
        <w:spacing w:after="0" w:line="200" w:lineRule="exact"/>
        <w:rPr>
          <w:sz w:val="20"/>
          <w:szCs w:val="20"/>
          <w:color w:val="auto"/>
        </w:rPr>
      </w:pPr>
    </w:p>
    <w:p>
      <w:pPr>
        <w:spacing w:after="0" w:line="20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39" w:name="page40"/>
    <w:bookmarkEnd w:id="39"/>
    <w:p>
      <w:pPr>
        <w:jc w:val="both"/>
        <w:ind w:firstLine="3511"/>
        <w:spacing w:after="0" w:line="238" w:lineRule="auto"/>
        <w:rPr>
          <w:sz w:val="20"/>
          <w:szCs w:val="20"/>
          <w:color w:val="auto"/>
        </w:rPr>
      </w:pPr>
      <w:r>
        <w:rPr>
          <w:rFonts w:ascii="Arial" w:cs="Arial" w:eastAsia="Arial" w:hAnsi="Arial"/>
          <w:sz w:val="22"/>
          <w:szCs w:val="22"/>
          <w:color w:val="auto"/>
        </w:rPr>
        <w:t>(E) upon the consummation of a transaction approved by the stockholders of the Company of a plan of complete liquidation of the Company or an agreement for the sale or disposition by the Company of all or a substantial portion of the Company’s assets to another person, which is not a wholly owned subsidiary of the Company (i.e., 50% or more of the total assets of the Company); or</w:t>
      </w:r>
    </w:p>
    <w:p>
      <w:pPr>
        <w:spacing w:after="0" w:line="185" w:lineRule="exact"/>
        <w:rPr>
          <w:sz w:val="20"/>
          <w:szCs w:val="20"/>
          <w:color w:val="auto"/>
        </w:rPr>
      </w:pPr>
    </w:p>
    <w:p>
      <w:pPr>
        <w:jc w:val="both"/>
        <w:ind w:firstLine="3511"/>
        <w:spacing w:after="0" w:line="238" w:lineRule="auto"/>
        <w:rPr>
          <w:sz w:val="20"/>
          <w:szCs w:val="20"/>
          <w:color w:val="auto"/>
        </w:rPr>
      </w:pPr>
      <w:r>
        <w:rPr>
          <w:rFonts w:ascii="Arial" w:cs="Arial" w:eastAsia="Arial" w:hAnsi="Arial"/>
          <w:sz w:val="22"/>
          <w:szCs w:val="22"/>
          <w:color w:val="auto"/>
        </w:rPr>
        <w:t>(F) any “person” (as that term is used in Sections 13(d) and 14(d) of the Securities Exchange Act of 1934, as amended) is or becomes the “beneficial owner” (as defined in Rule 13d-3 under that Act), directly or indirectly of more than 50% of the total voting power represented by the Company’s then outstanding voting securities.</w:t>
      </w:r>
    </w:p>
    <w:p>
      <w:pPr>
        <w:spacing w:after="0" w:line="185" w:lineRule="exact"/>
        <w:rPr>
          <w:sz w:val="20"/>
          <w:szCs w:val="20"/>
          <w:color w:val="auto"/>
        </w:rPr>
      </w:pPr>
    </w:p>
    <w:p>
      <w:pPr>
        <w:ind w:right="20" w:firstLine="2634"/>
        <w:spacing w:after="0" w:line="234" w:lineRule="auto"/>
        <w:rPr>
          <w:sz w:val="20"/>
          <w:szCs w:val="20"/>
          <w:color w:val="auto"/>
        </w:rPr>
      </w:pPr>
      <w:r>
        <w:rPr>
          <w:rFonts w:ascii="Arial" w:cs="Arial" w:eastAsia="Arial" w:hAnsi="Arial"/>
          <w:sz w:val="22"/>
          <w:szCs w:val="22"/>
          <w:color w:val="auto"/>
        </w:rPr>
        <w:t>(iv) “Change in Control Deferred Stock Units” shall mean, with respect to each Tranche for which the applicable Vesting Date is after the effective date of a Change in Control, (A) the Target Number of Deferred Stock Units subject to such Tranche, multiplied by (B) the Payout Factor, multiplied by (C) a fraction, the numerator of which shall be the number of days that elapsed during the applicable Performance Period through the effective date of the Change in Control, and the denominator of which shall be the total number of days in the applicable Performance Period, and in the case of Tranche Three, less the number of Deferred Stock Units or Change in Control Deferred Stock Units that vested in Tranche One and Tranche Two.</w:t>
      </w:r>
    </w:p>
    <w:p>
      <w:pPr>
        <w:spacing w:after="0" w:line="191" w:lineRule="exact"/>
        <w:rPr>
          <w:sz w:val="20"/>
          <w:szCs w:val="20"/>
          <w:color w:val="auto"/>
        </w:rPr>
      </w:pPr>
    </w:p>
    <w:p>
      <w:pPr>
        <w:ind w:right="180" w:firstLine="2634"/>
        <w:spacing w:after="0" w:line="251" w:lineRule="auto"/>
        <w:rPr>
          <w:sz w:val="20"/>
          <w:szCs w:val="20"/>
          <w:color w:val="auto"/>
        </w:rPr>
      </w:pPr>
      <w:r>
        <w:rPr>
          <w:rFonts w:ascii="Arial" w:cs="Arial" w:eastAsia="Arial" w:hAnsi="Arial"/>
          <w:sz w:val="22"/>
          <w:szCs w:val="22"/>
          <w:color w:val="auto"/>
        </w:rPr>
        <w:t>(v) “Company TSR” shall mean (A) the Ending Company TSR minus the Beginning Company TSR divided by (B) the Beginning Company TSR, with the quotient expressed as a percentage.</w:t>
      </w:r>
    </w:p>
    <w:p>
      <w:pPr>
        <w:spacing w:after="0" w:line="173" w:lineRule="exact"/>
        <w:rPr>
          <w:sz w:val="20"/>
          <w:szCs w:val="20"/>
          <w:color w:val="auto"/>
        </w:rPr>
      </w:pPr>
    </w:p>
    <w:p>
      <w:pPr>
        <w:jc w:val="both"/>
        <w:ind w:firstLine="2634"/>
        <w:spacing w:after="0" w:line="251" w:lineRule="auto"/>
        <w:rPr>
          <w:sz w:val="20"/>
          <w:szCs w:val="20"/>
          <w:color w:val="auto"/>
        </w:rPr>
      </w:pPr>
      <w:r>
        <w:rPr>
          <w:rFonts w:ascii="Arial" w:cs="Arial" w:eastAsia="Arial" w:hAnsi="Arial"/>
          <w:sz w:val="22"/>
          <w:szCs w:val="22"/>
          <w:color w:val="auto"/>
        </w:rPr>
        <w:t>(vi) “Determination Date” shall mean the last day of the applicable Performance Period, or, if earlier, the day immediately prior to the effective date of the Change in Control.</w:t>
      </w:r>
    </w:p>
    <w:p>
      <w:pPr>
        <w:spacing w:after="0" w:line="173" w:lineRule="exact"/>
        <w:rPr>
          <w:sz w:val="20"/>
          <w:szCs w:val="20"/>
          <w:color w:val="auto"/>
        </w:rPr>
      </w:pPr>
    </w:p>
    <w:p>
      <w:pPr>
        <w:ind w:left="2640"/>
        <w:spacing w:after="0"/>
        <w:tabs>
          <w:tab w:leader="none" w:pos="5580" w:val="left"/>
        </w:tabs>
        <w:rPr>
          <w:sz w:val="20"/>
          <w:szCs w:val="20"/>
          <w:color w:val="auto"/>
        </w:rPr>
      </w:pPr>
      <w:r>
        <w:rPr>
          <w:rFonts w:ascii="Arial" w:cs="Arial" w:eastAsia="Arial" w:hAnsi="Arial"/>
          <w:sz w:val="19"/>
          <w:szCs w:val="19"/>
          <w:color w:val="auto"/>
        </w:rPr>
        <w:t>(vii)</w:t>
      </w:r>
      <w:r>
        <w:rPr>
          <w:sz w:val="20"/>
          <w:szCs w:val="20"/>
          <w:color w:val="auto"/>
        </w:rPr>
        <w:tab/>
      </w:r>
      <w:r>
        <w:rPr>
          <w:rFonts w:ascii="Arial" w:cs="Arial" w:eastAsia="Arial" w:hAnsi="Arial"/>
          <w:sz w:val="19"/>
          <w:szCs w:val="19"/>
          <w:color w:val="auto"/>
        </w:rPr>
        <w:t>“Ending Company TSR” shall mean the average closing price for</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Company’s common stock during the thirty (30) calendar day period ending on the last day of the Performance Period applicable to the Tranche for which the Payout Factor is being determined, as reported in The Wall Street Journal. However, if a Change in Control occurs prior to the last day of a Performance Period, the Ending Company TSR shall mean (A) the value of the consideration offered for a share of the Company’s common stock in the Change in Control or (B) in the event that there is no consideration offered for a share of the Company’s common stock in the Change in Control, the average closing price for the Company’s common stock during the thirty (30) calendar day period ending on the day immediately prior to the effective date of the Change in Control, as reported in The Wall Street Journal.</w:t>
      </w:r>
    </w:p>
    <w:p>
      <w:pPr>
        <w:spacing w:after="0" w:line="208" w:lineRule="exact"/>
        <w:rPr>
          <w:sz w:val="20"/>
          <w:szCs w:val="20"/>
          <w:color w:val="auto"/>
        </w:rPr>
      </w:pPr>
    </w:p>
    <w:p>
      <w:pPr>
        <w:jc w:val="both"/>
        <w:ind w:firstLine="2634"/>
        <w:spacing w:after="0"/>
        <w:rPr>
          <w:sz w:val="20"/>
          <w:szCs w:val="20"/>
          <w:color w:val="auto"/>
        </w:rPr>
      </w:pPr>
      <w:r>
        <w:rPr>
          <w:rFonts w:ascii="Arial" w:cs="Arial" w:eastAsia="Arial" w:hAnsi="Arial"/>
          <w:sz w:val="22"/>
          <w:szCs w:val="22"/>
          <w:color w:val="auto"/>
        </w:rPr>
        <w:t>(viii) “Ending SPSISC TSR” shall mean the average closing price for the S&amp;P Semiconductor Select Industry Index during the thirty (30) calendar day period ending on the Determination Date, as reported in The Wall Street Journal.</w:t>
      </w:r>
    </w:p>
    <w:p>
      <w:pPr>
        <w:spacing w:after="0" w:line="186" w:lineRule="exact"/>
        <w:rPr>
          <w:sz w:val="20"/>
          <w:szCs w:val="20"/>
          <w:color w:val="auto"/>
        </w:rPr>
      </w:pPr>
    </w:p>
    <w:p>
      <w:pPr>
        <w:jc w:val="both"/>
        <w:ind w:firstLine="2634"/>
        <w:spacing w:after="0"/>
        <w:rPr>
          <w:sz w:val="20"/>
          <w:szCs w:val="20"/>
          <w:color w:val="auto"/>
        </w:rPr>
      </w:pPr>
      <w:r>
        <w:rPr>
          <w:rFonts w:ascii="Arial" w:cs="Arial" w:eastAsia="Arial" w:hAnsi="Arial"/>
          <w:sz w:val="22"/>
          <w:szCs w:val="22"/>
          <w:color w:val="auto"/>
        </w:rPr>
        <w:t>(ix) “Good Cause” shall mean any one (1) or more of the following: (A) the Participant’s willful, material, and irreparable breach of any employment, consulting, or change in control agreement between Participant and the Company or a Related Entity (a “Service</w:t>
      </w:r>
    </w:p>
    <w:p>
      <w:pPr>
        <w:spacing w:after="0" w:line="200" w:lineRule="exact"/>
        <w:rPr>
          <w:sz w:val="20"/>
          <w:szCs w:val="20"/>
          <w:color w:val="auto"/>
        </w:r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0" w:name="page41"/>
    <w:bookmarkEnd w:id="40"/>
    <w:p>
      <w:pPr>
        <w:jc w:val="both"/>
        <w:spacing w:after="0" w:line="276" w:lineRule="auto"/>
        <w:rPr>
          <w:sz w:val="20"/>
          <w:szCs w:val="20"/>
          <w:color w:val="auto"/>
        </w:rPr>
      </w:pPr>
      <w:r>
        <w:rPr>
          <w:rFonts w:ascii="Arial" w:cs="Arial" w:eastAsia="Arial" w:hAnsi="Arial"/>
          <w:sz w:val="19"/>
          <w:szCs w:val="19"/>
          <w:color w:val="auto"/>
        </w:rPr>
        <w:t>Agreement”); (B) the Participant’s gross negligence in the performance or intentional nonperformance (continuing for thirty (30) days after receipt of written notice of need to cure) of any of the Participant’s material duties and responsibilities to the Company;</w:t>
      </w:r>
    </w:p>
    <w:p>
      <w:pPr>
        <w:spacing w:after="0" w:line="2" w:lineRule="exact"/>
        <w:rPr>
          <w:sz w:val="20"/>
          <w:szCs w:val="20"/>
          <w:color w:val="auto"/>
        </w:rPr>
      </w:pPr>
    </w:p>
    <w:p>
      <w:pPr>
        <w:jc w:val="both"/>
        <w:ind w:firstLine="8"/>
        <w:spacing w:after="0" w:line="233" w:lineRule="auto"/>
        <w:tabs>
          <w:tab w:leader="none" w:pos="388"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Participant’s willful dishonesty, fraud, or misconduct with respect to the business or affairs of the Company, which materially and adversely affects the operations or reputation of the Company; (D) the Participant’s indictment for, conviction of, or guilty plea to a felony crime involving dishonesty or moral turpitude whether or not relating to the Company; or (E) a confirmed positive illegal drug test result.</w:t>
      </w:r>
    </w:p>
    <w:p>
      <w:pPr>
        <w:spacing w:after="0" w:line="188" w:lineRule="exact"/>
        <w:rPr>
          <w:sz w:val="20"/>
          <w:szCs w:val="20"/>
          <w:color w:val="auto"/>
        </w:rPr>
      </w:pPr>
    </w:p>
    <w:p>
      <w:pPr>
        <w:jc w:val="both"/>
        <w:ind w:firstLine="2634"/>
        <w:spacing w:after="0" w:line="233" w:lineRule="auto"/>
        <w:rPr>
          <w:sz w:val="20"/>
          <w:szCs w:val="20"/>
          <w:color w:val="auto"/>
        </w:rPr>
      </w:pPr>
      <w:r>
        <w:rPr>
          <w:rFonts w:ascii="Arial" w:cs="Arial" w:eastAsia="Arial" w:hAnsi="Arial"/>
          <w:sz w:val="22"/>
          <w:szCs w:val="22"/>
          <w:color w:val="auto"/>
        </w:rPr>
        <w:t>(x) “Good Reason” shall mean the occurrence of any of the following events without the Participant’s prior written approval: (A) the Participant is demoted by means of a material reduction in authority, responsibilities, or duties; (B) the Participant’s annual base salary for a fiscal year (“Base Salary”) is reduced to a level that is less than 90% of the Base Salary paid to the Participant during the prior fiscal year, or, the Participant’s Targeted Bonus is reduced to a level that is less than 90% of the Targeted Bonus for the Participant during the prior fiscal year; (C) the Participant is required to render his or her principal duties from a Company location that is more than fifty (50) miles from a Company location from which the Participant performs his or her principal duties at the earlier of the time the Participant entered into any Service Agreement or the date of this Agreement, in either case other than as has been previously contemplated by the Company and the Participant, and such relocation increases the Participant’s one way commute; or (D) the Company breaches a material provision of any Service Agreement.</w:t>
      </w:r>
    </w:p>
    <w:p>
      <w:pPr>
        <w:spacing w:after="0" w:line="191" w:lineRule="exact"/>
        <w:rPr>
          <w:sz w:val="20"/>
          <w:szCs w:val="20"/>
          <w:color w:val="auto"/>
        </w:rPr>
      </w:pPr>
    </w:p>
    <w:p>
      <w:pPr>
        <w:jc w:val="both"/>
        <w:ind w:right="20" w:firstLine="2634"/>
        <w:spacing w:after="0" w:line="238" w:lineRule="auto"/>
        <w:rPr>
          <w:sz w:val="20"/>
          <w:szCs w:val="20"/>
          <w:color w:val="auto"/>
        </w:rPr>
      </w:pPr>
      <w:r>
        <w:rPr>
          <w:rFonts w:ascii="Arial" w:cs="Arial" w:eastAsia="Arial" w:hAnsi="Arial"/>
          <w:sz w:val="22"/>
          <w:szCs w:val="22"/>
          <w:color w:val="auto"/>
        </w:rPr>
        <w:t>(xi) “Non-Vested Deferred Stock Units” means, with respect to each Tranche for which the applicable Vesting Date is after the effective date of a Change in Control, the difference of (i) (A) the Target Number of Deferred Stock Units subject to such Tranche, multiplied by (B) the Payout Factor, minus (ii) the CIC Deferred Stock Units for such Tranche.</w:t>
      </w:r>
    </w:p>
    <w:p>
      <w:pPr>
        <w:sectPr>
          <w:pgSz w:w="11900" w:h="16838" w:orient="portrait"/>
          <w:cols w:equalWidth="0" w:num="1">
            <w:col w:w="11420"/>
          </w:cols>
          <w:pgMar w:left="240" w:top="334" w:right="239" w:bottom="1440" w:gutter="0" w:footer="0" w:header="0"/>
        </w:sectPr>
      </w:pPr>
    </w:p>
    <w:p>
      <w:pPr>
        <w:spacing w:after="0" w:line="185" w:lineRule="exact"/>
        <w:rPr>
          <w:sz w:val="20"/>
          <w:szCs w:val="20"/>
          <w:color w:val="auto"/>
        </w:rPr>
      </w:pPr>
    </w:p>
    <w:p>
      <w:pPr>
        <w:jc w:val="center"/>
        <w:ind w:left="780"/>
        <w:spacing w:after="0"/>
        <w:rPr>
          <w:sz w:val="20"/>
          <w:szCs w:val="20"/>
          <w:color w:val="auto"/>
        </w:rPr>
      </w:pPr>
      <w:r>
        <w:rPr>
          <w:rFonts w:ascii="Arial" w:cs="Arial" w:eastAsia="Arial" w:hAnsi="Arial"/>
          <w:sz w:val="22"/>
          <w:szCs w:val="22"/>
          <w:color w:val="auto"/>
        </w:rPr>
        <w:t>(xii)</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“Payout Factor” shall mean:</w:t>
      </w:r>
    </w:p>
    <w:p>
      <w:pPr>
        <w:spacing w:after="0" w:line="234" w:lineRule="exact"/>
        <w:rPr>
          <w:sz w:val="20"/>
          <w:szCs w:val="20"/>
          <w:color w:val="auto"/>
        </w:rPr>
      </w:pPr>
    </w:p>
    <w:p>
      <w:pPr>
        <w:sectPr>
          <w:pgSz w:w="11900" w:h="16838" w:orient="portrait"/>
          <w:cols w:equalWidth="0" w:num="2">
            <w:col w:w="4880" w:space="720"/>
            <w:col w:w="5820"/>
          </w:cols>
          <w:pgMar w:left="240" w:top="334" w:right="239" w:bottom="1440" w:gutter="0" w:footer="0" w:header="0"/>
          <w:type w:val="continuous"/>
        </w:sectPr>
      </w:pPr>
    </w:p>
    <w:p>
      <w:pPr>
        <w:spacing w:after="0" w:line="6" w:lineRule="exact"/>
        <w:rPr>
          <w:sz w:val="20"/>
          <w:szCs w:val="20"/>
          <w:color w:val="auto"/>
        </w:rPr>
      </w:pPr>
    </w:p>
    <w:p>
      <w:pPr>
        <w:ind w:left="3520"/>
        <w:spacing w:after="0"/>
        <w:tabs>
          <w:tab w:leader="none" w:pos="704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For Tranche One and Tranche Two, 100% minus</w:t>
      </w:r>
    </w:p>
    <w:p>
      <w:pPr>
        <w:sectPr>
          <w:pgSz w:w="11900" w:h="16838" w:orient="portrait"/>
          <w:cols w:equalWidth="0" w:num="1">
            <w:col w:w="11420"/>
          </w:cols>
          <w:pgMar w:left="240" w:top="334" w:right="2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two (2) times the percentage, if any, by which the SPSISC TSR exceeds the Company TSR as of the Determination Date. If Company TSR exceeds SPSISC TSR as of the Determination Date, then the Payout Factor shall be 100%.</w:t>
      </w:r>
    </w:p>
    <w:p>
      <w:pPr>
        <w:spacing w:after="0" w:line="186" w:lineRule="exact"/>
        <w:rPr>
          <w:sz w:val="20"/>
          <w:szCs w:val="20"/>
          <w:color w:val="auto"/>
        </w:rPr>
      </w:pPr>
    </w:p>
    <w:p>
      <w:pPr>
        <w:jc w:val="both"/>
        <w:ind w:firstLine="3511"/>
        <w:spacing w:after="0" w:line="238" w:lineRule="auto"/>
        <w:rPr>
          <w:sz w:val="20"/>
          <w:szCs w:val="20"/>
          <w:color w:val="auto"/>
        </w:rPr>
      </w:pPr>
      <w:r>
        <w:rPr>
          <w:rFonts w:ascii="Arial" w:cs="Arial" w:eastAsia="Arial" w:hAnsi="Arial"/>
          <w:sz w:val="22"/>
          <w:szCs w:val="22"/>
          <w:color w:val="auto"/>
        </w:rPr>
        <w:t>(B) For Tranche Three, 100% (x) plus the percentage by which the Company TSR exceeds the SPSISC TSR, multiplied by two (2), if the Company TSR exceeds the SPSISC TSR or (y) minus the percentage by which the SPSISC TSR exceeds the Company TSR, multiplied by two (2), if the SPSISC TSR exceeds the Company TSR, as of the Determination Date.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no event, however, shall the Payout Factor be less than 0% or greater than 200%.</w:t>
      </w:r>
    </w:p>
    <w:p>
      <w:pPr>
        <w:spacing w:after="0" w:line="206" w:lineRule="exact"/>
        <w:rPr>
          <w:sz w:val="20"/>
          <w:szCs w:val="20"/>
          <w:color w:val="auto"/>
        </w:rPr>
      </w:pPr>
    </w:p>
    <w:p>
      <w:pPr>
        <w:jc w:val="both"/>
        <w:ind w:right="20" w:firstLine="2634"/>
        <w:spacing w:after="0" w:line="251" w:lineRule="auto"/>
        <w:rPr>
          <w:sz w:val="20"/>
          <w:szCs w:val="20"/>
          <w:color w:val="auto"/>
        </w:rPr>
      </w:pPr>
      <w:r>
        <w:rPr>
          <w:rFonts w:ascii="Arial" w:cs="Arial" w:eastAsia="Arial" w:hAnsi="Arial"/>
          <w:sz w:val="22"/>
          <w:szCs w:val="22"/>
          <w:color w:val="auto"/>
        </w:rPr>
        <w:t>(xiii) “SPSISC TSR” shall mean (A) the Ending SPSISC TSR minus the Beginning SPSISC TSR divided by (B) the Beginning SPSISC TSR, with the quotient expressed as a percentage.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41" w:name="page42"/>
    <w:bookmarkEnd w:id="41"/>
    <w:p>
      <w:pPr>
        <w:jc w:val="both"/>
        <w:ind w:firstLine="2634"/>
        <w:spacing w:after="0" w:line="236" w:lineRule="auto"/>
        <w:rPr>
          <w:sz w:val="20"/>
          <w:szCs w:val="20"/>
          <w:color w:val="auto"/>
        </w:rPr>
      </w:pPr>
      <w:r>
        <w:rPr>
          <w:rFonts w:ascii="Arial" w:cs="Arial" w:eastAsia="Arial" w:hAnsi="Arial"/>
          <w:sz w:val="22"/>
          <w:szCs w:val="22"/>
          <w:color w:val="auto"/>
        </w:rPr>
        <w:t>(xiv) “Targeted Bonus” shall mean, for each fiscal year of the Company, either (i) a bonus program in which the Participant shall be entitled to participate, which provides the Participant with a reasonable opportunity, based on the past compensation practices of the Company and the Participant’s then base salary, to maintain or increase the Participant’s total compensation compared to the previous fiscal year or (ii) a targeted bonus based on such factors as the Board may determine.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3"/>
          </w:tcPr>
          <w:p>
            <w:pPr>
              <w:ind w:left="300"/>
              <w:spacing w:after="0"/>
              <w:rPr>
                <w:sz w:val="20"/>
                <w:szCs w:val="20"/>
                <w:color w:val="auto"/>
              </w:rPr>
            </w:pPr>
            <w:r>
              <w:rPr>
                <w:rFonts w:ascii="Arial" w:cs="Arial" w:eastAsia="Arial" w:hAnsi="Arial"/>
                <w:sz w:val="22"/>
                <w:szCs w:val="22"/>
                <w:color w:val="auto"/>
              </w:rPr>
              <w:t>(xv)</w:t>
            </w:r>
          </w:p>
        </w:tc>
        <w:tc>
          <w:tcPr>
            <w:tcW w:w="6700" w:type="dxa"/>
            <w:vAlign w:val="bottom"/>
            <w:gridSpan w:val="2"/>
          </w:tcPr>
          <w:p>
            <w:pPr>
              <w:jc w:val="right"/>
              <w:spacing w:after="0"/>
              <w:rPr>
                <w:sz w:val="20"/>
                <w:szCs w:val="20"/>
                <w:color w:val="auto"/>
              </w:rPr>
            </w:pPr>
            <w:r>
              <w:rPr>
                <w:rFonts w:ascii="Arial" w:cs="Arial" w:eastAsia="Arial" w:hAnsi="Arial"/>
                <w:sz w:val="22"/>
                <w:szCs w:val="22"/>
                <w:color w:val="auto"/>
              </w:rPr>
              <w:t>“Vested Deferred Stock Units” means the portion of the Deferred</w:t>
            </w:r>
          </w:p>
        </w:tc>
      </w:tr>
      <w:tr>
        <w:trPr>
          <w:trHeight w:val="275"/>
        </w:trPr>
        <w:tc>
          <w:tcPr>
            <w:tcW w:w="11420" w:type="dxa"/>
            <w:vAlign w:val="bottom"/>
            <w:gridSpan w:val="7"/>
          </w:tcPr>
          <w:p>
            <w:pPr>
              <w:jc w:val="right"/>
              <w:ind w:right="1240"/>
              <w:spacing w:after="0"/>
              <w:rPr>
                <w:sz w:val="20"/>
                <w:szCs w:val="20"/>
                <w:color w:val="auto"/>
              </w:rPr>
            </w:pPr>
            <w:r>
              <w:rPr>
                <w:rFonts w:ascii="Arial" w:cs="Arial" w:eastAsia="Arial" w:hAnsi="Arial"/>
                <w:sz w:val="22"/>
                <w:szCs w:val="22"/>
                <w:color w:val="auto"/>
                <w:w w:val="88"/>
              </w:rPr>
              <w:t>Stock Units subject to this Agreement that become vested on the applicable Vesting Date set forth in Section 3 below.</w:t>
            </w:r>
          </w:p>
        </w:tc>
      </w:tr>
      <w:tr>
        <w:trPr>
          <w:trHeight w:val="409"/>
        </w:trPr>
        <w:tc>
          <w:tcPr>
            <w:tcW w:w="2180" w:type="dxa"/>
            <w:vAlign w:val="bottom"/>
          </w:tcPr>
          <w:p>
            <w:pPr>
              <w:jc w:val="right"/>
              <w:ind w:right="1032"/>
              <w:spacing w:after="0"/>
              <w:rPr>
                <w:sz w:val="20"/>
                <w:szCs w:val="20"/>
                <w:color w:val="auto"/>
              </w:rPr>
            </w:pPr>
            <w:r>
              <w:rPr>
                <w:rFonts w:ascii="Arial" w:cs="Arial" w:eastAsia="Arial" w:hAnsi="Arial"/>
                <w:sz w:val="22"/>
                <w:szCs w:val="22"/>
                <w:color w:val="auto"/>
              </w:rPr>
              <w:t>3.</w:t>
            </w:r>
          </w:p>
        </w:tc>
        <w:tc>
          <w:tcPr>
            <w:tcW w:w="160" w:type="dxa"/>
            <w:vAlign w:val="bottom"/>
          </w:tcPr>
          <w:p>
            <w:pPr>
              <w:spacing w:after="0"/>
              <w:rPr>
                <w:sz w:val="24"/>
                <w:szCs w:val="24"/>
                <w:color w:val="auto"/>
              </w:rPr>
            </w:pPr>
          </w:p>
        </w:tc>
        <w:tc>
          <w:tcPr>
            <w:tcW w:w="9080" w:type="dxa"/>
            <w:vAlign w:val="bottom"/>
            <w:gridSpan w:val="5"/>
          </w:tcPr>
          <w:p>
            <w:pPr>
              <w:jc w:val="right"/>
              <w:ind w:right="4960"/>
              <w:spacing w:after="0"/>
              <w:rPr>
                <w:sz w:val="20"/>
                <w:szCs w:val="20"/>
                <w:color w:val="auto"/>
              </w:rPr>
            </w:pPr>
            <w:r>
              <w:rPr>
                <w:rFonts w:ascii="Arial" w:cs="Arial" w:eastAsia="Arial" w:hAnsi="Arial"/>
                <w:sz w:val="22"/>
                <w:szCs w:val="22"/>
                <w:color w:val="auto"/>
                <w:w w:val="89"/>
              </w:rPr>
              <w:t>Vesting and Forfeiture of Deferred Stock Units.</w:t>
            </w:r>
          </w:p>
        </w:tc>
      </w:tr>
      <w:tr>
        <w:trPr>
          <w:trHeight w:val="20"/>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39"/>
        </w:trPr>
        <w:tc>
          <w:tcPr>
            <w:tcW w:w="2180" w:type="dxa"/>
            <w:vAlign w:val="bottom"/>
          </w:tcPr>
          <w:p>
            <w:pPr>
              <w:jc w:val="right"/>
              <w:ind w:right="72"/>
              <w:spacing w:after="0"/>
              <w:rPr>
                <w:sz w:val="20"/>
                <w:szCs w:val="20"/>
                <w:color w:val="auto"/>
              </w:rPr>
            </w:pPr>
            <w:r>
              <w:rPr>
                <w:rFonts w:ascii="Arial" w:cs="Arial" w:eastAsia="Arial" w:hAnsi="Arial"/>
                <w:sz w:val="22"/>
                <w:szCs w:val="22"/>
                <w:color w:val="auto"/>
              </w:rPr>
              <w:t>(a)</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22"/>
                <w:szCs w:val="22"/>
                <w:color w:val="auto"/>
                <w:w w:val="95"/>
              </w:rPr>
              <w:t>Vesting.</w:t>
            </w:r>
          </w:p>
        </w:tc>
        <w:tc>
          <w:tcPr>
            <w:tcW w:w="6700" w:type="dxa"/>
            <w:vAlign w:val="bottom"/>
            <w:gridSpan w:val="2"/>
          </w:tcPr>
          <w:p>
            <w:pPr>
              <w:jc w:val="right"/>
              <w:spacing w:after="0"/>
              <w:rPr>
                <w:sz w:val="20"/>
                <w:szCs w:val="20"/>
                <w:color w:val="auto"/>
              </w:rPr>
            </w:pPr>
            <w:r>
              <w:rPr>
                <w:rFonts w:ascii="Arial" w:cs="Arial" w:eastAsia="Arial" w:hAnsi="Arial"/>
                <w:sz w:val="22"/>
                <w:szCs w:val="22"/>
                <w:color w:val="auto"/>
                <w:w w:val="94"/>
              </w:rPr>
              <w:t>As of each Determination Date, the Company shall determine the Payout</w:t>
            </w:r>
          </w:p>
        </w:tc>
      </w:tr>
      <w:tr>
        <w:trPr>
          <w:trHeight w:val="20"/>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Factor for the applicable Performance Period.</w:t>
      </w:r>
    </w:p>
    <w:p>
      <w:pPr>
        <w:spacing w:after="0" w:line="206"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For Tranche One and Tranche Two, the Company shall multiply the Payout Factor by the Target Number of Deferred Stock Units subject to the Tranche, and the resulting number of Deferred Stock Units shall vest in full on the Vesting Date set forth below for that Tranche, in each case, subject to the Participant’s Continuous Service on the Vesting Date.</w:t>
      </w:r>
    </w:p>
    <w:p>
      <w:pPr>
        <w:spacing w:after="0" w:line="134"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For Tranche Three, the Company shall multiply the Payout Factor by the Target Number of Deferred Stock Units subject to Tranche Three and then subtract the number of Deferred Stock Units that vested in Tranche One and Tranche Two. The resulting number of Deferred Stock Units shall vest in full on the Vesting Date set forth below for Tranche Three, subject to the Participant’s Continuous Service on the Vesting Date.</w:t>
      </w:r>
    </w:p>
    <w:p>
      <w:pPr>
        <w:spacing w:after="0" w:line="186" w:lineRule="exact"/>
        <w:rPr>
          <w:sz w:val="20"/>
          <w:szCs w:val="20"/>
          <w:color w:val="auto"/>
        </w:rPr>
      </w:pPr>
    </w:p>
    <w:tbl>
      <w:tblPr>
        <w:tblLayout w:type="fixed"/>
        <w:tblInd w:w="2970" w:type="dxa"/>
        <w:tblCellMar>
          <w:top w:w="0" w:type="dxa"/>
          <w:left w:w="0" w:type="dxa"/>
          <w:bottom w:w="0" w:type="dxa"/>
          <w:right w:w="0" w:type="dxa"/>
        </w:tblCellMar>
      </w:tblPr>
      <w:tr>
        <w:trPr>
          <w:trHeight w:val="216"/>
        </w:trPr>
        <w:tc>
          <w:tcPr>
            <w:tcW w:w="960" w:type="dxa"/>
            <w:vAlign w:val="bottom"/>
            <w:tcBorders>
              <w:top w:val="single" w:sz="8" w:color="auto"/>
              <w:left w:val="single" w:sz="8" w:color="auto"/>
            </w:tcBorders>
          </w:tcPr>
          <w:p>
            <w:pPr>
              <w:spacing w:after="0"/>
              <w:rPr>
                <w:sz w:val="18"/>
                <w:szCs w:val="18"/>
                <w:color w:val="auto"/>
              </w:rPr>
            </w:pPr>
          </w:p>
        </w:tc>
        <w:tc>
          <w:tcPr>
            <w:tcW w:w="1660" w:type="dxa"/>
            <w:vAlign w:val="bottom"/>
            <w:tcBorders>
              <w:top w:val="single" w:sz="8" w:color="auto"/>
              <w:right w:val="single" w:sz="8" w:color="auto"/>
            </w:tcBorders>
            <w:gridSpan w:val="2"/>
          </w:tcPr>
          <w:p>
            <w:pPr>
              <w:spacing w:after="0" w:line="217" w:lineRule="exact"/>
              <w:rPr>
                <w:sz w:val="20"/>
                <w:szCs w:val="20"/>
                <w:color w:val="auto"/>
              </w:rPr>
            </w:pPr>
            <w:r>
              <w:rPr>
                <w:rFonts w:ascii="Arial" w:cs="Arial" w:eastAsia="Arial" w:hAnsi="Arial"/>
                <w:sz w:val="22"/>
                <w:szCs w:val="22"/>
                <w:color w:val="auto"/>
              </w:rPr>
              <w:t>Tranche</w:t>
            </w:r>
          </w:p>
        </w:tc>
        <w:tc>
          <w:tcPr>
            <w:tcW w:w="880" w:type="dxa"/>
            <w:vAlign w:val="bottom"/>
            <w:tcBorders>
              <w:top w:val="single" w:sz="8" w:color="auto"/>
            </w:tcBorders>
          </w:tcPr>
          <w:p>
            <w:pPr>
              <w:spacing w:after="0"/>
              <w:rPr>
                <w:sz w:val="18"/>
                <w:szCs w:val="18"/>
                <w:color w:val="auto"/>
              </w:rPr>
            </w:pPr>
          </w:p>
        </w:tc>
        <w:tc>
          <w:tcPr>
            <w:tcW w:w="2040" w:type="dxa"/>
            <w:vAlign w:val="bottom"/>
            <w:tcBorders>
              <w:top w:val="single" w:sz="8" w:color="auto"/>
              <w:right w:val="single" w:sz="8" w:color="auto"/>
            </w:tcBorders>
            <w:gridSpan w:val="2"/>
          </w:tcPr>
          <w:p>
            <w:pPr>
              <w:jc w:val="center"/>
              <w:ind w:right="940"/>
              <w:spacing w:after="0" w:line="217" w:lineRule="exact"/>
              <w:rPr>
                <w:sz w:val="20"/>
                <w:szCs w:val="20"/>
                <w:color w:val="auto"/>
              </w:rPr>
            </w:pPr>
            <w:r>
              <w:rPr>
                <w:rFonts w:ascii="Arial" w:cs="Arial" w:eastAsia="Arial" w:hAnsi="Arial"/>
                <w:sz w:val="22"/>
                <w:szCs w:val="22"/>
                <w:color w:val="auto"/>
                <w:w w:val="87"/>
              </w:rPr>
              <w:t>Vesting Date</w:t>
            </w:r>
          </w:p>
        </w:tc>
      </w:tr>
      <w:tr>
        <w:trPr>
          <w:trHeight w:val="129"/>
        </w:trPr>
        <w:tc>
          <w:tcPr>
            <w:tcW w:w="960" w:type="dxa"/>
            <w:vAlign w:val="bottom"/>
            <w:tcBorders>
              <w:left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r>
      <w:tr>
        <w:trPr>
          <w:trHeight w:val="268"/>
        </w:trPr>
        <w:tc>
          <w:tcPr>
            <w:tcW w:w="2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Tranche One</w:t>
            </w:r>
          </w:p>
        </w:tc>
        <w:tc>
          <w:tcPr>
            <w:tcW w:w="29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6"/>
              </w:rPr>
              <w:t>September 30, 2018</w:t>
            </w:r>
          </w:p>
        </w:tc>
      </w:tr>
      <w:tr>
        <w:trPr>
          <w:trHeight w:val="77"/>
        </w:trPr>
        <w:tc>
          <w:tcPr>
            <w:tcW w:w="96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r>
      <w:tr>
        <w:trPr>
          <w:trHeight w:val="268"/>
        </w:trPr>
        <w:tc>
          <w:tcPr>
            <w:tcW w:w="2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Tranche Two</w:t>
            </w:r>
          </w:p>
        </w:tc>
        <w:tc>
          <w:tcPr>
            <w:tcW w:w="29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6"/>
              </w:rPr>
              <w:t>September 30, 2019</w:t>
            </w:r>
          </w:p>
        </w:tc>
      </w:tr>
      <w:tr>
        <w:trPr>
          <w:trHeight w:val="77"/>
        </w:trPr>
        <w:tc>
          <w:tcPr>
            <w:tcW w:w="96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r>
      <w:tr>
        <w:trPr>
          <w:trHeight w:val="268"/>
        </w:trPr>
        <w:tc>
          <w:tcPr>
            <w:tcW w:w="2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Tranche Three</w:t>
            </w:r>
          </w:p>
        </w:tc>
        <w:tc>
          <w:tcPr>
            <w:tcW w:w="29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6"/>
              </w:rPr>
              <w:t>September 30, 2020</w:t>
            </w:r>
          </w:p>
        </w:tc>
      </w:tr>
      <w:tr>
        <w:trPr>
          <w:trHeight w:val="77"/>
        </w:trPr>
        <w:tc>
          <w:tcPr>
            <w:tcW w:w="96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There shall be no proportionate or partial vesting of Deferred Stock Units in or during the months, days, or periods prior to each Vesting Date, and except as otherwise provided in Sections 3(b), 3(c), or 3(d) hereof, all vesting of Deferred Stock Units shall occur only on the applicable Vesting Date.</w:t>
      </w:r>
    </w:p>
    <w:p>
      <w:pPr>
        <w:spacing w:after="0" w:line="186" w:lineRule="exact"/>
        <w:rPr>
          <w:sz w:val="20"/>
          <w:szCs w:val="20"/>
          <w:color w:val="auto"/>
        </w:rPr>
      </w:pPr>
    </w:p>
    <w:p>
      <w:pPr>
        <w:ind w:left="1760"/>
        <w:spacing w:after="0"/>
        <w:tabs>
          <w:tab w:leader="none" w:pos="3940" w:val="left"/>
          <w:tab w:leader="none" w:pos="8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Acceleration of Vesting Upon a Change in Control</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In the event that during the</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Participant's Continuous Service, a Change in Control occurs prior to the last day of a Performance Period, the Change in Control Deferred Stock Units shall become immediately vested as of the effective date of the Change in Control and all Performance Periods shall be deemed completed. After giving effect to the preceding sentence, any Non-Vested Deferred Stock Units with respect to each Tranche shall remain outstanding and will vest thereafter on the applicable</w:t>
      </w:r>
    </w:p>
    <w:p>
      <w:pPr>
        <w:spacing w:after="0" w:line="39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Vesting Date for such Tranche, subject to the Participant’s Continuous Service on such Vesting Date.</w:t>
      </w:r>
    </w:p>
    <w:p>
      <w:pPr>
        <w:spacing w:after="0" w:line="206" w:lineRule="exact"/>
        <w:rPr>
          <w:sz w:val="20"/>
          <w:szCs w:val="20"/>
          <w:color w:val="auto"/>
        </w:rPr>
      </w:pPr>
    </w:p>
    <w:p>
      <w:pPr>
        <w:ind w:left="1760"/>
        <w:spacing w:after="0"/>
        <w:tabs>
          <w:tab w:leader="none" w:pos="3920" w:val="left"/>
          <w:tab w:leader="none" w:pos="1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u w:val="single" w:color="auto"/>
          <w:color w:val="auto"/>
        </w:rPr>
        <w:t>Treatment of Non-Vested Deferred Stock Units Upon a Change in Control</w:t>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The</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successor or acquiring entity or an affiliate thereof in a Change in Control may, with the consent of the Committee, assume the Non-Vested Deferred Stock Units or substitute an equivalent equity or cash award or right (including an award or right that is based on the per share consideration payable to stockholders of the Company in such Change in Control). If the successor or acquiring entity or an affiliate thereof does not cause such an assumption or substitution, then the Non-Vested Deferred Stock Units shall become fully vested, and all applicable restrictions, deferrals of settlement or forfeiture provisions shall lapse, effective as of and contingent on the consummation of the Change in Control. Immediately prior to and contingent on the consummation of the Change in Control, the Company shall deliver shares of Stock in respect of such accelerated Non-Vested Deferred Stock Units (as provided in the immediately preceding sentence) as of the date of the consummation of such Change in Control. In addition, the transaction agreement for such Change in Control may provide for the settlement of a Non-Vested Deferred Stock Unit through a payment equal to the per share consideration payable to stockholders of the Company in such Change in Control.</w:t>
      </w:r>
    </w:p>
    <w:p>
      <w:pPr>
        <w:spacing w:after="0" w:line="162" w:lineRule="exact"/>
        <w:rPr>
          <w:sz w:val="20"/>
          <w:szCs w:val="20"/>
          <w:color w:val="auto"/>
        </w:rPr>
      </w:pPr>
    </w:p>
    <w:p>
      <w:pPr>
        <w:ind w:left="1760"/>
        <w:spacing w:after="0"/>
        <w:tabs>
          <w:tab w:leader="none" w:pos="3940" w:val="left"/>
          <w:tab w:leader="none" w:pos="81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u w:val="single" w:color="auto"/>
          <w:color w:val="auto"/>
        </w:rPr>
        <w:t>Acceleration of Vesting Upon Termination</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Notwithstanding any other term or</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provision of this Agreement, in the event that the Participant’s Continuous Service is terminated either by the Company without Good Cause or by the Participant for Good Reason during the eighteen (18) month period immediately following a Change in Control, all Non-Vested Deferred Stock Units subject to this Agreement shall become immediately vested as of the date of the termination of the Participant’s Continuous Service.</w:t>
      </w:r>
    </w:p>
    <w:p>
      <w:pPr>
        <w:spacing w:after="0" w:line="188"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u w:val="single" w:color="auto"/>
          <w:color w:val="auto"/>
        </w:rPr>
        <w:t>Acceleration of Vesting at Committee’s Discretion</w:t>
      </w:r>
      <w:r>
        <w:rPr>
          <w:rFonts w:ascii="Arial" w:cs="Arial" w:eastAsia="Arial" w:hAnsi="Arial"/>
          <w:sz w:val="19"/>
          <w:szCs w:val="19"/>
          <w:color w:val="auto"/>
        </w:rPr>
        <w:t>.  Notwithstanding any other term</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or provision of this Agreement, the Committee shall be authorized, in its sole discretion, based upon its review and evaluation of the performance of the Participant and of the Company, to accelerate the vesting of any Non-Vested Deferred Stock Units subject to this Agreement, at such times and upon such terms and conditions as the Committee shall deem advisable.</w:t>
      </w:r>
    </w:p>
    <w:p>
      <w:pPr>
        <w:spacing w:after="0" w:line="144"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Forfeiture</w:t>
      </w:r>
      <w:r>
        <w:rPr>
          <w:rFonts w:ascii="Arial" w:cs="Arial" w:eastAsia="Arial" w:hAnsi="Arial"/>
          <w:sz w:val="19"/>
          <w:szCs w:val="19"/>
          <w:color w:val="auto"/>
        </w:rPr>
        <w:t>. If the Participant’s Continuous Service is terminated for any reason, any Deferred Stock Units that are not Vested Deferred Stock Units, and that do not become Vested Deferred Stock Units pursuant to this Section 3, shall be forfeited immediately upon such termination of Continuous Service without any payment to the Participant. The Committee shall have the power and authority to enforce on behalf of the Company any rights of the Company under this Agreement in the event of the Participant’s forfeiture of Non-Vested Deferred Stock Units pursuant to this Section 3.</w:t>
      </w:r>
    </w:p>
    <w:p>
      <w:pPr>
        <w:spacing w:after="0" w:line="119"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00" w:type="dxa"/>
            <w:vAlign w:val="bottom"/>
          </w:tcPr>
          <w:p>
            <w:pPr>
              <w:jc w:val="right"/>
              <w:ind w:right="1032"/>
              <w:spacing w:after="0"/>
              <w:rPr>
                <w:sz w:val="20"/>
                <w:szCs w:val="20"/>
                <w:color w:val="auto"/>
              </w:rPr>
            </w:pPr>
            <w:r>
              <w:rPr>
                <w:rFonts w:ascii="Arial" w:cs="Arial" w:eastAsia="Arial" w:hAnsi="Arial"/>
                <w:sz w:val="22"/>
                <w:szCs w:val="22"/>
                <w:color w:val="auto"/>
                <w:w w:val="76"/>
              </w:rPr>
              <w:t>4.</w:t>
            </w:r>
          </w:p>
        </w:tc>
        <w:tc>
          <w:tcPr>
            <w:tcW w:w="160" w:type="dxa"/>
            <w:vAlign w:val="bottom"/>
          </w:tcPr>
          <w:p>
            <w:pPr>
              <w:spacing w:after="0"/>
              <w:rPr>
                <w:sz w:val="21"/>
                <w:szCs w:val="21"/>
                <w:color w:val="auto"/>
              </w:rPr>
            </w:pPr>
          </w:p>
        </w:tc>
        <w:tc>
          <w:tcPr>
            <w:tcW w:w="9060" w:type="dxa"/>
            <w:vAlign w:val="bottom"/>
            <w:gridSpan w:val="4"/>
          </w:tcPr>
          <w:p>
            <w:pPr>
              <w:spacing w:after="0"/>
              <w:rPr>
                <w:sz w:val="20"/>
                <w:szCs w:val="20"/>
                <w:color w:val="auto"/>
              </w:rPr>
            </w:pPr>
            <w:r>
              <w:rPr>
                <w:rFonts w:ascii="Arial" w:cs="Arial" w:eastAsia="Arial" w:hAnsi="Arial"/>
                <w:sz w:val="22"/>
                <w:szCs w:val="22"/>
                <w:color w:val="auto"/>
              </w:rPr>
              <w:t>Settlement of Deferred Stock Units.</w:t>
            </w: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39"/>
        </w:trPr>
        <w:tc>
          <w:tcPr>
            <w:tcW w:w="1300" w:type="dxa"/>
            <w:vAlign w:val="bottom"/>
          </w:tcPr>
          <w:p>
            <w:pPr>
              <w:jc w:val="right"/>
              <w:ind w:right="72"/>
              <w:spacing w:after="0"/>
              <w:rPr>
                <w:sz w:val="20"/>
                <w:szCs w:val="20"/>
                <w:color w:val="auto"/>
              </w:rPr>
            </w:pPr>
            <w:r>
              <w:rPr>
                <w:rFonts w:ascii="Arial" w:cs="Arial" w:eastAsia="Arial" w:hAnsi="Arial"/>
                <w:sz w:val="22"/>
                <w:szCs w:val="22"/>
                <w:color w:val="auto"/>
              </w:rPr>
              <w:t>(a)</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60" w:type="dxa"/>
            <w:vAlign w:val="bottom"/>
            <w:gridSpan w:val="3"/>
          </w:tcPr>
          <w:p>
            <w:pPr>
              <w:spacing w:after="0"/>
              <w:rPr>
                <w:sz w:val="20"/>
                <w:szCs w:val="20"/>
                <w:color w:val="auto"/>
              </w:rPr>
            </w:pPr>
            <w:r>
              <w:rPr>
                <w:rFonts w:ascii="Arial" w:cs="Arial" w:eastAsia="Arial" w:hAnsi="Arial"/>
                <w:sz w:val="22"/>
                <w:szCs w:val="22"/>
                <w:color w:val="auto"/>
                <w:w w:val="95"/>
              </w:rPr>
              <w:t>Delivery of Stock.  The Company shall deliver to the Participant one (1) share of</w:t>
            </w: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Stock for each Vested Deferred Stock Unit subject of this Agreement (or, in the event there are no longer shares of Stock, in lieu of such Stock, the equivalent value of the stock or other securities of a successor or acquiring entity or cash to which the Participant would have been entitled to receive for such Stock). Shares of Stock (or the equivalent value of the stock or other</w:t>
      </w:r>
    </w:p>
    <w:p>
      <w:pPr>
        <w:spacing w:after="0" w:line="3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3" w:name="page44"/>
    <w:bookmarkEnd w:id="43"/>
    <w:p>
      <w:pPr>
        <w:jc w:val="both"/>
        <w:spacing w:after="0" w:line="252" w:lineRule="auto"/>
        <w:rPr>
          <w:sz w:val="20"/>
          <w:szCs w:val="20"/>
          <w:color w:val="auto"/>
        </w:rPr>
      </w:pPr>
      <w:r>
        <w:rPr>
          <w:rFonts w:ascii="Arial" w:cs="Arial" w:eastAsia="Arial" w:hAnsi="Arial"/>
          <w:sz w:val="21"/>
          <w:szCs w:val="21"/>
          <w:color w:val="auto"/>
        </w:rPr>
        <w:t>securities of a successor or acquiring entity or cash) corresponding to the Vested Deferred Stock Units shall be delivered within thirty (30) days after the applicable Vesting Date of the Vested Deferred Stock Units; provided, however, that shares of Stock corresponding to the Change in Control Deferred Stock Units that vest on account of a Change in Control shall be delivered immediately prior to the consummation of the transaction constituting a Change in Control.</w:t>
      </w:r>
    </w:p>
    <w:p>
      <w:pPr>
        <w:spacing w:after="0" w:line="174"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(b) Once shares of Stock are delivered with respect to Vested Deferred Stock Units, such Vested Deferred Stock Units shall terminate and the Company shall have no further obligation to deliver shares of Stock for such Vested Deferred Stock Units.</w:t>
      </w:r>
    </w:p>
    <w:p>
      <w:pPr>
        <w:spacing w:after="0" w:line="186"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Distribution to Specified Employees</w:t>
      </w:r>
      <w:r>
        <w:rPr>
          <w:rFonts w:ascii="Arial" w:cs="Arial" w:eastAsia="Arial" w:hAnsi="Arial"/>
          <w:sz w:val="21"/>
          <w:szCs w:val="21"/>
          <w:color w:val="auto"/>
        </w:rPr>
        <w:t>. This Award is intended to be exempt from Section 409A of the Internal Revenue Code of 1986, as amended, and the Treasury Regulations and other guidance promulgated or issued thereunder (“Section 409A”). However, if the Company determines that the Award constitutes deferred compensation as determined under Section 409A, and if the Participant is a “specified employee” for purposes of Section 409A, then no distributions otherwise required to be made under this Agreement on account of the Participant’s “separation from service”, within the meaning under Section 409A, shall be made before the date that is six (6) months and one (1) day after the date of the Participant’s “Separation from Service” or, if earlier, the date of the Participant’s death.</w:t>
      </w:r>
    </w:p>
    <w:p>
      <w:pPr>
        <w:spacing w:after="0" w:line="178"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2"/>
          <w:szCs w:val="22"/>
          <w:u w:val="single" w:color="auto"/>
          <w:color w:val="auto"/>
        </w:rPr>
        <w:t>Rights with Respect to Deferred Stock Units</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No Rights as Shareholder until Delivery</w:t>
      </w:r>
      <w:r>
        <w:rPr>
          <w:rFonts w:ascii="Arial" w:cs="Arial" w:eastAsia="Arial" w:hAnsi="Arial"/>
          <w:sz w:val="22"/>
          <w:szCs w:val="22"/>
          <w:color w:val="auto"/>
        </w:rPr>
        <w:t>. The Participant shall not have any rights, benefits, or entitlements with respect to any Stock subject to this Agreement unless and until the Stock has been delivered to the Participant. On or after delivery of the Stock, the Participant shall have, with respect to the Stock delivered, all of the rights of an equity interest holder of the Company, including the right to vote the Stock and the right to receive all dividends, if any, as may be declared on the Stock from time to time.</w:t>
      </w:r>
    </w:p>
    <w:p>
      <w:pPr>
        <w:spacing w:after="0" w:line="188"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No Restriction on Certain Transactions</w:t>
      </w:r>
      <w:r>
        <w:rPr>
          <w:rFonts w:ascii="Arial" w:cs="Arial" w:eastAsia="Arial" w:hAnsi="Arial"/>
          <w:sz w:val="19"/>
          <w:szCs w:val="19"/>
          <w:color w:val="auto"/>
        </w:rPr>
        <w:t>. Notwithstanding any term or provision of this Agreement to the contrary, the existence of this Agreement, or of any outstanding Deferred Stock Units awarded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 Entity of any capital stock of the Company or any Related Entity, including any equity or debt securities, or preferred or preference stock that would rank prior to or on parity with the shares of Stock represented by the Deferred Stock Units and/or that would include, have or possess other rights, benefits, and/or preferences superior to those that such shares of Stock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4" w:name="page45"/>
    <w:bookmarkEnd w:id="44"/>
    <w:p>
      <w:pPr>
        <w:jc w:val="both"/>
        <w:ind w:firstLine="877"/>
        <w:spacing w:after="0" w:line="245" w:lineRule="auto"/>
        <w:rPr>
          <w:sz w:val="20"/>
          <w:szCs w:val="20"/>
          <w:color w:val="auto"/>
        </w:rPr>
      </w:pPr>
      <w:r>
        <w:rPr>
          <w:rFonts w:ascii="Arial" w:cs="Arial" w:eastAsia="Arial" w:hAnsi="Arial"/>
          <w:sz w:val="21"/>
          <w:szCs w:val="21"/>
          <w:color w:val="auto"/>
        </w:rPr>
        <w:t xml:space="preserve">6. </w:t>
      </w:r>
      <w:r>
        <w:rPr>
          <w:rFonts w:ascii="Arial" w:cs="Arial" w:eastAsia="Arial" w:hAnsi="Arial"/>
          <w:sz w:val="21"/>
          <w:szCs w:val="21"/>
          <w:u w:val="single" w:color="auto"/>
          <w:color w:val="auto"/>
        </w:rPr>
        <w:t>Adjustments in Case of Certain Corporate Transactions</w:t>
      </w:r>
      <w:r>
        <w:rPr>
          <w:rFonts w:ascii="Arial" w:cs="Arial" w:eastAsia="Arial" w:hAnsi="Arial"/>
          <w:sz w:val="21"/>
          <w:szCs w:val="21"/>
          <w:color w:val="auto"/>
        </w:rPr>
        <w:t>. In the event of any reorganization, merger, consolidation, or other form of corporate transaction that does not constitute a Change in Control in which the Company does not survive, or that does not constitute a Change in Control in which the shares of Stock are exchanged for or converted into securities issued by another entity, then the successor or acquiring entity or an affiliate thereof may, with the consent of the Committee, assume this Award or substitute an equivalent award. If the successor or acquiring entity or an affiliate thereof does not cause such an assumption or substitution, then immediately prior to and contingent on the consummation of a corporate transaction as described in this Section 6, the Company shall treat such corporate transaction as a Change in Control for purposes of this Agreement, including accelerating vesting and settlement of any Non-Vested Deferred Stock Units pursuant to Sections 3(b) and 4(a) hereof.</w:t>
      </w:r>
    </w:p>
    <w:p>
      <w:pPr>
        <w:spacing w:after="0" w:line="15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00" w:type="dxa"/>
            <w:vAlign w:val="bottom"/>
          </w:tcPr>
          <w:p>
            <w:pPr>
              <w:jc w:val="right"/>
              <w:ind w:right="1032"/>
              <w:spacing w:after="0"/>
              <w:rPr>
                <w:sz w:val="20"/>
                <w:szCs w:val="20"/>
                <w:color w:val="auto"/>
              </w:rPr>
            </w:pPr>
            <w:r>
              <w:rPr>
                <w:rFonts w:ascii="Arial" w:cs="Arial" w:eastAsia="Arial" w:hAnsi="Arial"/>
                <w:sz w:val="22"/>
                <w:szCs w:val="22"/>
                <w:color w:val="auto"/>
                <w:w w:val="76"/>
              </w:rPr>
              <w:t>7.</w:t>
            </w:r>
          </w:p>
        </w:tc>
        <w:tc>
          <w:tcPr>
            <w:tcW w:w="9240" w:type="dxa"/>
            <w:vAlign w:val="bottom"/>
            <w:gridSpan w:val="5"/>
          </w:tcPr>
          <w:p>
            <w:pPr>
              <w:ind w:left="160"/>
              <w:spacing w:after="0"/>
              <w:rPr>
                <w:sz w:val="20"/>
                <w:szCs w:val="20"/>
                <w:color w:val="auto"/>
              </w:rPr>
            </w:pPr>
            <w:r>
              <w:rPr>
                <w:rFonts w:ascii="Arial" w:cs="Arial" w:eastAsia="Arial" w:hAnsi="Arial"/>
                <w:sz w:val="22"/>
                <w:szCs w:val="22"/>
                <w:color w:val="auto"/>
              </w:rPr>
              <w:t>Tax Provisions.</w:t>
            </w:r>
          </w:p>
        </w:tc>
      </w:tr>
      <w:tr>
        <w:trPr>
          <w:trHeight w:val="439"/>
        </w:trPr>
        <w:tc>
          <w:tcPr>
            <w:tcW w:w="1300" w:type="dxa"/>
            <w:vAlign w:val="bottom"/>
          </w:tcPr>
          <w:p>
            <w:pPr>
              <w:jc w:val="right"/>
              <w:ind w:right="72"/>
              <w:spacing w:after="0"/>
              <w:rPr>
                <w:sz w:val="20"/>
                <w:szCs w:val="20"/>
                <w:color w:val="auto"/>
              </w:rPr>
            </w:pPr>
            <w:r>
              <w:rPr>
                <w:rFonts w:ascii="Arial" w:cs="Arial" w:eastAsia="Arial" w:hAnsi="Arial"/>
                <w:sz w:val="22"/>
                <w:szCs w:val="22"/>
                <w:color w:val="auto"/>
              </w:rPr>
              <w:t>(a)</w:t>
            </w:r>
          </w:p>
        </w:tc>
        <w:tc>
          <w:tcPr>
            <w:tcW w:w="1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2"/>
                <w:szCs w:val="22"/>
                <w:color w:val="auto"/>
                <w:w w:val="95"/>
              </w:rPr>
              <w:t>Tax Consequences.  The Participant has reviewed with the Participant’s own tax</w:t>
            </w: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advisors the federal, state, local, and foreign 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any tax liability that may arise as a result of the transactions contemplated by this Agreement.</w:t>
      </w:r>
    </w:p>
    <w:p>
      <w:pPr>
        <w:spacing w:after="0" w:line="185"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Withholding Obligations</w:t>
      </w:r>
      <w:r>
        <w:rPr>
          <w:rFonts w:ascii="Arial" w:cs="Arial" w:eastAsia="Arial" w:hAnsi="Arial"/>
          <w:sz w:val="22"/>
          <w:szCs w:val="22"/>
          <w:color w:val="auto"/>
        </w:rPr>
        <w:t>. At the time the Award is granted, or at any time thereafter as requested by the Company, the Participant hereby authorizes withholding from payroll and any other amounts payable to the Participant, including the shares of Stock deliverable pursuant to this Award, and otherwise agrees to make adequate provision for, any sums required to satisfy the federal, state, local, and foreign tax withholding obligations of the Company or a Related Entity, if any, which arise in connection with the Award.</w:t>
      </w:r>
    </w:p>
    <w:p>
      <w:pPr>
        <w:spacing w:after="0" w:line="188"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The Company, in compliance with any applicable legal conditions or restrictions, shall withhold from fully vested shares of Stock otherwise deliverable to the Participant upon the vesting of the Award a number of whole shares of Stock having a Fair Market Value, as determined by the Company as of the date the Participant recognizes income with respect to those shares of Stock, not in excess of the amount of tax required to be withheld by law (or such lower amount as may be necessary to avoid adverse financial accounting treatment). Any adverse consequences to the Participant arising in connection with such Stock withholding procedure shall be the Participant’s sole responsibility.</w:t>
      </w:r>
    </w:p>
    <w:p>
      <w:pPr>
        <w:spacing w:after="0" w:line="177"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Unless the tax withholding obligations of the Company or any Related Entity are satisfied, the Company shall have no obligation to issue a certificate for such shares of Stock.</w:t>
      </w:r>
    </w:p>
    <w:p>
      <w:pPr>
        <w:spacing w:after="0" w:line="17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8. </w:t>
      </w:r>
      <w:r>
        <w:rPr>
          <w:rFonts w:ascii="Arial" w:cs="Arial" w:eastAsia="Arial" w:hAnsi="Arial"/>
          <w:sz w:val="22"/>
          <w:szCs w:val="22"/>
          <w:u w:val="single" w:color="auto"/>
          <w:color w:val="auto"/>
        </w:rPr>
        <w:t>Consideration</w:t>
      </w:r>
      <w:r>
        <w:rPr>
          <w:rFonts w:ascii="Arial" w:cs="Arial" w:eastAsia="Arial" w:hAnsi="Arial"/>
          <w:sz w:val="22"/>
          <w:szCs w:val="22"/>
          <w:color w:val="auto"/>
        </w:rPr>
        <w:t>. With respect to the value of the shares of Stock to be delivered pursuant to the Award, such shares of Stock are granted in consideration for the services the Participant shall provide to the Company during the Participant’s Continuous Service.</w:t>
      </w:r>
    </w:p>
    <w:p>
      <w:pPr>
        <w:spacing w:after="0" w:line="18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9. </w:t>
      </w:r>
      <w:r>
        <w:rPr>
          <w:rFonts w:ascii="Arial" w:cs="Arial" w:eastAsia="Arial" w:hAnsi="Arial"/>
          <w:sz w:val="22"/>
          <w:szCs w:val="22"/>
          <w:u w:val="single" w:color="auto"/>
          <w:color w:val="auto"/>
        </w:rPr>
        <w:t>Transferability</w:t>
      </w:r>
      <w:r>
        <w:rPr>
          <w:rFonts w:ascii="Arial" w:cs="Arial" w:eastAsia="Arial" w:hAnsi="Arial"/>
          <w:sz w:val="22"/>
          <w:szCs w:val="22"/>
          <w:color w:val="auto"/>
        </w:rPr>
        <w:t>. The Deferred Stock Units granted under this Agreement are not transferable otherwise than by will or under the applicable laws of descent and distribution. In addition, the Deferred Stock Units shall not be assigned, negotiated, pledged, or hypothecated in</w:t>
      </w:r>
    </w:p>
    <w:p>
      <w:pPr>
        <w:spacing w:after="0" w:line="200" w:lineRule="exact"/>
        <w:rPr>
          <w:sz w:val="20"/>
          <w:szCs w:val="20"/>
          <w:color w:val="auto"/>
        </w:r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5" w:name="page46"/>
    <w:bookmarkEnd w:id="45"/>
    <w:p>
      <w:pPr>
        <w:jc w:val="both"/>
        <w:ind w:right="20"/>
        <w:spacing w:after="0" w:line="251" w:lineRule="auto"/>
        <w:rPr>
          <w:sz w:val="20"/>
          <w:szCs w:val="20"/>
          <w:color w:val="auto"/>
        </w:rPr>
      </w:pPr>
      <w:r>
        <w:rPr>
          <w:rFonts w:ascii="Arial" w:cs="Arial" w:eastAsia="Arial" w:hAnsi="Arial"/>
          <w:sz w:val="22"/>
          <w:szCs w:val="22"/>
          <w:color w:val="auto"/>
        </w:rPr>
        <w:t>any way (whether by operation of law or otherwise), and the Deferred Stock Units shall not be subject to execution, attachment, or similar process.</w:t>
      </w:r>
    </w:p>
    <w:p>
      <w:pPr>
        <w:spacing w:after="0" w:line="144"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40" w:type="dxa"/>
            <w:vAlign w:val="bottom"/>
          </w:tcPr>
          <w:p>
            <w:pPr>
              <w:jc w:val="right"/>
              <w:ind w:right="952"/>
              <w:spacing w:after="0"/>
              <w:rPr>
                <w:sz w:val="20"/>
                <w:szCs w:val="20"/>
                <w:color w:val="auto"/>
              </w:rPr>
            </w:pPr>
            <w:r>
              <w:rPr>
                <w:rFonts w:ascii="Arial" w:cs="Arial" w:eastAsia="Arial" w:hAnsi="Arial"/>
                <w:sz w:val="22"/>
                <w:szCs w:val="22"/>
                <w:color w:val="auto"/>
                <w:w w:val="84"/>
              </w:rPr>
              <w:t>10.</w:t>
            </w:r>
          </w:p>
        </w:tc>
        <w:tc>
          <w:tcPr>
            <w:tcW w:w="9200" w:type="dxa"/>
            <w:vAlign w:val="bottom"/>
            <w:gridSpan w:val="5"/>
          </w:tcPr>
          <w:p>
            <w:pPr>
              <w:ind w:left="240"/>
              <w:spacing w:after="0"/>
              <w:rPr>
                <w:sz w:val="20"/>
                <w:szCs w:val="20"/>
                <w:color w:val="auto"/>
              </w:rPr>
            </w:pPr>
            <w:r>
              <w:rPr>
                <w:rFonts w:ascii="Arial" w:cs="Arial" w:eastAsia="Arial" w:hAnsi="Arial"/>
                <w:sz w:val="22"/>
                <w:szCs w:val="22"/>
                <w:color w:val="auto"/>
              </w:rPr>
              <w:t>General Provisions.</w:t>
            </w:r>
          </w:p>
        </w:tc>
      </w:tr>
      <w:tr>
        <w:trPr>
          <w:trHeight w:val="20"/>
        </w:trPr>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39"/>
        </w:trPr>
        <w:tc>
          <w:tcPr>
            <w:tcW w:w="1340" w:type="dxa"/>
            <w:vAlign w:val="bottom"/>
          </w:tcPr>
          <w:p>
            <w:pPr>
              <w:jc w:val="right"/>
              <w:ind w:right="112"/>
              <w:spacing w:after="0"/>
              <w:rPr>
                <w:sz w:val="20"/>
                <w:szCs w:val="20"/>
                <w:color w:val="auto"/>
              </w:rPr>
            </w:pPr>
            <w:r>
              <w:rPr>
                <w:rFonts w:ascii="Arial" w:cs="Arial" w:eastAsia="Arial" w:hAnsi="Arial"/>
                <w:sz w:val="22"/>
                <w:szCs w:val="22"/>
                <w:color w:val="auto"/>
              </w:rPr>
              <w:t>(a)</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80" w:type="dxa"/>
            <w:vAlign w:val="bottom"/>
            <w:gridSpan w:val="3"/>
          </w:tcPr>
          <w:p>
            <w:pPr>
              <w:spacing w:after="0"/>
              <w:rPr>
                <w:sz w:val="20"/>
                <w:szCs w:val="20"/>
                <w:color w:val="auto"/>
              </w:rPr>
            </w:pPr>
            <w:r>
              <w:rPr>
                <w:rFonts w:ascii="Arial" w:cs="Arial" w:eastAsia="Arial" w:hAnsi="Arial"/>
                <w:sz w:val="22"/>
                <w:szCs w:val="22"/>
                <w:color w:val="auto"/>
                <w:w w:val="92"/>
              </w:rPr>
              <w:t>Employment At Will. Nothing in this Agreement or in the Plan shall confer upon the</w:t>
            </w:r>
          </w:p>
        </w:tc>
      </w:tr>
      <w:tr>
        <w:trPr>
          <w:trHeight w:val="20"/>
        </w:trPr>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Participant any right to continue in the service of the Company or its Related Entities for any period of specific duration or interfere with or otherwise restrict in any way the rights of the Company (or any Related Entity employing or retaining the Participant) or of the Participant, which rights are hereby expressly reserved by each, to terminate the Participant’s service at any time for any reason, with or without cause.</w:t>
      </w:r>
    </w:p>
    <w:p>
      <w:pPr>
        <w:spacing w:after="0" w:line="185"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to be given under this Agreement shall be in writing and shall be deemed effective upon personal delivery or upon deposit in the U.S. mail, registered or certified, postage prepaid and properly addressed to the party entitled to such notice at the address indicated below such party’s signature line on this Agreement or at such other address as such party may designate by ten (10) days’ advance written notice under this section to all other parties to this Agreement.</w:t>
      </w:r>
    </w:p>
    <w:p>
      <w:pPr>
        <w:spacing w:after="0" w:line="188" w:lineRule="exact"/>
        <w:rPr>
          <w:sz w:val="20"/>
          <w:szCs w:val="20"/>
          <w:color w:val="auto"/>
        </w:rPr>
      </w:pPr>
    </w:p>
    <w:p>
      <w:pPr>
        <w:ind w:left="1760"/>
        <w:spacing w:after="0"/>
        <w:tabs>
          <w:tab w:leader="none" w:pos="3920" w:val="left"/>
          <w:tab w:leader="none" w:pos="89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u w:val="single" w:color="auto"/>
          <w:color w:val="auto"/>
        </w:rPr>
        <w:t>No  Limit  on  Other  Compensation  Arrangements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Nothing  contained  in  this</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Agreement shall preclude the Company from adopting or continuing in effect other or additional compensation arrangements, and those arrangements may be either generally applicable or applicable only in specific cases.</w:t>
      </w:r>
    </w:p>
    <w:p>
      <w:pPr>
        <w:spacing w:after="0" w:line="185"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is or becomes or is deemed to be invalid, illegal, or unenforceable in any jurisdiction or would disqualify this Agreement or the Award under any applicable law, that provision shall be construed or deemed amended to conform to applicable law (or if that provision cannot be so construed or deemed amended without materially altering the purpose or intent of this Agreement and the Award, that provision shall be stricken as to that jurisdiction and the remainder of this Agreement and the Award shall remain in full force and effect).</w:t>
      </w:r>
    </w:p>
    <w:p>
      <w:pPr>
        <w:spacing w:after="0" w:line="179"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No Trust or Fund Created</w:t>
      </w:r>
      <w:r>
        <w:rPr>
          <w:rFonts w:ascii="Arial" w:cs="Arial" w:eastAsia="Arial" w:hAnsi="Arial"/>
          <w:sz w:val="22"/>
          <w:szCs w:val="22"/>
          <w:color w:val="auto"/>
        </w:rPr>
        <w:t>. Neither this Agreement nor the grant of the Award shall create or be construed to create a trust or separate fund of any kind or a fiduciary relationship between the Company and the Participant or any other person. The Deferred Stock Units subject to this Agreement represent only the Company’s unfunded and unsecured promise to issue Stock to the Participant in the future. To the extent that the Participant or any other person acquires a right to receive payments from the Company pursuant to this Agreement, that right shall be no greater than the right of any unsecured general creditor of the Company.</w:t>
      </w:r>
    </w:p>
    <w:p>
      <w:pPr>
        <w:spacing w:after="0" w:line="188"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Cancellation of Award</w:t>
      </w:r>
      <w:r>
        <w:rPr>
          <w:rFonts w:ascii="Arial" w:cs="Arial" w:eastAsia="Arial" w:hAnsi="Arial"/>
          <w:sz w:val="22"/>
          <w:szCs w:val="22"/>
          <w:color w:val="auto"/>
        </w:rPr>
        <w:t>. If any Deferred Stock Units subject to this Agreement are forfeited, then from and after such time, the person from whom such Deferred Stock Units are forfeited shall no longer have any rights to such Deferred Stock Units or the corresponding shares of Stock. Such Deferred Stock Units shall be deemed forfeited in accordance with the applicable provisions hereof.</w:t>
      </w:r>
    </w:p>
    <w:p>
      <w:pPr>
        <w:spacing w:after="0" w:line="185"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 xml:space="preserve">(g) </w:t>
      </w:r>
      <w:r>
        <w:rPr>
          <w:rFonts w:ascii="Arial" w:cs="Arial" w:eastAsia="Arial" w:hAnsi="Arial"/>
          <w:sz w:val="22"/>
          <w:szCs w:val="22"/>
          <w:u w:val="single" w:color="auto"/>
          <w:color w:val="auto"/>
        </w:rPr>
        <w:t>Participant Undertaking</w:t>
      </w:r>
      <w:r>
        <w:rPr>
          <w:rFonts w:ascii="Arial" w:cs="Arial" w:eastAsia="Arial" w:hAnsi="Arial"/>
          <w:sz w:val="22"/>
          <w:szCs w:val="22"/>
          <w:color w:val="auto"/>
        </w:rPr>
        <w:t>. The Participant hereby agrees to take whatever additional action and execute whatever additional documents the Company may deem necessary</w:t>
      </w:r>
    </w:p>
    <w:p>
      <w:pPr>
        <w:spacing w:after="0" w:line="38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6" w:name="page47"/>
    <w:bookmarkEnd w:id="46"/>
    <w:p>
      <w:pPr>
        <w:jc w:val="both"/>
        <w:ind w:right="20"/>
        <w:spacing w:after="0" w:line="251" w:lineRule="auto"/>
        <w:rPr>
          <w:sz w:val="20"/>
          <w:szCs w:val="20"/>
          <w:color w:val="auto"/>
        </w:rPr>
      </w:pPr>
      <w:r>
        <w:rPr>
          <w:rFonts w:ascii="Arial" w:cs="Arial" w:eastAsia="Arial" w:hAnsi="Arial"/>
          <w:sz w:val="22"/>
          <w:szCs w:val="22"/>
          <w:color w:val="auto"/>
        </w:rPr>
        <w:t>or advisable in order to carry out or effect one or more of the obligations or restrictions imposed on either the Participant or the shares of Stock deliverable pursuant to the provisions of this Agreement.</w:t>
      </w:r>
    </w:p>
    <w:p>
      <w:pPr>
        <w:spacing w:after="0" w:line="173"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auto"/>
        </w:rPr>
        <w:t>(h)</w:t>
      </w:r>
      <w:r>
        <w:rPr>
          <w:sz w:val="20"/>
          <w:szCs w:val="20"/>
          <w:color w:val="auto"/>
        </w:rPr>
        <w:tab/>
      </w:r>
      <w:r>
        <w:rPr>
          <w:rFonts w:ascii="Arial" w:cs="Arial" w:eastAsia="Arial" w:hAnsi="Arial"/>
          <w:sz w:val="19"/>
          <w:szCs w:val="19"/>
          <w:u w:val="single" w:color="auto"/>
          <w:color w:val="auto"/>
        </w:rPr>
        <w:t>Amendment, Modification, and Entire Agreement</w:t>
      </w:r>
      <w:r>
        <w:rPr>
          <w:rFonts w:ascii="Arial" w:cs="Arial" w:eastAsia="Arial" w:hAnsi="Arial"/>
          <w:sz w:val="19"/>
          <w:szCs w:val="19"/>
          <w:color w:val="auto"/>
        </w:rPr>
        <w:t>.  No provision of this Agreement</w:t>
      </w:r>
    </w:p>
    <w:p>
      <w:pPr>
        <w:spacing w:after="0" w:line="4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may be modified, waived, or discharged unless that waiver, modification, or discharge is agreed to in writing and signed by the Participant and the Committee. This Agreement constitutes the entire contract between the parties hereto with regard to the subject matter hereof. This Agreement is made pursuant to the provisions of the Plan and shall in all respects be construed in conformity with the terms of the Plan. In the event of a conflict between the Plan and this Agreement, the terms of the Plan shall govern. The Participant further acknowledges that as of the Grant Date, this Agreement and the Plan set forth the entire understanding between the Participant and the Company regarding the acquisition of Stock pursuant to this Award and supersede all prior oral and written agreements on that subject with the exception of awards from the Company previously granted and delivered to the Participant. No agreements or representations, oral or otherwise, express or implied, with respect to the subject matter hereof have been made by either party which are not set forth expressly in this Agreement.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Pr>
          <w:p>
            <w:pPr>
              <w:ind w:left="1760"/>
              <w:spacing w:after="0"/>
              <w:rPr>
                <w:sz w:val="20"/>
                <w:szCs w:val="20"/>
                <w:color w:val="auto"/>
              </w:rPr>
            </w:pPr>
            <w:r>
              <w:rPr>
                <w:rFonts w:ascii="Arial" w:cs="Arial" w:eastAsia="Arial" w:hAnsi="Arial"/>
                <w:sz w:val="22"/>
                <w:szCs w:val="22"/>
                <w:color w:val="auto"/>
              </w:rPr>
              <w:t>(i)</w:t>
            </w:r>
          </w:p>
        </w:tc>
        <w:tc>
          <w:tcPr>
            <w:tcW w:w="7500" w:type="dxa"/>
            <w:vAlign w:val="bottom"/>
            <w:gridSpan w:val="3"/>
          </w:tcPr>
          <w:p>
            <w:pPr>
              <w:spacing w:after="0"/>
              <w:rPr>
                <w:sz w:val="20"/>
                <w:szCs w:val="20"/>
                <w:color w:val="auto"/>
              </w:rPr>
            </w:pPr>
            <w:r>
              <w:rPr>
                <w:rFonts w:ascii="Arial" w:cs="Arial" w:eastAsia="Arial" w:hAnsi="Arial"/>
                <w:sz w:val="22"/>
                <w:szCs w:val="22"/>
                <w:color w:val="auto"/>
                <w:w w:val="90"/>
              </w:rPr>
              <w:t>Governing Law.  This Agreement shall be governed by, and construed in accordance</w:t>
            </w:r>
          </w:p>
        </w:tc>
      </w:tr>
      <w:tr>
        <w:trPr>
          <w:trHeight w:val="20"/>
        </w:trPr>
        <w:tc>
          <w:tcPr>
            <w:tcW w:w="3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274"/>
        </w:trPr>
        <w:tc>
          <w:tcPr>
            <w:tcW w:w="11420" w:type="dxa"/>
            <w:vAlign w:val="bottom"/>
            <w:gridSpan w:val="4"/>
          </w:tcPr>
          <w:p>
            <w:pPr>
              <w:spacing w:after="0"/>
              <w:rPr>
                <w:sz w:val="20"/>
                <w:szCs w:val="20"/>
                <w:color w:val="auto"/>
              </w:rPr>
            </w:pPr>
            <w:r>
              <w:rPr>
                <w:rFonts w:ascii="Arial" w:cs="Arial" w:eastAsia="Arial" w:hAnsi="Arial"/>
                <w:sz w:val="22"/>
                <w:szCs w:val="22"/>
                <w:color w:val="auto"/>
              </w:rPr>
              <w:t>with, the laws of the state of Delaware without regard to the conflict-of-laws rules thereof or of any other jurisdiction.</w:t>
            </w:r>
          </w:p>
        </w:tc>
      </w:tr>
      <w:tr>
        <w:trPr>
          <w:trHeight w:val="409"/>
        </w:trPr>
        <w:tc>
          <w:tcPr>
            <w:tcW w:w="3920" w:type="dxa"/>
            <w:vAlign w:val="bottom"/>
          </w:tcPr>
          <w:p>
            <w:pPr>
              <w:ind w:left="1760"/>
              <w:spacing w:after="0"/>
              <w:rPr>
                <w:sz w:val="20"/>
                <w:szCs w:val="20"/>
                <w:color w:val="auto"/>
              </w:rPr>
            </w:pPr>
            <w:r>
              <w:rPr>
                <w:rFonts w:ascii="Arial" w:cs="Arial" w:eastAsia="Arial" w:hAnsi="Arial"/>
                <w:sz w:val="22"/>
                <w:szCs w:val="22"/>
                <w:color w:val="auto"/>
              </w:rPr>
              <w:t>(j)</w:t>
            </w:r>
          </w:p>
        </w:tc>
        <w:tc>
          <w:tcPr>
            <w:tcW w:w="7500" w:type="dxa"/>
            <w:vAlign w:val="bottom"/>
            <w:gridSpan w:val="3"/>
          </w:tcPr>
          <w:p>
            <w:pPr>
              <w:spacing w:after="0"/>
              <w:rPr>
                <w:sz w:val="20"/>
                <w:szCs w:val="20"/>
                <w:color w:val="auto"/>
              </w:rPr>
            </w:pPr>
            <w:r>
              <w:rPr>
                <w:rFonts w:ascii="Arial" w:cs="Arial" w:eastAsia="Arial" w:hAnsi="Arial"/>
                <w:sz w:val="22"/>
                <w:szCs w:val="22"/>
                <w:color w:val="auto"/>
                <w:w w:val="98"/>
              </w:rPr>
              <w:t>Interpretation.  The Participant accepts this Award subject to all the terms and</w:t>
            </w:r>
          </w:p>
        </w:tc>
      </w:tr>
      <w:tr>
        <w:trPr>
          <w:trHeight w:val="20"/>
        </w:trPr>
        <w:tc>
          <w:tcPr>
            <w:tcW w:w="3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provisions of this Agreement and the terms and conditions of the Plan. The undersigned Participant hereby accepts as binding, conclusive, and final all decisions or interpretations of the Committee upon any questions arising under this Agreement.</w:t>
      </w:r>
    </w:p>
    <w:p>
      <w:pPr>
        <w:spacing w:after="0" w:line="105"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(k)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provisions of this Agreement shall inure to the benefit of, and be binding upon, the Company and its successors and assigns and upon the Participant, the Participant’s assigns and the legal representatives, heirs, and legatees of Participant’s estate, whether or not any such person shall have become a party to this Agreement and have agreed in writing to join herein and be bound by the terms hereof. The Company may assign its rights and obligations under this Agreement, including, but not limited to, the forfeiture provision of Section 3(e) hereof to any person or entity selected by the Committee.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1760"/>
              <w:spacing w:after="0"/>
              <w:rPr>
                <w:sz w:val="20"/>
                <w:szCs w:val="20"/>
                <w:color w:val="auto"/>
              </w:rPr>
            </w:pPr>
            <w:r>
              <w:rPr>
                <w:rFonts w:ascii="Arial" w:cs="Arial" w:eastAsia="Arial" w:hAnsi="Arial"/>
                <w:sz w:val="22"/>
                <w:szCs w:val="22"/>
                <w:color w:val="auto"/>
              </w:rPr>
              <w:t>(l)</w:t>
            </w:r>
          </w:p>
        </w:tc>
        <w:tc>
          <w:tcPr>
            <w:tcW w:w="8420" w:type="dxa"/>
            <w:vAlign w:val="bottom"/>
            <w:gridSpan w:val="5"/>
          </w:tcPr>
          <w:p>
            <w:pPr>
              <w:ind w:left="920"/>
              <w:spacing w:after="0"/>
              <w:rPr>
                <w:sz w:val="20"/>
                <w:szCs w:val="20"/>
                <w:color w:val="auto"/>
              </w:rPr>
            </w:pPr>
            <w:r>
              <w:rPr>
                <w:rFonts w:ascii="Arial" w:cs="Arial" w:eastAsia="Arial" w:hAnsi="Arial"/>
                <w:sz w:val="22"/>
                <w:szCs w:val="22"/>
                <w:color w:val="auto"/>
                <w:w w:val="90"/>
              </w:rPr>
              <w:t>Counterparts.  This Agreement may be executed in counterparts, each of which shall</w:t>
            </w:r>
          </w:p>
        </w:tc>
      </w:tr>
      <w:tr>
        <w:trPr>
          <w:trHeight w:val="20"/>
        </w:trPr>
        <w:tc>
          <w:tcPr>
            <w:tcW w:w="39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74"/>
        </w:trPr>
        <w:tc>
          <w:tcPr>
            <w:tcW w:w="11420" w:type="dxa"/>
            <w:vAlign w:val="bottom"/>
            <w:gridSpan w:val="6"/>
          </w:tcPr>
          <w:p>
            <w:pPr>
              <w:spacing w:after="0"/>
              <w:rPr>
                <w:sz w:val="20"/>
                <w:szCs w:val="20"/>
                <w:color w:val="auto"/>
              </w:rPr>
            </w:pPr>
            <w:r>
              <w:rPr>
                <w:rFonts w:ascii="Arial" w:cs="Arial" w:eastAsia="Arial" w:hAnsi="Arial"/>
                <w:sz w:val="22"/>
                <w:szCs w:val="22"/>
                <w:color w:val="auto"/>
              </w:rPr>
              <w:t>be deemed to be an original, but all of which together shall constitute one and the same instrument.</w:t>
            </w:r>
          </w:p>
        </w:tc>
      </w:tr>
      <w:tr>
        <w:trPr>
          <w:trHeight w:val="409"/>
        </w:trPr>
        <w:tc>
          <w:tcPr>
            <w:tcW w:w="3000" w:type="dxa"/>
            <w:vAlign w:val="bottom"/>
          </w:tcPr>
          <w:p>
            <w:pPr>
              <w:ind w:left="1760"/>
              <w:spacing w:after="0"/>
              <w:rPr>
                <w:sz w:val="20"/>
                <w:szCs w:val="20"/>
                <w:color w:val="auto"/>
              </w:rPr>
            </w:pPr>
            <w:r>
              <w:rPr>
                <w:rFonts w:ascii="Arial" w:cs="Arial" w:eastAsia="Arial" w:hAnsi="Arial"/>
                <w:sz w:val="22"/>
                <w:szCs w:val="22"/>
                <w:color w:val="auto"/>
              </w:rPr>
              <w:t>(m)</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
          </w:tcPr>
          <w:p>
            <w:pPr>
              <w:spacing w:after="0"/>
              <w:rPr>
                <w:sz w:val="20"/>
                <w:szCs w:val="20"/>
                <w:color w:val="auto"/>
              </w:rPr>
            </w:pPr>
            <w:r>
              <w:rPr>
                <w:rFonts w:ascii="Arial" w:cs="Arial" w:eastAsia="Arial" w:hAnsi="Arial"/>
                <w:sz w:val="22"/>
                <w:szCs w:val="22"/>
                <w:color w:val="auto"/>
                <w:w w:val="92"/>
              </w:rPr>
              <w:t>Headings.  Headings are given to the Sections and Subsections of this Agreement</w:t>
            </w:r>
          </w:p>
        </w:tc>
      </w:tr>
      <w:tr>
        <w:trPr>
          <w:trHeight w:val="20"/>
        </w:trPr>
        <w:tc>
          <w:tcPr>
            <w:tcW w:w="3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solely as a convenience to facilitate reference. The headings shall not be deemed in any way material or relevant to the construction or interpretation of this Agreement or any provision thereof.</w:t>
      </w:r>
    </w:p>
    <w:p>
      <w:pPr>
        <w:spacing w:after="0" w:line="173"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(n) </w:t>
      </w:r>
      <w:r>
        <w:rPr>
          <w:rFonts w:ascii="Arial" w:cs="Arial" w:eastAsia="Arial" w:hAnsi="Arial"/>
          <w:sz w:val="22"/>
          <w:szCs w:val="22"/>
          <w:u w:val="single" w:color="auto"/>
          <w:color w:val="auto"/>
        </w:rPr>
        <w:t>Non-Waiver of Breach</w:t>
      </w:r>
      <w:r>
        <w:rPr>
          <w:rFonts w:ascii="Arial" w:cs="Arial" w:eastAsia="Arial" w:hAnsi="Arial"/>
          <w:sz w:val="22"/>
          <w:szCs w:val="22"/>
          <w:color w:val="auto"/>
        </w:rPr>
        <w:t>. The waiver by any party hereto of the other party's prompt and complete performance, or breach or violation, of any term or provision of this Agreement shall be effected solely in a writing signed by such party, and shall not operate nor be</w:t>
      </w:r>
    </w:p>
    <w:p>
      <w:pPr>
        <w:spacing w:after="0" w:line="200" w:lineRule="exact"/>
        <w:rPr>
          <w:sz w:val="20"/>
          <w:szCs w:val="20"/>
          <w:color w:val="auto"/>
        </w:r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7" w:name="page48"/>
    <w:bookmarkEnd w:id="47"/>
    <w:p>
      <w:pPr>
        <w:jc w:val="both"/>
        <w:spacing w:after="0" w:line="297" w:lineRule="auto"/>
        <w:rPr>
          <w:sz w:val="20"/>
          <w:szCs w:val="20"/>
          <w:color w:val="auto"/>
        </w:rPr>
      </w:pPr>
      <w:r>
        <w:rPr>
          <w:rFonts w:ascii="Arial" w:cs="Arial" w:eastAsia="Arial" w:hAnsi="Arial"/>
          <w:sz w:val="19"/>
          <w:szCs w:val="19"/>
          <w:color w:val="auto"/>
        </w:rPr>
        <w:t>construed as a waiver of any subsequent breach or violation, and the waiver by any party hereto to exercise any right or remedy which he, she, or it may possess shall not operate nor be construed as the waiver of such right or remedy by such party, or as a bar to the exercise of such right or remedy by such party, upon the occurrence of any subsequent breach or violation.</w:t>
      </w:r>
    </w:p>
    <w:p>
      <w:pPr>
        <w:spacing w:after="0" w:line="134"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color w:val="auto"/>
        </w:rPr>
        <w:t xml:space="preserve">(o) </w:t>
      </w:r>
      <w:r>
        <w:rPr>
          <w:rFonts w:ascii="Arial" w:cs="Arial" w:eastAsia="Arial" w:hAnsi="Arial"/>
          <w:sz w:val="21"/>
          <w:szCs w:val="21"/>
          <w:u w:val="single" w:color="auto"/>
          <w:color w:val="auto"/>
        </w:rPr>
        <w:t>Complete Agreement</w:t>
      </w:r>
      <w:r>
        <w:rPr>
          <w:rFonts w:ascii="Arial" w:cs="Arial" w:eastAsia="Arial" w:hAnsi="Arial"/>
          <w:sz w:val="21"/>
          <w:szCs w:val="21"/>
          <w:color w:val="auto"/>
        </w:rPr>
        <w:t>.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 No provision of any employment, consulting, change in control, or other agreement, policy, practice, or arrangement, whether written or unwritten, as may be amended or modified from time to time, shall apply to or in any way modify or amend this Agreement.</w:t>
      </w:r>
    </w:p>
    <w:p>
      <w:pPr>
        <w:spacing w:after="0" w:line="17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Representations</w:t>
      </w:r>
      <w:r>
        <w:rPr>
          <w:rFonts w:ascii="Arial" w:cs="Arial" w:eastAsia="Arial" w:hAnsi="Arial"/>
          <w:sz w:val="22"/>
          <w:szCs w:val="22"/>
          <w:color w:val="auto"/>
        </w:rPr>
        <w:t>. The Participant acknowledges and agrees that the Participant has reviewed the Agreement in its entirety, has had an opportunity to obtain the advice of counsel prior to executing and accepting the Award, and fully understands all provisions of the Award.</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40" w:type="dxa"/>
            <w:vAlign w:val="bottom"/>
          </w:tcPr>
          <w:p>
            <w:pPr>
              <w:jc w:val="right"/>
              <w:ind w:right="952"/>
              <w:spacing w:after="0"/>
              <w:rPr>
                <w:sz w:val="20"/>
                <w:szCs w:val="20"/>
                <w:color w:val="auto"/>
              </w:rPr>
            </w:pPr>
            <w:r>
              <w:rPr>
                <w:rFonts w:ascii="Arial" w:cs="Arial" w:eastAsia="Arial" w:hAnsi="Arial"/>
                <w:sz w:val="22"/>
                <w:szCs w:val="22"/>
                <w:color w:val="auto"/>
                <w:w w:val="84"/>
              </w:rPr>
              <w:t>12.</w:t>
            </w:r>
          </w:p>
        </w:tc>
        <w:tc>
          <w:tcPr>
            <w:tcW w:w="9200" w:type="dxa"/>
            <w:vAlign w:val="bottom"/>
            <w:gridSpan w:val="5"/>
          </w:tcPr>
          <w:p>
            <w:pPr>
              <w:ind w:left="240"/>
              <w:spacing w:after="0"/>
              <w:rPr>
                <w:sz w:val="20"/>
                <w:szCs w:val="20"/>
                <w:color w:val="auto"/>
              </w:rPr>
            </w:pPr>
            <w:r>
              <w:rPr>
                <w:rFonts w:ascii="Arial" w:cs="Arial" w:eastAsia="Arial" w:hAnsi="Arial"/>
                <w:sz w:val="22"/>
                <w:szCs w:val="22"/>
                <w:color w:val="auto"/>
              </w:rPr>
              <w:t>Compliance with Section 409A.</w:t>
            </w:r>
          </w:p>
        </w:tc>
      </w:tr>
      <w:tr>
        <w:trPr>
          <w:trHeight w:val="20"/>
        </w:trPr>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439"/>
        </w:trPr>
        <w:tc>
          <w:tcPr>
            <w:tcW w:w="1340" w:type="dxa"/>
            <w:vAlign w:val="bottom"/>
          </w:tcPr>
          <w:p>
            <w:pPr>
              <w:jc w:val="right"/>
              <w:ind w:right="112"/>
              <w:spacing w:after="0"/>
              <w:rPr>
                <w:sz w:val="20"/>
                <w:szCs w:val="20"/>
                <w:color w:val="auto"/>
              </w:rPr>
            </w:pPr>
            <w:r>
              <w:rPr>
                <w:rFonts w:ascii="Arial" w:cs="Arial" w:eastAsia="Arial" w:hAnsi="Arial"/>
                <w:sz w:val="22"/>
                <w:szCs w:val="22"/>
                <w:color w:val="auto"/>
              </w:rPr>
              <w:t>(a)</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80" w:type="dxa"/>
            <w:vAlign w:val="bottom"/>
            <w:gridSpan w:val="3"/>
          </w:tcPr>
          <w:p>
            <w:pPr>
              <w:spacing w:after="0"/>
              <w:rPr>
                <w:sz w:val="20"/>
                <w:szCs w:val="20"/>
                <w:color w:val="auto"/>
              </w:rPr>
            </w:pPr>
            <w:r>
              <w:rPr>
                <w:rFonts w:ascii="Arial" w:cs="Arial" w:eastAsia="Arial" w:hAnsi="Arial"/>
                <w:sz w:val="22"/>
                <w:szCs w:val="22"/>
                <w:color w:val="auto"/>
                <w:w w:val="91"/>
              </w:rPr>
              <w:t>General. It is the intention of both the Company and the Participant that the benefits</w:t>
            </w:r>
          </w:p>
        </w:tc>
      </w:tr>
      <w:tr>
        <w:trPr>
          <w:trHeight w:val="20"/>
        </w:trPr>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and rights to which the Participant could be entitled pursuant to this Agreement be exempt from Section 409A, and to the extent not so exempt, to comply with Section 409A, and the provisions of this Agreement shall be construed in a manner consistent with that intention.</w:t>
      </w:r>
    </w:p>
    <w:p>
      <w:pPr>
        <w:spacing w:after="0" w:line="186"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No Representations as to Section 409A Compliance</w:t>
      </w:r>
      <w:r>
        <w:rPr>
          <w:rFonts w:ascii="Arial" w:cs="Arial" w:eastAsia="Arial" w:hAnsi="Arial"/>
          <w:sz w:val="19"/>
          <w:szCs w:val="19"/>
          <w:color w:val="auto"/>
        </w:rPr>
        <w:t>. Notwithstanding the foregoing,</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does not make any representation to the Participant that the Deferred Stock Units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spacing w:after="0" w:line="15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No Acceleration of Payments</w:t>
      </w:r>
      <w:r>
        <w:rPr>
          <w:rFonts w:ascii="Arial" w:cs="Arial" w:eastAsia="Arial" w:hAnsi="Arial"/>
          <w:sz w:val="22"/>
          <w:szCs w:val="22"/>
          <w:color w:val="auto"/>
        </w:rPr>
        <w:t>. Neither the Company nor the Participant,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5"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u w:val="single" w:color="auto"/>
          <w:color w:val="auto"/>
        </w:rPr>
        <w:t>Treatment of Each Installment as a Separate Payment</w:t>
      </w:r>
      <w:r>
        <w:rPr>
          <w:rFonts w:ascii="Arial" w:cs="Arial" w:eastAsia="Arial" w:hAnsi="Arial"/>
          <w:sz w:val="19"/>
          <w:szCs w:val="19"/>
          <w:color w:val="auto"/>
        </w:rPr>
        <w:t>. For purposes of applying the</w:t>
      </w:r>
    </w:p>
    <w:p>
      <w:pPr>
        <w:spacing w:after="0" w:line="4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provisions of Section 409A to this Agreement, each separately identified amount to which the Participant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39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8" w:name="page49"/>
    <w:bookmarkEnd w:id="48"/>
    <w:p>
      <w:pPr>
        <w:jc w:val="right"/>
        <w:ind w:right="2719"/>
        <w:spacing w:after="0"/>
        <w:rPr>
          <w:sz w:val="20"/>
          <w:szCs w:val="20"/>
          <w:color w:val="auto"/>
        </w:rPr>
      </w:pPr>
      <w:r>
        <w:rPr>
          <w:rFonts w:ascii="Arial" w:cs="Arial" w:eastAsia="Arial" w:hAnsi="Arial"/>
          <w:sz w:val="22"/>
          <w:szCs w:val="22"/>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39"/>
          </w:cols>
          <w:pgMar w:left="1120" w:top="334" w:right="1440" w:bottom="1440" w:gutter="0" w:footer="0" w:header="0"/>
        </w:sectPr>
      </w:pPr>
    </w:p>
    <w:bookmarkStart w:id="49" w:name="page50"/>
    <w:bookmarkEnd w:id="49"/>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on the day and year first indicated above.</w:t>
      </w:r>
    </w:p>
    <w:p>
      <w:pPr>
        <w:sectPr>
          <w:pgSz w:w="11900" w:h="16838" w:orient="portrait"/>
          <w:cols w:equalWidth="0" w:num="1">
            <w:col w:w="9760"/>
          </w:cols>
          <w:pgMar w:left="1120" w:top="544" w:right="1019" w:bottom="1440" w:gutter="0" w:footer="0" w:header="0"/>
        </w:sect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21"/>
          <w:szCs w:val="21"/>
          <w:b w:val="1"/>
          <w:bCs w:val="1"/>
          <w:color w:val="auto"/>
        </w:rPr>
        <w:t>SYNAPTICS INCORPORATED</w:t>
      </w:r>
    </w:p>
    <w:p>
      <w:pPr>
        <w:spacing w:after="0" w:line="200" w:lineRule="exact"/>
        <w:rPr>
          <w:sz w:val="20"/>
          <w:szCs w:val="20"/>
          <w:color w:val="auto"/>
        </w:rPr>
      </w:pPr>
    </w:p>
    <w:p>
      <w:pPr>
        <w:spacing w:after="0" w:line="24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Address:</w:t>
      </w:r>
    </w:p>
    <w:p>
      <w:pPr>
        <w:sectPr>
          <w:pgSz w:w="11900" w:h="16838" w:orient="portrait"/>
          <w:cols w:equalWidth="0" w:num="1">
            <w:col w:w="9760"/>
          </w:cols>
          <w:pgMar w:left="1120" w:top="544" w:right="101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10.24(f)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FOR FISCAL 2018 PSU AWARDS</w:t>
      </w: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YNAPTICS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NCORPORATED</w:t>
      </w:r>
    </w:p>
    <w:p>
      <w:pPr>
        <w:jc w:val="center"/>
        <w:spacing w:after="0"/>
        <w:rPr>
          <w:sz w:val="20"/>
          <w:szCs w:val="20"/>
          <w:color w:val="auto"/>
        </w:rPr>
      </w:pPr>
      <w:r>
        <w:rPr>
          <w:rFonts w:ascii="Arial" w:cs="Arial" w:eastAsia="Arial" w:hAnsi="Arial"/>
          <w:sz w:val="20"/>
          <w:szCs w:val="20"/>
          <w:b w:val="1"/>
          <w:bCs w:val="1"/>
          <w:color w:val="auto"/>
        </w:rPr>
        <w:t>2010 I</w:t>
      </w:r>
      <w:r>
        <w:rPr>
          <w:rFonts w:ascii="Arial" w:cs="Arial" w:eastAsia="Arial" w:hAnsi="Arial"/>
          <w:sz w:val="13"/>
          <w:szCs w:val="13"/>
          <w:b w:val="1"/>
          <w:bCs w:val="1"/>
          <w:color w:val="auto"/>
        </w:rPr>
        <w:t>NCENTIVE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OMPENSATION</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jc w:val="cente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ERFORMANCE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U</w:t>
      </w:r>
      <w:r>
        <w:rPr>
          <w:rFonts w:ascii="Arial" w:cs="Arial" w:eastAsia="Arial" w:hAnsi="Arial"/>
          <w:sz w:val="13"/>
          <w:szCs w:val="13"/>
          <w:b w:val="1"/>
          <w:bCs w:val="1"/>
          <w:color w:val="auto"/>
        </w:rPr>
        <w:t>NIT</w:t>
      </w:r>
      <w:r>
        <w:rPr>
          <w:rFonts w:ascii="Arial" w:cs="Arial" w:eastAsia="Arial" w:hAnsi="Arial"/>
          <w:sz w:val="20"/>
          <w:szCs w:val="20"/>
          <w:b w:val="1"/>
          <w:bCs w:val="1"/>
          <w:color w:val="auto"/>
        </w:rPr>
        <w:t xml:space="preserve"> G</w:t>
      </w:r>
      <w:r>
        <w:rPr>
          <w:rFonts w:ascii="Arial" w:cs="Arial" w:eastAsia="Arial" w:hAnsi="Arial"/>
          <w:sz w:val="13"/>
          <w:szCs w:val="13"/>
          <w:b w:val="1"/>
          <w:bCs w:val="1"/>
          <w:color w:val="auto"/>
        </w:rPr>
        <w:t>RANT</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OTICE</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Synaptics Incorporated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hereby awards to Participant the number of shares subject to the Performance Stock Units (“</w:t>
      </w:r>
      <w:r>
        <w:rPr>
          <w:rFonts w:ascii="Arial" w:cs="Arial" w:eastAsia="Arial" w:hAnsi="Arial"/>
          <w:sz w:val="20"/>
          <w:szCs w:val="20"/>
          <w:b w:val="1"/>
          <w:bCs w:val="1"/>
          <w:i w:val="1"/>
          <w:iCs w:val="1"/>
          <w:color w:val="auto"/>
        </w:rPr>
        <w:t>PSUs</w:t>
      </w:r>
      <w:r>
        <w:rPr>
          <w:rFonts w:ascii="Arial" w:cs="Arial" w:eastAsia="Arial" w:hAnsi="Arial"/>
          <w:sz w:val="20"/>
          <w:szCs w:val="20"/>
          <w:color w:val="auto"/>
        </w:rPr>
        <w:t>”) set forth below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under Sections 6(h) and 7 of the Company’s 2010 Incentive Compensation Plan, as amended and restated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The Award is subject to all of the terms and conditions as set forth in this Performance Stock Unit Grant Notice (the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the Plan and the Performance Stock Unit Award Agreement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all of which are attached hereto and incorporated in their entirety. Capitalized terms not explicitly defined in this Notice of Grant but defined in the Plan or the Award Agreement will have the same definitions as in the Plan or the Award Agreement. In the event of any conflict between the terms of the Award and the Plan, the terms of the Plan will control.</w:t>
      </w:r>
    </w:p>
    <w:p>
      <w:pPr>
        <w:sectPr>
          <w:pgSz w:w="11900" w:h="16838" w:orient="portrait"/>
          <w:cols w:equalWidth="0" w:num="1">
            <w:col w:w="11420"/>
          </w:cols>
          <w:pgMar w:left="240" w:top="112" w:right="239" w:bottom="1440" w:gutter="0" w:footer="0" w:header="0"/>
        </w:sectPr>
      </w:pPr>
    </w:p>
    <w:p>
      <w:pPr>
        <w:spacing w:after="0" w:line="12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Participant:</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Date of</w:t>
      </w:r>
    </w:p>
    <w:p>
      <w:pPr>
        <w:ind w:left="880"/>
        <w:spacing w:after="0"/>
        <w:rPr>
          <w:sz w:val="20"/>
          <w:szCs w:val="20"/>
          <w:color w:val="auto"/>
        </w:rPr>
      </w:pPr>
      <w:r>
        <w:rPr>
          <w:rFonts w:ascii="Arial" w:cs="Arial" w:eastAsia="Arial" w:hAnsi="Arial"/>
          <w:sz w:val="20"/>
          <w:szCs w:val="20"/>
          <w:b w:val="1"/>
          <w:bCs w:val="1"/>
          <w:color w:val="auto"/>
        </w:rPr>
        <w:t>Grant:</w:t>
      </w:r>
    </w:p>
    <w:p>
      <w:pPr>
        <w:ind w:left="880"/>
        <w:spacing w:after="0"/>
        <w:rPr>
          <w:sz w:val="20"/>
          <w:szCs w:val="20"/>
          <w:color w:val="auto"/>
        </w:rPr>
      </w:pPr>
      <w:r>
        <w:rPr>
          <w:rFonts w:ascii="Arial" w:cs="Arial" w:eastAsia="Arial" w:hAnsi="Arial"/>
          <w:sz w:val="20"/>
          <w:szCs w:val="20"/>
          <w:b w:val="1"/>
          <w:bCs w:val="1"/>
          <w:color w:val="auto"/>
        </w:rPr>
        <w:t>Target Number of</w:t>
      </w:r>
    </w:p>
    <w:p>
      <w:pPr>
        <w:ind w:left="880"/>
        <w:spacing w:after="0"/>
        <w:rPr>
          <w:sz w:val="20"/>
          <w:szCs w:val="20"/>
          <w:color w:val="auto"/>
        </w:rPr>
      </w:pPr>
      <w:r>
        <w:rPr>
          <w:rFonts w:ascii="Arial" w:cs="Arial" w:eastAsia="Arial" w:hAnsi="Arial"/>
          <w:sz w:val="20"/>
          <w:szCs w:val="20"/>
          <w:b w:val="1"/>
          <w:bCs w:val="1"/>
          <w:color w:val="auto"/>
        </w:rPr>
        <w:t>PSUs:</w:t>
      </w:r>
    </w:p>
    <w:p>
      <w:pPr>
        <w:ind w:left="880"/>
        <w:spacing w:after="0"/>
        <w:rPr>
          <w:sz w:val="20"/>
          <w:szCs w:val="20"/>
          <w:color w:val="auto"/>
        </w:rPr>
      </w:pPr>
      <w:r>
        <w:rPr>
          <w:rFonts w:ascii="Arial" w:cs="Arial" w:eastAsia="Arial" w:hAnsi="Arial"/>
          <w:sz w:val="18"/>
          <w:szCs w:val="18"/>
          <w:b w:val="1"/>
          <w:bCs w:val="1"/>
          <w:color w:val="auto"/>
        </w:rPr>
        <w:t>Maximum Number of PSUs: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Performance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200% of the Target Number of PSUs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35" w:lineRule="exact"/>
        <w:rPr>
          <w:sz w:val="20"/>
          <w:szCs w:val="20"/>
          <w:color w:val="auto"/>
        </w:rPr>
      </w:pPr>
    </w:p>
    <w:p>
      <w:pPr>
        <w:sectPr>
          <w:pgSz w:w="11900" w:h="16838" w:orient="portrait"/>
          <w:cols w:equalWidth="0" w:num="2">
            <w:col w:w="5920" w:space="720"/>
            <w:col w:w="4780"/>
          </w:cols>
          <w:pgMar w:left="240" w:top="112" w:right="239" w:bottom="1440" w:gutter="0" w:footer="0" w:header="0"/>
          <w:type w:val="continuous"/>
        </w:sectPr>
      </w:pPr>
    </w:p>
    <w:p>
      <w:pPr>
        <w:ind w:left="60"/>
        <w:spacing w:after="0"/>
        <w:tabs>
          <w:tab w:leader="none" w:pos="2220" w:val="left"/>
        </w:tabs>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The Award will be subject to performance- and service-based vesting conditions.</w:t>
      </w:r>
    </w:p>
    <w:p>
      <w:pPr>
        <w:spacing w:after="0" w:line="154" w:lineRule="exact"/>
        <w:rPr>
          <w:sz w:val="20"/>
          <w:szCs w:val="20"/>
          <w:color w:val="auto"/>
        </w:rPr>
      </w:pPr>
    </w:p>
    <w:p>
      <w:pPr>
        <w:ind w:left="2240"/>
        <w:spacing w:after="0" w:line="246" w:lineRule="auto"/>
        <w:rPr>
          <w:sz w:val="20"/>
          <w:szCs w:val="20"/>
          <w:color w:val="auto"/>
        </w:rPr>
      </w:pPr>
      <w:r>
        <w:rPr>
          <w:rFonts w:ascii="Arial" w:cs="Arial" w:eastAsia="Arial" w:hAnsi="Arial"/>
          <w:sz w:val="20"/>
          <w:szCs w:val="20"/>
          <w:i w:val="1"/>
          <w:iCs w:val="1"/>
          <w:color w:val="auto"/>
        </w:rPr>
        <w:t xml:space="preserve">Performance-Based Vesting Condition: </w:t>
      </w:r>
      <w:r>
        <w:rPr>
          <w:rFonts w:ascii="Arial" w:cs="Arial" w:eastAsia="Arial" w:hAnsi="Arial"/>
          <w:sz w:val="20"/>
          <w:szCs w:val="20"/>
          <w:color w:val="auto"/>
        </w:rPr>
        <w:t>The number of PSUs that satisfy the Performance-Based Vesting Condition</w:t>
      </w:r>
      <w:r>
        <w:rPr>
          <w:rFonts w:ascii="Arial" w:cs="Arial" w:eastAsia="Arial" w:hAnsi="Arial"/>
          <w:sz w:val="20"/>
          <w:szCs w:val="20"/>
          <w:i w:val="1"/>
          <w:iCs w:val="1"/>
          <w:color w:val="auto"/>
        </w:rPr>
        <w:t xml:space="preserve"> </w:t>
      </w:r>
      <w:r>
        <w:rPr>
          <w:rFonts w:ascii="Arial" w:cs="Arial" w:eastAsia="Arial" w:hAnsi="Arial"/>
          <w:sz w:val="20"/>
          <w:szCs w:val="20"/>
          <w:color w:val="auto"/>
        </w:rPr>
        <w:t>will be based on the Company’s achievement of certain levels of Non-GAAP Earnings Per Share during the Performance Period, as described on Exhibit A, and may range between 0% and 200% of the target number of PSUs set forth in this Notice of Grant and Exhibit A.</w:t>
      </w:r>
    </w:p>
    <w:p>
      <w:pPr>
        <w:spacing w:after="0" w:line="124" w:lineRule="exact"/>
        <w:rPr>
          <w:sz w:val="20"/>
          <w:szCs w:val="20"/>
          <w:color w:val="auto"/>
        </w:rPr>
      </w:pPr>
    </w:p>
    <w:p>
      <w:pPr>
        <w:ind w:left="2240" w:right="20"/>
        <w:spacing w:after="0" w:line="250" w:lineRule="auto"/>
        <w:rPr>
          <w:sz w:val="20"/>
          <w:szCs w:val="20"/>
          <w:color w:val="auto"/>
        </w:rPr>
      </w:pPr>
      <w:r>
        <w:rPr>
          <w:rFonts w:ascii="Arial" w:cs="Arial" w:eastAsia="Arial" w:hAnsi="Arial"/>
          <w:sz w:val="20"/>
          <w:szCs w:val="20"/>
          <w:i w:val="1"/>
          <w:iCs w:val="1"/>
          <w:color w:val="auto"/>
        </w:rPr>
        <w:t>Service-Based Vesting Condition</w:t>
      </w:r>
      <w:r>
        <w:rPr>
          <w:rFonts w:ascii="Arial" w:cs="Arial" w:eastAsia="Arial" w:hAnsi="Arial"/>
          <w:sz w:val="20"/>
          <w:szCs w:val="20"/>
          <w:color w:val="auto"/>
        </w:rPr>
        <w:t>: One-third of the PSUs that satisfy the Performance-Based Vesting Condition will</w:t>
      </w:r>
      <w:r>
        <w:rPr>
          <w:rFonts w:ascii="Arial" w:cs="Arial" w:eastAsia="Arial" w:hAnsi="Arial"/>
          <w:sz w:val="20"/>
          <w:szCs w:val="20"/>
          <w:i w:val="1"/>
          <w:iCs w:val="1"/>
          <w:color w:val="auto"/>
        </w:rPr>
        <w:t xml:space="preserve"> </w:t>
      </w:r>
      <w:r>
        <w:rPr>
          <w:rFonts w:ascii="Arial" w:cs="Arial" w:eastAsia="Arial" w:hAnsi="Arial"/>
          <w:sz w:val="20"/>
          <w:szCs w:val="20"/>
          <w:color w:val="auto"/>
        </w:rPr>
        <w:t>vest on each of_______________, _______________ and _______________, subject to the Participant’s Continuous Service on each vesting date.</w:t>
      </w:r>
    </w:p>
    <w:p>
      <w:pPr>
        <w:spacing w:after="0" w:line="194" w:lineRule="exact"/>
        <w:rPr>
          <w:sz w:val="20"/>
          <w:szCs w:val="20"/>
          <w:color w:val="auto"/>
        </w:rPr>
      </w:pPr>
    </w:p>
    <w:p>
      <w:pPr>
        <w:ind w:left="2200" w:right="40" w:hanging="2187"/>
        <w:spacing w:after="0" w:line="244" w:lineRule="auto"/>
        <w:tabs>
          <w:tab w:leader="none" w:pos="2180" w:val="left"/>
        </w:tabs>
        <w:rPr>
          <w:sz w:val="20"/>
          <w:szCs w:val="20"/>
          <w:color w:val="auto"/>
        </w:rPr>
      </w:pPr>
      <w:r>
        <w:rPr>
          <w:rFonts w:ascii="Arial" w:cs="Arial" w:eastAsia="Arial" w:hAnsi="Arial"/>
          <w:sz w:val="20"/>
          <w:szCs w:val="20"/>
          <w:b w:val="1"/>
          <w:bCs w:val="1"/>
          <w:color w:val="auto"/>
        </w:rPr>
        <w:t>Issuance Schedule:</w:t>
      </w:r>
      <w:r>
        <w:rPr>
          <w:sz w:val="20"/>
          <w:szCs w:val="20"/>
          <w:color w:val="auto"/>
        </w:rPr>
        <w:tab/>
      </w:r>
      <w:r>
        <w:rPr>
          <w:rFonts w:ascii="Arial" w:cs="Arial" w:eastAsia="Arial" w:hAnsi="Arial"/>
          <w:sz w:val="20"/>
          <w:szCs w:val="20"/>
          <w:color w:val="auto"/>
        </w:rPr>
        <w:t>Subject to any change on a capitalization adjustment pursuant to Section 10(c) of the Plan, one share of the Company’s common stock or the cash equivalent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will be issued for each PSU that satisfies both the performance- and service-based vesting schedules, with issuance occurring at the time set forth in the Award Agreement, but in all cases within the “short term deferral” period determined under Treasury Regulations Section 1.409A-1(b)(4).</w:t>
      </w:r>
    </w:p>
    <w:p>
      <w:pPr>
        <w:spacing w:after="0" w:line="200" w:lineRule="exact"/>
        <w:rPr>
          <w:sz w:val="20"/>
          <w:szCs w:val="20"/>
          <w:color w:val="auto"/>
        </w:rPr>
      </w:pP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Participant acknowledges receipt of, and understands and agrees to, this Notice of Grant,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Plan and the prospectus for the Plan. As of the Date of Grant, this Notice of Grant, the Award Agreement and the Plan set forth the entire understanding between Participant and the Company regarding the Award and supersede all prior oral and written agreements on the terms of the Award, with the exception, if applicable, of (i) the written employment agreement or offer letter agreement entered into between the Company and Participant specifying the terms that should govern this specific Award, or, if applicable instead, the severance benefit plan then in effect and applicable to Participant and (ii) any compensation recovery policy that is adopted by the Company or is otherwise required by applicable law. By accepting this Award, Participant consents to receive Plan documents by ele</w:t>
      </w:r>
      <w:r>
        <w:rPr>
          <w:rFonts w:ascii="Arial" w:cs="Arial" w:eastAsia="Arial" w:hAnsi="Arial"/>
          <w:sz w:val="18"/>
          <w:szCs w:val="18"/>
          <w:b w:val="1"/>
          <w:bCs w:val="1"/>
          <w:color w:val="auto"/>
        </w:rPr>
        <w:t>ctronic</w:t>
      </w:r>
      <w:r>
        <w:rPr>
          <w:rFonts w:ascii="Arial" w:cs="Arial" w:eastAsia="Arial" w:hAnsi="Arial"/>
          <w:sz w:val="18"/>
          <w:szCs w:val="18"/>
          <w:color w:val="auto"/>
        </w:rPr>
        <w:t xml:space="preserve">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56"/>
        </w:trPr>
        <w:tc>
          <w:tcPr>
            <w:tcW w:w="2040" w:type="dxa"/>
            <w:vAlign w:val="bottom"/>
          </w:tcPr>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YNAPTICS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NCORPORATED</w:t>
            </w:r>
          </w:p>
        </w:tc>
        <w:tc>
          <w:tcPr>
            <w:tcW w:w="9400" w:type="dxa"/>
            <w:vAlign w:val="bottom"/>
          </w:tcPr>
          <w:p>
            <w:pPr>
              <w:jc w:val="right"/>
              <w:ind w:right="3801"/>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ARTICIPANT</w:t>
            </w:r>
            <w:r>
              <w:rPr>
                <w:rFonts w:ascii="Arial" w:cs="Arial" w:eastAsia="Arial" w:hAnsi="Arial"/>
                <w:sz w:val="20"/>
                <w:szCs w:val="20"/>
                <w:b w:val="1"/>
                <w:bCs w:val="1"/>
                <w:color w:val="auto"/>
              </w:rPr>
              <w:t>:</w:t>
            </w:r>
          </w:p>
        </w:tc>
      </w:tr>
      <w:tr>
        <w:trPr>
          <w:trHeight w:val="554"/>
        </w:trPr>
        <w:tc>
          <w:tcPr>
            <w:tcW w:w="2040" w:type="dxa"/>
            <w:vAlign w:val="bottom"/>
          </w:tcPr>
          <w:p>
            <w:pPr>
              <w:spacing w:after="0"/>
              <w:rPr>
                <w:sz w:val="20"/>
                <w:szCs w:val="20"/>
                <w:color w:val="auto"/>
              </w:rPr>
            </w:pPr>
            <w:r>
              <w:rPr>
                <w:rFonts w:ascii="Arial" w:cs="Arial" w:eastAsia="Arial" w:hAnsi="Arial"/>
                <w:sz w:val="20"/>
                <w:szCs w:val="20"/>
                <w:color w:val="auto"/>
              </w:rPr>
              <w:t>By:</w:t>
            </w:r>
          </w:p>
        </w:tc>
        <w:tc>
          <w:tcPr>
            <w:tcW w:w="9400" w:type="dxa"/>
            <w:vAlign w:val="bottom"/>
          </w:tcPr>
          <w:p>
            <w:pPr>
              <w:spacing w:after="0"/>
              <w:rPr>
                <w:sz w:val="24"/>
                <w:szCs w:val="24"/>
                <w:color w:val="auto"/>
              </w:rPr>
            </w:pPr>
          </w:p>
        </w:tc>
      </w:tr>
      <w:tr>
        <w:trPr>
          <w:trHeight w:val="338"/>
        </w:trPr>
        <w:tc>
          <w:tcPr>
            <w:tcW w:w="2040" w:type="dxa"/>
            <w:vAlign w:val="bottom"/>
          </w:tcPr>
          <w:p>
            <w:pPr>
              <w:spacing w:after="0"/>
              <w:rPr>
                <w:sz w:val="20"/>
                <w:szCs w:val="20"/>
                <w:color w:val="auto"/>
              </w:rPr>
            </w:pPr>
            <w:r>
              <w:rPr>
                <w:rFonts w:ascii="Arial" w:cs="Arial" w:eastAsia="Arial" w:hAnsi="Arial"/>
                <w:sz w:val="20"/>
                <w:szCs w:val="20"/>
                <w:color w:val="auto"/>
              </w:rPr>
              <w:t>Title:</w:t>
            </w:r>
          </w:p>
        </w:tc>
        <w:tc>
          <w:tcPr>
            <w:tcW w:w="9400" w:type="dxa"/>
            <w:vAlign w:val="bottom"/>
          </w:tcPr>
          <w:p>
            <w:pPr>
              <w:jc w:val="right"/>
              <w:ind w:right="2001"/>
              <w:spacing w:after="0"/>
              <w:rPr>
                <w:sz w:val="20"/>
                <w:szCs w:val="20"/>
                <w:color w:val="auto"/>
              </w:rPr>
            </w:pPr>
            <w:r>
              <w:rPr>
                <w:rFonts w:ascii="Arial" w:cs="Arial" w:eastAsia="Arial" w:hAnsi="Arial"/>
                <w:sz w:val="20"/>
                <w:szCs w:val="20"/>
                <w:color w:val="auto"/>
              </w:rPr>
              <w:t>Date:</w:t>
            </w:r>
          </w:p>
        </w:tc>
      </w:tr>
      <w:tr>
        <w:trPr>
          <w:trHeight w:val="446"/>
        </w:trPr>
        <w:tc>
          <w:tcPr>
            <w:tcW w:w="2040" w:type="dxa"/>
            <w:vAlign w:val="bottom"/>
          </w:tcPr>
          <w:p>
            <w:pPr>
              <w:spacing w:after="0"/>
              <w:rPr>
                <w:sz w:val="20"/>
                <w:szCs w:val="20"/>
                <w:color w:val="auto"/>
              </w:rPr>
            </w:pPr>
            <w:r>
              <w:rPr>
                <w:rFonts w:ascii="Arial" w:cs="Arial" w:eastAsia="Arial" w:hAnsi="Arial"/>
                <w:sz w:val="20"/>
                <w:szCs w:val="20"/>
                <w:color w:val="auto"/>
              </w:rPr>
              <w:t>Date:</w:t>
            </w:r>
          </w:p>
        </w:tc>
        <w:tc>
          <w:tcPr>
            <w:tcW w:w="9400" w:type="dxa"/>
            <w:vAlign w:val="bottom"/>
          </w:tcPr>
          <w:p>
            <w:pPr>
              <w:spacing w:after="0"/>
              <w:rPr>
                <w:sz w:val="24"/>
                <w:szCs w:val="24"/>
                <w:color w:val="auto"/>
              </w:rPr>
            </w:pPr>
          </w:p>
        </w:tc>
      </w:tr>
      <w:tr>
        <w:trPr>
          <w:trHeight w:val="378"/>
        </w:trPr>
        <w:tc>
          <w:tcPr>
            <w:tcW w:w="2040" w:type="dxa"/>
            <w:vAlign w:val="bottom"/>
          </w:tcPr>
          <w:p>
            <w:pP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LSO</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ROVIDED</w:t>
            </w:r>
            <w:r>
              <w:rPr>
                <w:rFonts w:ascii="Arial" w:cs="Arial" w:eastAsia="Arial" w:hAnsi="Arial"/>
                <w:sz w:val="20"/>
                <w:szCs w:val="20"/>
                <w:color w:val="auto"/>
              </w:rPr>
              <w:t>:</w:t>
            </w:r>
          </w:p>
        </w:tc>
        <w:tc>
          <w:tcPr>
            <w:tcW w:w="9400" w:type="dxa"/>
            <w:vAlign w:val="bottom"/>
          </w:tcPr>
          <w:p>
            <w:pPr>
              <w:jc w:val="right"/>
              <w:ind w:right="6401"/>
              <w:spacing w:after="0"/>
              <w:rPr>
                <w:sz w:val="20"/>
                <w:szCs w:val="20"/>
                <w:color w:val="auto"/>
              </w:rPr>
            </w:pPr>
            <w:r>
              <w:rPr>
                <w:rFonts w:ascii="Arial" w:cs="Arial" w:eastAsia="Arial" w:hAnsi="Arial"/>
                <w:sz w:val="20"/>
                <w:szCs w:val="20"/>
                <w:color w:val="auto"/>
                <w:w w:val="89"/>
              </w:rPr>
              <w:t>Award Agreement, Plan, Prospectus</w:t>
            </w:r>
          </w:p>
        </w:tc>
      </w:tr>
      <w:tr>
        <w:trPr>
          <w:trHeight w:val="675"/>
        </w:trPr>
        <w:tc>
          <w:tcPr>
            <w:tcW w:w="2040" w:type="dxa"/>
            <w:vAlign w:val="bottom"/>
          </w:tcPr>
          <w:p>
            <w:pPr>
              <w:spacing w:after="0"/>
              <w:rPr>
                <w:sz w:val="24"/>
                <w:szCs w:val="24"/>
                <w:color w:val="auto"/>
              </w:rPr>
            </w:pPr>
          </w:p>
        </w:tc>
        <w:tc>
          <w:tcPr>
            <w:tcW w:w="9400" w:type="dxa"/>
            <w:vAlign w:val="bottom"/>
          </w:tcPr>
          <w:p>
            <w:pPr>
              <w:jc w:val="right"/>
              <w:ind w:right="5581"/>
              <w:spacing w:after="0"/>
              <w:rPr>
                <w:sz w:val="20"/>
                <w:szCs w:val="20"/>
                <w:color w:val="auto"/>
              </w:rPr>
            </w:pPr>
            <w:r>
              <w:rPr>
                <w:rFonts w:ascii="Arial" w:cs="Arial" w:eastAsia="Arial" w:hAnsi="Arial"/>
                <w:sz w:val="20"/>
                <w:szCs w:val="20"/>
                <w:color w:val="auto"/>
              </w:rPr>
              <w:t>2</w:t>
            </w:r>
          </w:p>
        </w:tc>
      </w:tr>
      <w:tr>
        <w:trPr>
          <w:trHeight w:val="327"/>
        </w:trPr>
        <w:tc>
          <w:tcPr>
            <w:tcW w:w="204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YNAPTICS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I</w:t>
      </w:r>
      <w:r>
        <w:rPr>
          <w:rFonts w:ascii="Arial" w:cs="Arial" w:eastAsia="Arial" w:hAnsi="Arial"/>
          <w:sz w:val="13"/>
          <w:szCs w:val="13"/>
          <w:b w:val="1"/>
          <w:bCs w:val="1"/>
          <w:color w:val="auto"/>
        </w:rPr>
        <w:t>NCENTIVE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OMPENSATION</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jc w:val="cente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ERFORMANCE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U</w:t>
      </w:r>
      <w:r>
        <w:rPr>
          <w:rFonts w:ascii="Arial" w:cs="Arial" w:eastAsia="Arial" w:hAnsi="Arial"/>
          <w:sz w:val="13"/>
          <w:szCs w:val="13"/>
          <w:b w:val="1"/>
          <w:bCs w:val="1"/>
          <w:color w:val="auto"/>
        </w:rPr>
        <w:t>NIT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00"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color w:val="auto"/>
        </w:rPr>
        <w:t>Synaptics Incorporated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Participant (as defined in the Notice of Grant) a Performance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PSUs</w:t>
      </w:r>
      <w:r>
        <w:rPr>
          <w:rFonts w:ascii="Arial" w:cs="Arial" w:eastAsia="Arial" w:hAnsi="Arial"/>
          <w:sz w:val="18"/>
          <w:szCs w:val="18"/>
          <w:color w:val="auto"/>
        </w:rPr>
        <w:t>”) pursuant to the provisions of the Company’s 2010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Award will entitle the Participant to shares of Stock from the Company, if the Participant meets the vesting and performance requirements described in the attached Notice of Grant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 and this Performance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details of the Award are as follows:</w:t>
      </w:r>
    </w:p>
    <w:p>
      <w:pPr>
        <w:spacing w:after="0" w:line="211"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22"/>
          <w:szCs w:val="22"/>
          <w:color w:val="auto"/>
        </w:rPr>
        <w:t xml:space="preserve">1. </w:t>
      </w:r>
      <w:r>
        <w:rPr>
          <w:rFonts w:ascii="Arial" w:cs="Arial" w:eastAsia="Arial" w:hAnsi="Arial"/>
          <w:sz w:val="19"/>
          <w:szCs w:val="19"/>
          <w:u w:val="single" w:color="auto"/>
          <w:color w:val="auto"/>
        </w:rPr>
        <w:t>Grant Pursuant to Plan</w:t>
      </w:r>
      <w:r>
        <w:rPr>
          <w:rFonts w:ascii="Arial" w:cs="Arial" w:eastAsia="Arial" w:hAnsi="Arial"/>
          <w:sz w:val="19"/>
          <w:szCs w:val="19"/>
          <w:color w:val="auto"/>
        </w:rPr>
        <w:t>. This Award is granted pursuant to the Plan, which is incorporated herein for all</w:t>
      </w:r>
      <w:r>
        <w:rPr>
          <w:rFonts w:ascii="Arial" w:cs="Arial" w:eastAsia="Arial" w:hAnsi="Arial"/>
          <w:sz w:val="22"/>
          <w:szCs w:val="22"/>
          <w:color w:val="auto"/>
        </w:rPr>
        <w:t xml:space="preserve"> </w:t>
      </w:r>
      <w:r>
        <w:rPr>
          <w:rFonts w:ascii="Arial" w:cs="Arial" w:eastAsia="Arial" w:hAnsi="Arial"/>
          <w:sz w:val="19"/>
          <w:szCs w:val="19"/>
          <w:color w:val="auto"/>
        </w:rPr>
        <w:t>purposes. The Participant hereby acknowledges receipt of a copy of the Plan and agrees to be bound by all of the terms and conditions of this Agreement and of the Plan. All capitalized terms in this Agreement shall have the meaning assigned to them in this Agreement, or, if such term is not defined in this Agreement, such term shall have the meaning assigned to it under the Plan.</w:t>
      </w:r>
    </w:p>
    <w:p>
      <w:pPr>
        <w:spacing w:after="0" w:line="175"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22"/>
          <w:szCs w:val="22"/>
          <w:color w:val="auto"/>
        </w:rPr>
        <w:t xml:space="preserve">2. </w:t>
      </w:r>
      <w:r>
        <w:rPr>
          <w:rFonts w:ascii="Arial" w:cs="Arial" w:eastAsia="Arial" w:hAnsi="Arial"/>
          <w:sz w:val="19"/>
          <w:szCs w:val="19"/>
          <w:u w:val="single" w:color="auto"/>
          <w:color w:val="auto"/>
        </w:rPr>
        <w:t>Performance Stock Unit Award</w:t>
      </w:r>
      <w:r>
        <w:rPr>
          <w:rFonts w:ascii="Arial" w:cs="Arial" w:eastAsia="Arial" w:hAnsi="Arial"/>
          <w:sz w:val="19"/>
          <w:szCs w:val="19"/>
          <w:color w:val="auto"/>
        </w:rPr>
        <w:t>. The Company granted to the Participant the target number of PSUs as of Date of</w:t>
      </w:r>
      <w:r>
        <w:rPr>
          <w:rFonts w:ascii="Arial" w:cs="Arial" w:eastAsia="Arial" w:hAnsi="Arial"/>
          <w:sz w:val="22"/>
          <w:szCs w:val="22"/>
          <w:color w:val="auto"/>
        </w:rPr>
        <w:t xml:space="preserve"> </w:t>
      </w:r>
      <w:r>
        <w:rPr>
          <w:rFonts w:ascii="Arial" w:cs="Arial" w:eastAsia="Arial" w:hAnsi="Arial"/>
          <w:sz w:val="19"/>
          <w:szCs w:val="19"/>
          <w:color w:val="auto"/>
        </w:rPr>
        <w:t>Grant, each as set forth in the Notice of Grant (the “</w:t>
      </w:r>
      <w:r>
        <w:rPr>
          <w:rFonts w:ascii="Arial" w:cs="Arial" w:eastAsia="Arial" w:hAnsi="Arial"/>
          <w:sz w:val="19"/>
          <w:szCs w:val="19"/>
          <w:b w:val="1"/>
          <w:bCs w:val="1"/>
          <w:i w:val="1"/>
          <w:iCs w:val="1"/>
          <w:color w:val="auto"/>
        </w:rPr>
        <w:t>Grant Date</w:t>
      </w:r>
      <w:r>
        <w:rPr>
          <w:rFonts w:ascii="Arial" w:cs="Arial" w:eastAsia="Arial" w:hAnsi="Arial"/>
          <w:sz w:val="19"/>
          <w:szCs w:val="19"/>
          <w:color w:val="auto"/>
        </w:rPr>
        <w:t>”). Such number of PSUs may be adjusted from time to time pursuant to Section 10(c) of the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jc w:val="right"/>
              <w:ind w:right="1034"/>
              <w:spacing w:after="0"/>
              <w:rPr>
                <w:sz w:val="20"/>
                <w:szCs w:val="20"/>
                <w:color w:val="auto"/>
              </w:rPr>
            </w:pPr>
            <w:r>
              <w:rPr>
                <w:rFonts w:ascii="Arial" w:cs="Arial" w:eastAsia="Arial" w:hAnsi="Arial"/>
                <w:sz w:val="22"/>
                <w:szCs w:val="22"/>
                <w:color w:val="auto"/>
              </w:rPr>
              <w:t>3.</w:t>
            </w:r>
          </w:p>
        </w:tc>
        <w:tc>
          <w:tcPr>
            <w:tcW w:w="160" w:type="dxa"/>
            <w:vAlign w:val="bottom"/>
          </w:tcPr>
          <w:p>
            <w:pPr>
              <w:spacing w:after="0"/>
              <w:rPr>
                <w:sz w:val="21"/>
                <w:szCs w:val="21"/>
                <w:color w:val="auto"/>
              </w:rPr>
            </w:pPr>
          </w:p>
        </w:tc>
        <w:tc>
          <w:tcPr>
            <w:tcW w:w="9080" w:type="dxa"/>
            <w:vAlign w:val="bottom"/>
            <w:gridSpan w:val="6"/>
          </w:tcPr>
          <w:p>
            <w:pPr>
              <w:jc w:val="right"/>
              <w:ind w:right="5000"/>
              <w:spacing w:after="0"/>
              <w:rPr>
                <w:sz w:val="20"/>
                <w:szCs w:val="20"/>
                <w:color w:val="auto"/>
              </w:rPr>
            </w:pPr>
            <w:r>
              <w:rPr>
                <w:rFonts w:ascii="Arial" w:cs="Arial" w:eastAsia="Arial" w:hAnsi="Arial"/>
                <w:sz w:val="20"/>
                <w:szCs w:val="20"/>
                <w:color w:val="auto"/>
                <w:w w:val="89"/>
              </w:rPr>
              <w:t>Vesting and Forfeiture of Performance Stock Units.</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1760"/>
              <w:spacing w:after="0"/>
              <w:rPr>
                <w:sz w:val="20"/>
                <w:szCs w:val="20"/>
                <w:color w:val="auto"/>
              </w:rPr>
            </w:pPr>
            <w:r>
              <w:rPr>
                <w:rFonts w:ascii="Arial" w:cs="Arial" w:eastAsia="Arial" w:hAnsi="Arial"/>
                <w:sz w:val="22"/>
                <w:szCs w:val="22"/>
                <w:color w:val="auto"/>
              </w:rPr>
              <w:t>(a)</w:t>
            </w: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80" w:type="dxa"/>
            <w:vAlign w:val="bottom"/>
            <w:gridSpan w:val="5"/>
          </w:tcPr>
          <w:p>
            <w:pPr>
              <w:jc w:val="right"/>
              <w:spacing w:after="0"/>
              <w:rPr>
                <w:sz w:val="20"/>
                <w:szCs w:val="20"/>
                <w:color w:val="auto"/>
              </w:rPr>
            </w:pPr>
            <w:r>
              <w:rPr>
                <w:rFonts w:ascii="Arial" w:cs="Arial" w:eastAsia="Arial" w:hAnsi="Arial"/>
                <w:sz w:val="20"/>
                <w:szCs w:val="20"/>
                <w:color w:val="auto"/>
                <w:w w:val="94"/>
              </w:rPr>
              <w:t>Vesting.  The Participant shall become vested in the PSUs in accordance with the vesting</w:t>
            </w:r>
          </w:p>
        </w:tc>
        <w:tc>
          <w:tcPr>
            <w:tcW w:w="0" w:type="dxa"/>
            <w:vAlign w:val="bottom"/>
          </w:tcPr>
          <w:p>
            <w:pPr>
              <w:spacing w:after="0"/>
              <w:rPr>
                <w:sz w:val="1"/>
                <w:szCs w:val="1"/>
                <w:color w:val="auto"/>
              </w:rPr>
            </w:pPr>
          </w:p>
        </w:tc>
      </w:tr>
      <w:tr>
        <w:trPr>
          <w:trHeight w:val="254"/>
        </w:trPr>
        <w:tc>
          <w:tcPr>
            <w:tcW w:w="3940" w:type="dxa"/>
            <w:vAlign w:val="bottom"/>
            <w:gridSpan w:val="3"/>
          </w:tcPr>
          <w:p>
            <w:pPr>
              <w:spacing w:after="0"/>
              <w:rPr>
                <w:sz w:val="20"/>
                <w:szCs w:val="20"/>
                <w:color w:val="auto"/>
              </w:rPr>
            </w:pPr>
            <w:r>
              <w:rPr>
                <w:rFonts w:ascii="Arial" w:cs="Arial" w:eastAsia="Arial" w:hAnsi="Arial"/>
                <w:sz w:val="20"/>
                <w:szCs w:val="20"/>
                <w:color w:val="auto"/>
              </w:rPr>
              <w:t>schedule in the Notice of Grant.</w:t>
            </w:r>
          </w:p>
        </w:tc>
        <w:tc>
          <w:tcPr>
            <w:tcW w:w="600" w:type="dxa"/>
            <w:vAlign w:val="bottom"/>
            <w:tcBorders>
              <w:top w:val="single" w:sz="8" w:color="auto"/>
            </w:tcBorders>
            <w:gridSpan w:val="2"/>
          </w:tcPr>
          <w:p>
            <w:pPr>
              <w:spacing w:after="0"/>
              <w:rPr>
                <w:sz w:val="22"/>
                <w:szCs w:val="22"/>
                <w:color w:val="auto"/>
              </w:rPr>
            </w:pPr>
          </w:p>
        </w:tc>
        <w:tc>
          <w:tcPr>
            <w:tcW w:w="68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180" w:type="dxa"/>
            <w:vAlign w:val="bottom"/>
          </w:tcPr>
          <w:p>
            <w:pPr>
              <w:ind w:left="1760"/>
              <w:spacing w:after="0"/>
              <w:rPr>
                <w:sz w:val="20"/>
                <w:szCs w:val="20"/>
                <w:color w:val="auto"/>
              </w:rPr>
            </w:pPr>
            <w:r>
              <w:rPr>
                <w:rFonts w:ascii="Arial" w:cs="Arial" w:eastAsia="Arial" w:hAnsi="Arial"/>
                <w:sz w:val="22"/>
                <w:szCs w:val="22"/>
                <w:color w:val="auto"/>
              </w:rPr>
              <w:t>(b)</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gridSpan w:val="4"/>
          </w:tcPr>
          <w:p>
            <w:pPr>
              <w:jc w:val="right"/>
              <w:spacing w:after="0"/>
              <w:rPr>
                <w:sz w:val="20"/>
                <w:szCs w:val="20"/>
                <w:color w:val="auto"/>
              </w:rPr>
            </w:pPr>
            <w:r>
              <w:rPr>
                <w:rFonts w:ascii="Arial" w:cs="Arial" w:eastAsia="Arial" w:hAnsi="Arial"/>
                <w:sz w:val="20"/>
                <w:szCs w:val="20"/>
                <w:color w:val="auto"/>
                <w:w w:val="97"/>
              </w:rPr>
              <w:t>Forfeiture.  The Participant shall forfeit any unvested PSUs, if any, in the event that the</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Participant’s Continuous Service is terminated for any reason, except as otherwise determined by the Plan Administrator in its sole discretion, which determination need not be uniform as to all Participants.</w:t>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00" w:type="dxa"/>
            <w:vAlign w:val="bottom"/>
          </w:tcPr>
          <w:p>
            <w:pPr>
              <w:jc w:val="right"/>
              <w:ind w:right="1032"/>
              <w:spacing w:after="0"/>
              <w:rPr>
                <w:sz w:val="20"/>
                <w:szCs w:val="20"/>
                <w:color w:val="auto"/>
              </w:rPr>
            </w:pPr>
            <w:r>
              <w:rPr>
                <w:rFonts w:ascii="Arial" w:cs="Arial" w:eastAsia="Arial" w:hAnsi="Arial"/>
                <w:sz w:val="22"/>
                <w:szCs w:val="22"/>
                <w:color w:val="auto"/>
                <w:w w:val="76"/>
              </w:rPr>
              <w:t>4.</w:t>
            </w:r>
          </w:p>
        </w:tc>
        <w:tc>
          <w:tcPr>
            <w:tcW w:w="160" w:type="dxa"/>
            <w:vAlign w:val="bottom"/>
          </w:tcPr>
          <w:p>
            <w:pPr>
              <w:spacing w:after="0"/>
              <w:rPr>
                <w:sz w:val="21"/>
                <w:szCs w:val="21"/>
                <w:color w:val="auto"/>
              </w:rPr>
            </w:pPr>
          </w:p>
        </w:tc>
        <w:tc>
          <w:tcPr>
            <w:tcW w:w="9080" w:type="dxa"/>
            <w:vAlign w:val="bottom"/>
            <w:gridSpan w:val="2"/>
          </w:tcPr>
          <w:p>
            <w:pPr>
              <w:spacing w:after="0"/>
              <w:rPr>
                <w:sz w:val="20"/>
                <w:szCs w:val="20"/>
                <w:color w:val="auto"/>
              </w:rPr>
            </w:pPr>
            <w:r>
              <w:rPr>
                <w:rFonts w:ascii="Arial" w:cs="Arial" w:eastAsia="Arial" w:hAnsi="Arial"/>
                <w:sz w:val="20"/>
                <w:szCs w:val="20"/>
                <w:color w:val="auto"/>
              </w:rPr>
              <w:t>Settlement of Performance Stock Unit Award.</w:t>
            </w: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72"/>
              <w:spacing w:after="0"/>
              <w:rPr>
                <w:sz w:val="20"/>
                <w:szCs w:val="20"/>
                <w:color w:val="auto"/>
              </w:rPr>
            </w:pPr>
            <w:r>
              <w:rPr>
                <w:rFonts w:ascii="Arial" w:cs="Arial" w:eastAsia="Arial" w:hAnsi="Arial"/>
                <w:sz w:val="22"/>
                <w:szCs w:val="22"/>
                <w:color w:val="auto"/>
              </w:rPr>
              <w:t>(a)</w:t>
            </w:r>
          </w:p>
        </w:tc>
        <w:tc>
          <w:tcPr>
            <w:tcW w:w="16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80" w:type="dxa"/>
            <w:vAlign w:val="bottom"/>
            <w:gridSpan w:val="2"/>
          </w:tcPr>
          <w:p>
            <w:pPr>
              <w:ind w:left="1600"/>
              <w:spacing w:after="0"/>
              <w:rPr>
                <w:sz w:val="20"/>
                <w:szCs w:val="20"/>
                <w:color w:val="auto"/>
              </w:rPr>
            </w:pPr>
            <w:r>
              <w:rPr>
                <w:rFonts w:ascii="Arial" w:cs="Arial" w:eastAsia="Arial" w:hAnsi="Arial"/>
                <w:sz w:val="20"/>
                <w:szCs w:val="20"/>
                <w:color w:val="auto"/>
                <w:w w:val="94"/>
              </w:rPr>
              <w:t>The Company, at its discretion, shall deliver to the Participant one share of Stock for each</w:t>
            </w:r>
          </w:p>
        </w:tc>
        <w:tc>
          <w:tcPr>
            <w:tcW w:w="0" w:type="dxa"/>
            <w:vAlign w:val="bottom"/>
          </w:tcPr>
          <w:p>
            <w:pPr>
              <w:spacing w:after="0"/>
              <w:rPr>
                <w:sz w:val="1"/>
                <w:szCs w:val="1"/>
                <w:color w:val="auto"/>
              </w:rPr>
            </w:pPr>
          </w:p>
        </w:tc>
      </w:tr>
    </w:tbl>
    <w:p>
      <w:pPr>
        <w:jc w:val="both"/>
        <w:ind w:right="20"/>
        <w:spacing w:after="0" w:line="244" w:lineRule="auto"/>
        <w:rPr>
          <w:sz w:val="20"/>
          <w:szCs w:val="20"/>
          <w:color w:val="auto"/>
        </w:rPr>
      </w:pPr>
      <w:r>
        <w:rPr>
          <w:rFonts w:ascii="Arial" w:cs="Arial" w:eastAsia="Arial" w:hAnsi="Arial"/>
          <w:sz w:val="20"/>
          <w:szCs w:val="20"/>
          <w:color w:val="auto"/>
        </w:rPr>
        <w:t>vested PSU subject of this Agreement or the cash equivalent. The PSUs shall vest pursuant to the performance- and time-based vesting conditions set forth in the Notice of Grant.</w:t>
      </w:r>
    </w:p>
    <w:p>
      <w:pPr>
        <w:spacing w:after="0" w:line="187"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22"/>
          <w:szCs w:val="22"/>
          <w:color w:val="auto"/>
        </w:rPr>
        <w:t xml:space="preserve">(b) </w:t>
      </w:r>
      <w:r>
        <w:rPr>
          <w:rFonts w:ascii="Arial" w:cs="Arial" w:eastAsia="Arial" w:hAnsi="Arial"/>
          <w:sz w:val="19"/>
          <w:szCs w:val="19"/>
          <w:color w:val="auto"/>
        </w:rPr>
        <w:t>Once shares of Stock or cash are delivered with respect to vested PSUs, such vested PSUs</w:t>
      </w:r>
      <w:r>
        <w:rPr>
          <w:rFonts w:ascii="Arial" w:cs="Arial" w:eastAsia="Arial" w:hAnsi="Arial"/>
          <w:sz w:val="22"/>
          <w:szCs w:val="22"/>
          <w:color w:val="auto"/>
        </w:rPr>
        <w:t xml:space="preserve"> </w:t>
      </w:r>
      <w:r>
        <w:rPr>
          <w:rFonts w:ascii="Arial" w:cs="Arial" w:eastAsia="Arial" w:hAnsi="Arial"/>
          <w:sz w:val="19"/>
          <w:szCs w:val="19"/>
          <w:color w:val="auto"/>
        </w:rPr>
        <w:t>shall terminate and the Company shall have no further obligation to deliver shares of Stock or cash for such vested PSUs.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3" w:name="page54"/>
    <w:bookmarkEnd w:id="53"/>
    <w:p>
      <w:pPr>
        <w:jc w:val="both"/>
        <w:ind w:firstLine="877"/>
        <w:spacing w:after="0" w:line="257" w:lineRule="auto"/>
        <w:rPr>
          <w:sz w:val="20"/>
          <w:szCs w:val="20"/>
          <w:color w:val="auto"/>
        </w:rPr>
      </w:pPr>
      <w:r>
        <w:rPr>
          <w:rFonts w:ascii="Arial" w:cs="Arial" w:eastAsia="Arial" w:hAnsi="Arial"/>
          <w:sz w:val="22"/>
          <w:szCs w:val="22"/>
          <w:color w:val="auto"/>
        </w:rPr>
        <w:t xml:space="preserve">5. </w:t>
      </w:r>
      <w:r>
        <w:rPr>
          <w:rFonts w:ascii="Arial" w:cs="Arial" w:eastAsia="Arial" w:hAnsi="Arial"/>
          <w:sz w:val="19"/>
          <w:szCs w:val="19"/>
          <w:u w:val="single" w:color="auto"/>
          <w:color w:val="auto"/>
        </w:rPr>
        <w:t>No Rights as Shareholder until Delivery</w:t>
      </w:r>
      <w:r>
        <w:rPr>
          <w:rFonts w:ascii="Arial" w:cs="Arial" w:eastAsia="Arial" w:hAnsi="Arial"/>
          <w:sz w:val="19"/>
          <w:szCs w:val="19"/>
          <w:color w:val="auto"/>
        </w:rPr>
        <w:t>. The Participant shall not have any rights, benefits, or entitlements with</w:t>
      </w:r>
      <w:r>
        <w:rPr>
          <w:rFonts w:ascii="Arial" w:cs="Arial" w:eastAsia="Arial" w:hAnsi="Arial"/>
          <w:sz w:val="22"/>
          <w:szCs w:val="22"/>
          <w:color w:val="auto"/>
        </w:rPr>
        <w:t xml:space="preserve"> </w:t>
      </w:r>
      <w:r>
        <w:rPr>
          <w:rFonts w:ascii="Arial" w:cs="Arial" w:eastAsia="Arial" w:hAnsi="Arial"/>
          <w:sz w:val="19"/>
          <w:szCs w:val="19"/>
          <w:color w:val="auto"/>
        </w:rPr>
        <w:t>respect to any Stock subject to this Agreement unless and until the Stock has been delivered to the Participant. On or after delivery of the Stock, the Participant shall have, with respect to the Stock delivered, all of the rights of an equity interest holder of the Company, including the right to vote the Stock and the right to receive all dividends, if any, as may be declared on the Stock from time to time.</w:t>
      </w:r>
    </w:p>
    <w:p>
      <w:pPr>
        <w:spacing w:after="0" w:line="14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00" w:type="dxa"/>
            <w:vAlign w:val="bottom"/>
          </w:tcPr>
          <w:p>
            <w:pPr>
              <w:jc w:val="right"/>
              <w:ind w:right="1032"/>
              <w:spacing w:after="0"/>
              <w:rPr>
                <w:sz w:val="20"/>
                <w:szCs w:val="20"/>
                <w:color w:val="auto"/>
              </w:rPr>
            </w:pPr>
            <w:r>
              <w:rPr>
                <w:rFonts w:ascii="Arial" w:cs="Arial" w:eastAsia="Arial" w:hAnsi="Arial"/>
                <w:sz w:val="22"/>
                <w:szCs w:val="22"/>
                <w:color w:val="auto"/>
                <w:w w:val="76"/>
              </w:rPr>
              <w:t>6.</w:t>
            </w:r>
          </w:p>
        </w:tc>
        <w:tc>
          <w:tcPr>
            <w:tcW w:w="160" w:type="dxa"/>
            <w:vAlign w:val="bottom"/>
          </w:tcPr>
          <w:p>
            <w:pPr>
              <w:spacing w:after="0"/>
              <w:rPr>
                <w:sz w:val="21"/>
                <w:szCs w:val="21"/>
                <w:color w:val="auto"/>
              </w:rPr>
            </w:pPr>
          </w:p>
        </w:tc>
        <w:tc>
          <w:tcPr>
            <w:tcW w:w="9060" w:type="dxa"/>
            <w:vAlign w:val="bottom"/>
            <w:gridSpan w:val="2"/>
          </w:tcPr>
          <w:p>
            <w:pPr>
              <w:spacing w:after="0"/>
              <w:rPr>
                <w:sz w:val="20"/>
                <w:szCs w:val="20"/>
                <w:color w:val="auto"/>
              </w:rPr>
            </w:pPr>
            <w:r>
              <w:rPr>
                <w:rFonts w:ascii="Arial" w:cs="Arial" w:eastAsia="Arial" w:hAnsi="Arial"/>
                <w:sz w:val="20"/>
                <w:szCs w:val="20"/>
                <w:color w:val="auto"/>
              </w:rPr>
              <w:t>Adjustments in Case of a Change in Control.</w:t>
            </w: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72"/>
              <w:spacing w:after="0"/>
              <w:rPr>
                <w:sz w:val="20"/>
                <w:szCs w:val="20"/>
                <w:color w:val="auto"/>
              </w:rPr>
            </w:pPr>
            <w:r>
              <w:rPr>
                <w:rFonts w:ascii="Arial" w:cs="Arial" w:eastAsia="Arial" w:hAnsi="Arial"/>
                <w:sz w:val="22"/>
                <w:szCs w:val="22"/>
                <w:color w:val="auto"/>
              </w:rPr>
              <w:t>(a)</w:t>
            </w:r>
          </w:p>
        </w:tc>
        <w:tc>
          <w:tcPr>
            <w:tcW w:w="16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60" w:type="dxa"/>
            <w:vAlign w:val="bottom"/>
            <w:gridSpan w:val="2"/>
          </w:tcPr>
          <w:p>
            <w:pPr>
              <w:ind w:left="1600"/>
              <w:spacing w:after="0"/>
              <w:rPr>
                <w:sz w:val="20"/>
                <w:szCs w:val="20"/>
                <w:color w:val="auto"/>
              </w:rPr>
            </w:pPr>
            <w:r>
              <w:rPr>
                <w:rFonts w:ascii="Arial" w:cs="Arial" w:eastAsia="Arial" w:hAnsi="Arial"/>
                <w:sz w:val="20"/>
                <w:szCs w:val="20"/>
                <w:color w:val="auto"/>
                <w:w w:val="89"/>
              </w:rPr>
              <w:t>In the event that during the Participant's Continuous Service, a Change in Control occurs prior</w:t>
            </w:r>
          </w:p>
        </w:tc>
        <w:tc>
          <w:tcPr>
            <w:tcW w:w="0" w:type="dxa"/>
            <w:vAlign w:val="bottom"/>
          </w:tcPr>
          <w:p>
            <w:pPr>
              <w:spacing w:after="0"/>
              <w:rPr>
                <w:sz w:val="1"/>
                <w:szCs w:val="1"/>
                <w:color w:val="auto"/>
              </w:rPr>
            </w:pPr>
          </w:p>
        </w:tc>
      </w:tr>
    </w:tbl>
    <w:p>
      <w:pPr>
        <w:jc w:val="both"/>
        <w:spacing w:after="0" w:line="241" w:lineRule="auto"/>
        <w:rPr>
          <w:sz w:val="20"/>
          <w:szCs w:val="20"/>
          <w:color w:val="auto"/>
        </w:rPr>
      </w:pPr>
      <w:r>
        <w:rPr>
          <w:rFonts w:ascii="Arial" w:cs="Arial" w:eastAsia="Arial" w:hAnsi="Arial"/>
          <w:sz w:val="20"/>
          <w:szCs w:val="20"/>
          <w:color w:val="auto"/>
        </w:rPr>
        <w:t>to the last day of a Performance Period, the target number of PSUs shall be deemed to have satisfied the performance-based vesting condition set forth in the Grant Notice, and the Performance Period shall be deemed completed, as of immediately prior to the closing of the Change in Control. The target number of PSUs shall remain outstanding and will vest thereafter pursuant to the service-based vesting schedule set forth on the Grant Notice.</w:t>
      </w:r>
    </w:p>
    <w:p>
      <w:pPr>
        <w:spacing w:after="0" w:line="190"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21"/>
          <w:szCs w:val="21"/>
          <w:color w:val="auto"/>
        </w:rPr>
        <w:t xml:space="preserve">(b) </w:t>
      </w:r>
      <w:r>
        <w:rPr>
          <w:rFonts w:ascii="Arial" w:cs="Arial" w:eastAsia="Arial" w:hAnsi="Arial"/>
          <w:sz w:val="18"/>
          <w:szCs w:val="18"/>
          <w:color w:val="auto"/>
        </w:rPr>
        <w:t>The successor or acquiring entity in a Change in Control (or an affiliate thereof) may, with the</w:t>
      </w:r>
      <w:r>
        <w:rPr>
          <w:rFonts w:ascii="Arial" w:cs="Arial" w:eastAsia="Arial" w:hAnsi="Arial"/>
          <w:sz w:val="21"/>
          <w:szCs w:val="21"/>
          <w:color w:val="auto"/>
        </w:rPr>
        <w:t xml:space="preserve"> </w:t>
      </w:r>
      <w:r>
        <w:rPr>
          <w:rFonts w:ascii="Arial" w:cs="Arial" w:eastAsia="Arial" w:hAnsi="Arial"/>
          <w:sz w:val="18"/>
          <w:szCs w:val="18"/>
          <w:color w:val="auto"/>
        </w:rPr>
        <w:t>consent of the Committee, assume the earned PSUs or substitute an equivalent equity or cash award or right (including an award or right that is based on the per share consideration payable to stockholders of the Company in such Change in Control). If the successor or acquiring entity or an affiliate thereof does not cause such an assumption or substitution, then the earned PSUs shall become fully vested, and all applicable restrictions, deferrals of settlement or forfeiture provisions shall lapse, effective as of and contingent on the consummation of the Change in Control. Immediately prior to and contingent on the consummation of the Change in Control, the Company shall deliver shares of Stock in respect of the vested PSUs (including PSUs that accelerate as provided in the immediately preceding sentence) as of the date of the consummation of such Change in Control. In addition, the transaction agreement for such Change in Control may provide for the settlement of a vested PSU through a payment equal to the per share consideration payable to stockholders of the Company in such Change in Control.</w:t>
      </w:r>
    </w:p>
    <w:p>
      <w:pPr>
        <w:spacing w:after="0" w:line="140"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00" w:type="dxa"/>
            <w:vAlign w:val="bottom"/>
          </w:tcPr>
          <w:p>
            <w:pPr>
              <w:jc w:val="right"/>
              <w:ind w:right="1032"/>
              <w:spacing w:after="0"/>
              <w:rPr>
                <w:sz w:val="20"/>
                <w:szCs w:val="20"/>
                <w:color w:val="auto"/>
              </w:rPr>
            </w:pPr>
            <w:r>
              <w:rPr>
                <w:rFonts w:ascii="Arial" w:cs="Arial" w:eastAsia="Arial" w:hAnsi="Arial"/>
                <w:sz w:val="22"/>
                <w:szCs w:val="22"/>
                <w:color w:val="auto"/>
                <w:w w:val="76"/>
              </w:rPr>
              <w:t>7.</w:t>
            </w:r>
          </w:p>
        </w:tc>
        <w:tc>
          <w:tcPr>
            <w:tcW w:w="9240" w:type="dxa"/>
            <w:vAlign w:val="bottom"/>
            <w:gridSpan w:val="5"/>
          </w:tcPr>
          <w:p>
            <w:pPr>
              <w:ind w:left="160"/>
              <w:spacing w:after="0"/>
              <w:rPr>
                <w:sz w:val="20"/>
                <w:szCs w:val="20"/>
                <w:color w:val="auto"/>
              </w:rPr>
            </w:pPr>
            <w:r>
              <w:rPr>
                <w:rFonts w:ascii="Arial" w:cs="Arial" w:eastAsia="Arial" w:hAnsi="Arial"/>
                <w:sz w:val="20"/>
                <w:szCs w:val="20"/>
                <w:color w:val="auto"/>
              </w:rPr>
              <w:t>Tax Provisions.</w:t>
            </w:r>
          </w:p>
        </w:tc>
      </w:tr>
      <w:tr>
        <w:trPr>
          <w:trHeight w:val="439"/>
        </w:trPr>
        <w:tc>
          <w:tcPr>
            <w:tcW w:w="1300" w:type="dxa"/>
            <w:vAlign w:val="bottom"/>
          </w:tcPr>
          <w:p>
            <w:pPr>
              <w:jc w:val="right"/>
              <w:ind w:right="72"/>
              <w:spacing w:after="0"/>
              <w:rPr>
                <w:sz w:val="20"/>
                <w:szCs w:val="20"/>
                <w:color w:val="auto"/>
              </w:rPr>
            </w:pPr>
            <w:r>
              <w:rPr>
                <w:rFonts w:ascii="Arial" w:cs="Arial" w:eastAsia="Arial" w:hAnsi="Arial"/>
                <w:sz w:val="22"/>
                <w:szCs w:val="22"/>
                <w:color w:val="auto"/>
              </w:rPr>
              <w:t>(a)</w:t>
            </w:r>
          </w:p>
        </w:tc>
        <w:tc>
          <w:tcPr>
            <w:tcW w:w="16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0"/>
                <w:szCs w:val="20"/>
                <w:color w:val="auto"/>
                <w:w w:val="91"/>
              </w:rPr>
              <w:t>Tax Consequences. The Participant has reviewed with the Participant’s own tax advisors the</w:t>
            </w: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federal, state, local, and foreign 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any tax liability that may arise as a result of the transactions contemplated by this Agreement.</w:t>
      </w:r>
    </w:p>
    <w:p>
      <w:pPr>
        <w:spacing w:after="0" w:line="187"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22"/>
          <w:szCs w:val="22"/>
          <w:color w:val="auto"/>
        </w:rPr>
        <w:t xml:space="preserve">(b) </w:t>
      </w:r>
      <w:r>
        <w:rPr>
          <w:rFonts w:ascii="Arial" w:cs="Arial" w:eastAsia="Arial" w:hAnsi="Arial"/>
          <w:sz w:val="19"/>
          <w:szCs w:val="19"/>
          <w:u w:val="single" w:color="auto"/>
          <w:color w:val="auto"/>
        </w:rPr>
        <w:t>Withholding Obligations</w:t>
      </w:r>
      <w:r>
        <w:rPr>
          <w:rFonts w:ascii="Arial" w:cs="Arial" w:eastAsia="Arial" w:hAnsi="Arial"/>
          <w:sz w:val="19"/>
          <w:szCs w:val="19"/>
          <w:color w:val="auto"/>
        </w:rPr>
        <w:t>. At the time the Award is granted, or at any time thereafter as</w:t>
      </w:r>
      <w:r>
        <w:rPr>
          <w:rFonts w:ascii="Arial" w:cs="Arial" w:eastAsia="Arial" w:hAnsi="Arial"/>
          <w:sz w:val="22"/>
          <w:szCs w:val="22"/>
          <w:color w:val="auto"/>
        </w:rPr>
        <w:t xml:space="preserve"> </w:t>
      </w:r>
      <w:r>
        <w:rPr>
          <w:rFonts w:ascii="Arial" w:cs="Arial" w:eastAsia="Arial" w:hAnsi="Arial"/>
          <w:sz w:val="19"/>
          <w:szCs w:val="19"/>
          <w:color w:val="auto"/>
        </w:rPr>
        <w:t>requested by the Company, the Participant hereby authorizes withholding from payroll and any other amounts payable to the Participant, including the shares of Stock deliverable pursuant to this Award, and otherwise agrees to make adequate provision for, any sums required to satisfy the federal, state, local, and foreign tax withholding obligations of the Company or a Related Entity, if any, which arise in connection with the Award.</w:t>
      </w:r>
    </w:p>
    <w:p>
      <w:pPr>
        <w:spacing w:after="0" w:line="180"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color w:val="auto"/>
        </w:rPr>
        <w:t xml:space="preserve">(c) </w:t>
      </w:r>
      <w:r>
        <w:rPr>
          <w:rFonts w:ascii="Arial" w:cs="Arial" w:eastAsia="Arial" w:hAnsi="Arial"/>
          <w:sz w:val="19"/>
          <w:szCs w:val="19"/>
          <w:color w:val="auto"/>
        </w:rPr>
        <w:t>The Company, in compliance with any applicable legal conditions or restrictions, shall</w:t>
      </w:r>
      <w:r>
        <w:rPr>
          <w:rFonts w:ascii="Arial" w:cs="Arial" w:eastAsia="Arial" w:hAnsi="Arial"/>
          <w:sz w:val="22"/>
          <w:szCs w:val="22"/>
          <w:color w:val="auto"/>
        </w:rPr>
        <w:t xml:space="preserve"> </w:t>
      </w:r>
      <w:r>
        <w:rPr>
          <w:rFonts w:ascii="Arial" w:cs="Arial" w:eastAsia="Arial" w:hAnsi="Arial"/>
          <w:sz w:val="19"/>
          <w:szCs w:val="19"/>
          <w:color w:val="auto"/>
        </w:rPr>
        <w:t>withhold from fully vested shares of Stock otherwise deliverable to the Participant upon the vesting of the Award a number of whole shares of Stock having a Fair Market Value, as determined by the Company as of the date the Participant recognizes income with respect to those shares of Stock, not in excess of the amount of tax required to be withheld by law (or such lower amount as may be necessary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4" w:name="page55"/>
    <w:bookmarkEnd w:id="54"/>
    <w:p>
      <w:pPr>
        <w:jc w:val="both"/>
        <w:ind w:right="20"/>
        <w:spacing w:after="0" w:line="260" w:lineRule="auto"/>
        <w:rPr>
          <w:sz w:val="20"/>
          <w:szCs w:val="20"/>
          <w:color w:val="auto"/>
        </w:rPr>
      </w:pPr>
      <w:r>
        <w:rPr>
          <w:rFonts w:ascii="Arial" w:cs="Arial" w:eastAsia="Arial" w:hAnsi="Arial"/>
          <w:sz w:val="20"/>
          <w:szCs w:val="20"/>
          <w:color w:val="auto"/>
        </w:rPr>
        <w:t>avoid adverse financial accounting treatment). Any adverse consequences to the Participant arising in connection with such Stock withholding procedure shall be the Participant’s sole responsibility.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ind w:left="1760"/>
              <w:spacing w:after="0"/>
              <w:rPr>
                <w:sz w:val="20"/>
                <w:szCs w:val="20"/>
                <w:color w:val="auto"/>
              </w:rPr>
            </w:pPr>
            <w:r>
              <w:rPr>
                <w:rFonts w:ascii="Arial" w:cs="Arial" w:eastAsia="Arial" w:hAnsi="Arial"/>
                <w:sz w:val="22"/>
                <w:szCs w:val="22"/>
                <w:color w:val="auto"/>
              </w:rPr>
              <w:t>(d)</w:t>
            </w:r>
          </w:p>
        </w:tc>
        <w:tc>
          <w:tcPr>
            <w:tcW w:w="7480" w:type="dxa"/>
            <w:vAlign w:val="bottom"/>
            <w:gridSpan w:val="2"/>
          </w:tcPr>
          <w:p>
            <w:pPr>
              <w:ind w:left="20"/>
              <w:spacing w:after="0"/>
              <w:rPr>
                <w:sz w:val="20"/>
                <w:szCs w:val="20"/>
                <w:color w:val="auto"/>
              </w:rPr>
            </w:pPr>
            <w:r>
              <w:rPr>
                <w:rFonts w:ascii="Arial" w:cs="Arial" w:eastAsia="Arial" w:hAnsi="Arial"/>
                <w:sz w:val="20"/>
                <w:szCs w:val="20"/>
                <w:color w:val="auto"/>
                <w:w w:val="90"/>
              </w:rPr>
              <w:t>Unless the tax withholding obligations of the Company or any Related Entity are satisfied, the</w:t>
            </w:r>
          </w:p>
        </w:tc>
      </w:tr>
      <w:tr>
        <w:trPr>
          <w:trHeight w:val="250"/>
        </w:trPr>
        <w:tc>
          <w:tcPr>
            <w:tcW w:w="11420" w:type="dxa"/>
            <w:vAlign w:val="bottom"/>
            <w:gridSpan w:val="3"/>
          </w:tcPr>
          <w:p>
            <w:pPr>
              <w:spacing w:after="0"/>
              <w:rPr>
                <w:sz w:val="20"/>
                <w:szCs w:val="20"/>
                <w:color w:val="auto"/>
              </w:rPr>
            </w:pPr>
            <w:r>
              <w:rPr>
                <w:rFonts w:ascii="Arial" w:cs="Arial" w:eastAsia="Arial" w:hAnsi="Arial"/>
                <w:sz w:val="20"/>
                <w:szCs w:val="20"/>
                <w:color w:val="auto"/>
              </w:rPr>
              <w:t>Company shall have no obligation to issue a certificate for such shares of Stock.</w:t>
            </w:r>
          </w:p>
        </w:tc>
      </w:tr>
      <w:tr>
        <w:trPr>
          <w:trHeight w:val="415"/>
        </w:trPr>
        <w:tc>
          <w:tcPr>
            <w:tcW w:w="3940" w:type="dxa"/>
            <w:vAlign w:val="bottom"/>
          </w:tcPr>
          <w:p>
            <w:pPr>
              <w:ind w:left="1760"/>
              <w:spacing w:after="0"/>
              <w:rPr>
                <w:sz w:val="20"/>
                <w:szCs w:val="20"/>
                <w:color w:val="auto"/>
              </w:rPr>
            </w:pPr>
            <w:r>
              <w:rPr>
                <w:rFonts w:ascii="Arial" w:cs="Arial" w:eastAsia="Arial" w:hAnsi="Arial"/>
                <w:sz w:val="22"/>
                <w:szCs w:val="22"/>
                <w:color w:val="auto"/>
              </w:rPr>
              <w:t>(e)</w:t>
            </w:r>
          </w:p>
        </w:tc>
        <w:tc>
          <w:tcPr>
            <w:tcW w:w="7480" w:type="dxa"/>
            <w:vAlign w:val="bottom"/>
            <w:gridSpan w:val="2"/>
          </w:tcPr>
          <w:p>
            <w:pPr>
              <w:spacing w:after="0"/>
              <w:rPr>
                <w:sz w:val="20"/>
                <w:szCs w:val="20"/>
                <w:color w:val="auto"/>
              </w:rPr>
            </w:pPr>
            <w:r>
              <w:rPr>
                <w:rFonts w:ascii="Arial" w:cs="Arial" w:eastAsia="Arial" w:hAnsi="Arial"/>
                <w:sz w:val="20"/>
                <w:szCs w:val="20"/>
                <w:color w:val="auto"/>
                <w:w w:val="99"/>
              </w:rPr>
              <w:t>Section 409A. This Award is intended to be exempt from Section 409A of the Internal</w:t>
            </w:r>
          </w:p>
        </w:tc>
      </w:tr>
      <w:tr>
        <w:trPr>
          <w:trHeight w:val="20"/>
        </w:trPr>
        <w:tc>
          <w:tcPr>
            <w:tcW w:w="3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Revenue Code of 1986, as amended, and the Treasury Regulations and other guidance promulgated or issued thereunder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409A</w:t>
      </w:r>
      <w:r>
        <w:rPr>
          <w:rFonts w:ascii="Arial" w:cs="Arial" w:eastAsia="Arial" w:hAnsi="Arial"/>
          <w:sz w:val="19"/>
          <w:szCs w:val="19"/>
          <w:color w:val="auto"/>
        </w:rPr>
        <w:t>”). However, if the Company determines that the Award constitutes deferred compensation as determined under Section 409A, and if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Participant is a “specified employee” for purposes of Section 409A, then no distributions otherwise required to be made under this Agreement on account of the Participant’s “separation from service”, within the meaning under Section 409A, shall be made before the date that is six (6) months and one (1) day after the date of the Participant’s “Separation from Service” or, if earlier, the date of the Participant’s death. The Company agrees to cooperate with the Participant to amend this Agreement to the extent either the Company or the Participant deems necessary to avoid imposition of any additional tax or income recognition prior to actual payment to the Participant under Code Section 409A and any temporary or final Treasury Regulations and Internal Revenue Service guidance thereunder, but only to the extent such amendment would not have an adverse effect on the Company and would not provide the Participant with any additional rights, in each case as determined by the Company in its sole discretion.</w:t>
      </w:r>
    </w:p>
    <w:p>
      <w:pPr>
        <w:spacing w:after="0" w:line="177"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22"/>
          <w:szCs w:val="22"/>
          <w:color w:val="auto"/>
        </w:rPr>
        <w:t xml:space="preserve">8. </w:t>
      </w:r>
      <w:r>
        <w:rPr>
          <w:rFonts w:ascii="Arial" w:cs="Arial" w:eastAsia="Arial" w:hAnsi="Arial"/>
          <w:sz w:val="19"/>
          <w:szCs w:val="19"/>
          <w:u w:val="single" w:color="auto"/>
          <w:color w:val="auto"/>
        </w:rPr>
        <w:t>Consideration</w:t>
      </w:r>
      <w:r>
        <w:rPr>
          <w:rFonts w:ascii="Arial" w:cs="Arial" w:eastAsia="Arial" w:hAnsi="Arial"/>
          <w:sz w:val="19"/>
          <w:szCs w:val="19"/>
          <w:color w:val="auto"/>
        </w:rPr>
        <w:t>. With respect to the value of the shares of Stock to be delivered pursuant to the Award, such shares</w:t>
      </w:r>
      <w:r>
        <w:rPr>
          <w:rFonts w:ascii="Arial" w:cs="Arial" w:eastAsia="Arial" w:hAnsi="Arial"/>
          <w:sz w:val="22"/>
          <w:szCs w:val="22"/>
          <w:color w:val="auto"/>
        </w:rPr>
        <w:t xml:space="preserve"> </w:t>
      </w:r>
      <w:r>
        <w:rPr>
          <w:rFonts w:ascii="Arial" w:cs="Arial" w:eastAsia="Arial" w:hAnsi="Arial"/>
          <w:sz w:val="19"/>
          <w:szCs w:val="19"/>
          <w:color w:val="auto"/>
        </w:rPr>
        <w:t>of Stock are granted in consideration for the services the Participant shall provide to the Company during the vesting period.</w:t>
      </w:r>
    </w:p>
    <w:p>
      <w:pPr>
        <w:spacing w:after="0" w:line="160"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22"/>
          <w:szCs w:val="22"/>
          <w:color w:val="auto"/>
        </w:rPr>
        <w:t xml:space="preserve">9. </w:t>
      </w:r>
      <w:r>
        <w:rPr>
          <w:rFonts w:ascii="Arial" w:cs="Arial" w:eastAsia="Arial" w:hAnsi="Arial"/>
          <w:sz w:val="19"/>
          <w:szCs w:val="19"/>
          <w:u w:val="single" w:color="auto"/>
          <w:color w:val="auto"/>
        </w:rPr>
        <w:t>Transferability</w:t>
      </w:r>
      <w:r>
        <w:rPr>
          <w:rFonts w:ascii="Arial" w:cs="Arial" w:eastAsia="Arial" w:hAnsi="Arial"/>
          <w:sz w:val="19"/>
          <w:szCs w:val="19"/>
          <w:color w:val="auto"/>
        </w:rPr>
        <w:t>. The PSUs granted under this Agreement are not transferable otherwise than by will or under the</w:t>
      </w:r>
      <w:r>
        <w:rPr>
          <w:rFonts w:ascii="Arial" w:cs="Arial" w:eastAsia="Arial" w:hAnsi="Arial"/>
          <w:sz w:val="22"/>
          <w:szCs w:val="22"/>
          <w:color w:val="auto"/>
        </w:rPr>
        <w:t xml:space="preserve"> </w:t>
      </w:r>
      <w:r>
        <w:rPr>
          <w:rFonts w:ascii="Arial" w:cs="Arial" w:eastAsia="Arial" w:hAnsi="Arial"/>
          <w:sz w:val="19"/>
          <w:szCs w:val="19"/>
          <w:color w:val="auto"/>
        </w:rPr>
        <w:t>applicable laws of descent and distribution. In addition, the PSUs shall not be assigned, negotiated, pledged, or hypothecated in any way (whether by operation of law or otherwise), and the PSUs shall not be subject to execution, attachment, or similar process.</w:t>
      </w:r>
    </w:p>
    <w:p>
      <w:pPr>
        <w:spacing w:after="0" w:line="145"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40" w:type="dxa"/>
            <w:vAlign w:val="bottom"/>
          </w:tcPr>
          <w:p>
            <w:pPr>
              <w:jc w:val="right"/>
              <w:ind w:right="952"/>
              <w:spacing w:after="0"/>
              <w:rPr>
                <w:sz w:val="20"/>
                <w:szCs w:val="20"/>
                <w:color w:val="auto"/>
              </w:rPr>
            </w:pPr>
            <w:r>
              <w:rPr>
                <w:rFonts w:ascii="Arial" w:cs="Arial" w:eastAsia="Arial" w:hAnsi="Arial"/>
                <w:sz w:val="22"/>
                <w:szCs w:val="22"/>
                <w:color w:val="auto"/>
                <w:w w:val="84"/>
              </w:rPr>
              <w:t>10.</w:t>
            </w:r>
          </w:p>
        </w:tc>
        <w:tc>
          <w:tcPr>
            <w:tcW w:w="9200" w:type="dxa"/>
            <w:vAlign w:val="bottom"/>
            <w:gridSpan w:val="4"/>
          </w:tcPr>
          <w:p>
            <w:pPr>
              <w:ind w:left="240"/>
              <w:spacing w:after="0"/>
              <w:rPr>
                <w:sz w:val="20"/>
                <w:szCs w:val="20"/>
                <w:color w:val="auto"/>
              </w:rPr>
            </w:pPr>
            <w:r>
              <w:rPr>
                <w:rFonts w:ascii="Arial" w:cs="Arial" w:eastAsia="Arial" w:hAnsi="Arial"/>
                <w:sz w:val="20"/>
                <w:szCs w:val="20"/>
                <w:color w:val="auto"/>
              </w:rPr>
              <w:t>General Provisions.</w:t>
            </w:r>
          </w:p>
        </w:tc>
        <w:tc>
          <w:tcPr>
            <w:tcW w:w="0" w:type="dxa"/>
            <w:vAlign w:val="bottom"/>
          </w:tcPr>
          <w:p>
            <w:pPr>
              <w:spacing w:after="0"/>
              <w:rPr>
                <w:sz w:val="1"/>
                <w:szCs w:val="1"/>
                <w:color w:val="auto"/>
              </w:rPr>
            </w:pPr>
          </w:p>
        </w:tc>
      </w:tr>
      <w:tr>
        <w:trPr>
          <w:trHeight w:val="20"/>
        </w:trPr>
        <w:tc>
          <w:tcPr>
            <w:tcW w:w="1340" w:type="dxa"/>
            <w:vAlign w:val="bottom"/>
            <w:vMerge w:val="restart"/>
          </w:tcPr>
          <w:p>
            <w:pPr>
              <w:jc w:val="right"/>
              <w:ind w:right="112"/>
              <w:spacing w:after="0"/>
              <w:rPr>
                <w:sz w:val="20"/>
                <w:szCs w:val="20"/>
                <w:color w:val="auto"/>
              </w:rPr>
            </w:pPr>
            <w:r>
              <w:rPr>
                <w:rFonts w:ascii="Arial" w:cs="Arial" w:eastAsia="Arial" w:hAnsi="Arial"/>
                <w:sz w:val="22"/>
                <w:szCs w:val="22"/>
                <w:color w:val="auto"/>
              </w:rPr>
              <w:t>(a)</w:t>
            </w:r>
          </w:p>
        </w:tc>
        <w:tc>
          <w:tcPr>
            <w:tcW w:w="240" w:type="dxa"/>
            <w:vAlign w:val="bottom"/>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20"/>
                <w:szCs w:val="20"/>
                <w:color w:val="auto"/>
              </w:rPr>
              <w:t>Employment At Will.  Nothing in this Agreement or in the Plan shall confer upon the</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Participant any right to continue in the service of the Company or its Related Entities for any period of specific duration or interfere with or otherwise restrict in any way the rights of the Company (or any Related Entity employing or retaining the Participant) or of the Participant, which rights are hereby expressly reserved by each, to terminate the Participant’s service at any time for any reason, with or without cause.</w:t>
      </w:r>
    </w:p>
    <w:p>
      <w:pPr>
        <w:spacing w:after="0" w:line="147"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color w:val="auto"/>
        </w:rPr>
        <w:t xml:space="preserve">(b)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to be given under this Agreement shall be in writing and shall</w:t>
      </w:r>
      <w:r>
        <w:rPr>
          <w:rFonts w:ascii="Arial" w:cs="Arial" w:eastAsia="Arial" w:hAnsi="Arial"/>
          <w:sz w:val="22"/>
          <w:szCs w:val="22"/>
          <w:color w:val="auto"/>
        </w:rPr>
        <w:t xml:space="preserve"> </w:t>
      </w:r>
      <w:r>
        <w:rPr>
          <w:rFonts w:ascii="Arial" w:cs="Arial" w:eastAsia="Arial" w:hAnsi="Arial"/>
          <w:sz w:val="19"/>
          <w:szCs w:val="19"/>
          <w:color w:val="auto"/>
        </w:rPr>
        <w:t>be deemed effective upon personal delivery or upon deposit in the U.S. mail, registered or certified, postage prepaid and properly addressed to the party entitled to such notice at the address indicated below such party’s signature line on this Agreement or at such other address as such party may designate by ten (10) days’ advance written notice under this section to all other parties to this Agreement.</w:t>
      </w:r>
    </w:p>
    <w:p>
      <w:pPr>
        <w:spacing w:after="0" w:line="172" w:lineRule="exact"/>
        <w:rPr>
          <w:sz w:val="20"/>
          <w:szCs w:val="20"/>
          <w:color w:val="auto"/>
        </w:rPr>
      </w:pPr>
    </w:p>
    <w:p>
      <w:pPr>
        <w:jc w:val="both"/>
        <w:ind w:left="1760"/>
        <w:spacing w:after="0"/>
        <w:tabs>
          <w:tab w:leader="none" w:pos="39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0"/>
          <w:szCs w:val="20"/>
          <w:u w:val="single" w:color="auto"/>
          <w:color w:val="auto"/>
        </w:rPr>
        <w:t>No Limit on Other Compensation Arrangements</w:t>
      </w:r>
      <w:r>
        <w:rPr>
          <w:rFonts w:ascii="Arial" w:cs="Arial" w:eastAsia="Arial" w:hAnsi="Arial"/>
          <w:sz w:val="20"/>
          <w:szCs w:val="20"/>
          <w:color w:val="auto"/>
        </w:rPr>
        <w:t>. Nothing contained in this Agreement shall</w:t>
      </w:r>
    </w:p>
    <w:p>
      <w:pPr>
        <w:spacing w:after="0" w:line="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preclude the Company from adopting or continuing in effect other or additional compensation arrangements, and those arrangements may be either generally applicable or applicable only in specific cases.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5" w:name="page56"/>
    <w:bookmarkEnd w:id="55"/>
    <w:p>
      <w:pPr>
        <w:jc w:val="both"/>
        <w:ind w:firstLine="1755"/>
        <w:spacing w:after="0" w:line="255" w:lineRule="auto"/>
        <w:rPr>
          <w:sz w:val="20"/>
          <w:szCs w:val="20"/>
          <w:color w:val="auto"/>
        </w:rPr>
      </w:pPr>
      <w:r>
        <w:rPr>
          <w:rFonts w:ascii="Arial" w:cs="Arial" w:eastAsia="Arial" w:hAnsi="Arial"/>
          <w:sz w:val="22"/>
          <w:szCs w:val="22"/>
          <w:color w:val="auto"/>
        </w:rPr>
        <w:t xml:space="preserve">(d)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or becomes or is deemed to be invalid,</w:t>
      </w:r>
      <w:r>
        <w:rPr>
          <w:rFonts w:ascii="Arial" w:cs="Arial" w:eastAsia="Arial" w:hAnsi="Arial"/>
          <w:sz w:val="22"/>
          <w:szCs w:val="22"/>
          <w:color w:val="auto"/>
        </w:rPr>
        <w:t xml:space="preserve"> </w:t>
      </w:r>
      <w:r>
        <w:rPr>
          <w:rFonts w:ascii="Arial" w:cs="Arial" w:eastAsia="Arial" w:hAnsi="Arial"/>
          <w:sz w:val="19"/>
          <w:szCs w:val="19"/>
          <w:color w:val="auto"/>
        </w:rPr>
        <w:t>illegal, or unenforceable in any jurisdiction or would disqualify this Agreement or the Award under any applicable law, that provision shall be construed or deemed amended to conform to applicable law (or if that provision cannot be so construed or deemed amended without materially altering the purpose or intent of this Agreement and the Award, that provision shall be stricken as to that jurisdiction and the remainder of this Agreement and the Award shall remain in full force and effect).</w:t>
      </w:r>
    </w:p>
    <w:p>
      <w:pPr>
        <w:spacing w:after="0" w:line="180"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22"/>
          <w:szCs w:val="22"/>
          <w:color w:val="auto"/>
        </w:rPr>
        <w:t xml:space="preserve">(e) </w:t>
      </w:r>
      <w:r>
        <w:rPr>
          <w:rFonts w:ascii="Arial" w:cs="Arial" w:eastAsia="Arial" w:hAnsi="Arial"/>
          <w:sz w:val="19"/>
          <w:szCs w:val="19"/>
          <w:u w:val="single" w:color="auto"/>
          <w:color w:val="auto"/>
        </w:rPr>
        <w:t>No Trust or Fund Created</w:t>
      </w:r>
      <w:r>
        <w:rPr>
          <w:rFonts w:ascii="Arial" w:cs="Arial" w:eastAsia="Arial" w:hAnsi="Arial"/>
          <w:sz w:val="19"/>
          <w:szCs w:val="19"/>
          <w:color w:val="auto"/>
        </w:rPr>
        <w:t>. Neither this Agreement nor the grant of the Award shall create or</w:t>
      </w:r>
      <w:r>
        <w:rPr>
          <w:rFonts w:ascii="Arial" w:cs="Arial" w:eastAsia="Arial" w:hAnsi="Arial"/>
          <w:sz w:val="22"/>
          <w:szCs w:val="22"/>
          <w:color w:val="auto"/>
        </w:rPr>
        <w:t xml:space="preserve"> </w:t>
      </w:r>
      <w:r>
        <w:rPr>
          <w:rFonts w:ascii="Arial" w:cs="Arial" w:eastAsia="Arial" w:hAnsi="Arial"/>
          <w:sz w:val="19"/>
          <w:szCs w:val="19"/>
          <w:color w:val="auto"/>
        </w:rPr>
        <w:t>be construed to create a trust or separate fund of any kind or a fiduciary relationship between the Company and the Participant or any other person. The PSUs subject to this Agreement represent only the Company’s unfunded and unsecured promise to issue Stock to the Participant in the future. To the extent that the Participant or any other person acquires a right to receive payments from the Company pursuant to this Agreement, that right shall be no greater than the right of any unsecured general creditor of the Company.</w:t>
      </w:r>
    </w:p>
    <w:p>
      <w:pPr>
        <w:spacing w:after="0" w:line="180" w:lineRule="exact"/>
        <w:rPr>
          <w:sz w:val="20"/>
          <w:szCs w:val="20"/>
          <w:color w:val="auto"/>
        </w:rPr>
      </w:pPr>
    </w:p>
    <w:p>
      <w:pPr>
        <w:jc w:val="both"/>
        <w:ind w:firstLine="1755"/>
        <w:spacing w:after="0" w:line="259" w:lineRule="auto"/>
        <w:rPr>
          <w:sz w:val="20"/>
          <w:szCs w:val="20"/>
          <w:color w:val="auto"/>
        </w:rPr>
      </w:pPr>
      <w:r>
        <w:rPr>
          <w:rFonts w:ascii="Arial" w:cs="Arial" w:eastAsia="Arial" w:hAnsi="Arial"/>
          <w:sz w:val="22"/>
          <w:szCs w:val="22"/>
          <w:color w:val="auto"/>
        </w:rPr>
        <w:t xml:space="preserve">(f) </w:t>
      </w:r>
      <w:r>
        <w:rPr>
          <w:rFonts w:ascii="Arial" w:cs="Arial" w:eastAsia="Arial" w:hAnsi="Arial"/>
          <w:sz w:val="19"/>
          <w:szCs w:val="19"/>
          <w:u w:val="single" w:color="auto"/>
          <w:color w:val="auto"/>
        </w:rPr>
        <w:t>Cancellation of Award</w:t>
      </w:r>
      <w:r>
        <w:rPr>
          <w:rFonts w:ascii="Arial" w:cs="Arial" w:eastAsia="Arial" w:hAnsi="Arial"/>
          <w:sz w:val="19"/>
          <w:szCs w:val="19"/>
          <w:color w:val="auto"/>
        </w:rPr>
        <w:t>. If any PSUs subject to this Agreement are forfeited, then from and</w:t>
      </w:r>
      <w:r>
        <w:rPr>
          <w:rFonts w:ascii="Arial" w:cs="Arial" w:eastAsia="Arial" w:hAnsi="Arial"/>
          <w:sz w:val="22"/>
          <w:szCs w:val="22"/>
          <w:color w:val="auto"/>
        </w:rPr>
        <w:t xml:space="preserve"> </w:t>
      </w:r>
      <w:r>
        <w:rPr>
          <w:rFonts w:ascii="Arial" w:cs="Arial" w:eastAsia="Arial" w:hAnsi="Arial"/>
          <w:sz w:val="19"/>
          <w:szCs w:val="19"/>
          <w:color w:val="auto"/>
        </w:rPr>
        <w:t>after such time, the person from whom such PSUs are forfeited shall no longer have any rights to such PSUs or the corresponding shares of Stock. Such PSUs shall be deemed forfeited in accordance with the applicable provisions hereof.</w:t>
      </w:r>
    </w:p>
    <w:p>
      <w:pPr>
        <w:spacing w:after="0" w:line="174" w:lineRule="exact"/>
        <w:rPr>
          <w:sz w:val="20"/>
          <w:szCs w:val="20"/>
          <w:color w:val="auto"/>
        </w:rPr>
      </w:pPr>
    </w:p>
    <w:p>
      <w:pPr>
        <w:jc w:val="both"/>
        <w:ind w:firstLine="1755"/>
        <w:spacing w:after="0" w:line="278" w:lineRule="auto"/>
        <w:rPr>
          <w:sz w:val="20"/>
          <w:szCs w:val="20"/>
          <w:color w:val="auto"/>
        </w:rPr>
      </w:pPr>
      <w:r>
        <w:rPr>
          <w:rFonts w:ascii="Arial" w:cs="Arial" w:eastAsia="Arial" w:hAnsi="Arial"/>
          <w:sz w:val="21"/>
          <w:szCs w:val="21"/>
          <w:color w:val="auto"/>
        </w:rPr>
        <w:t xml:space="preserve">(g) </w:t>
      </w:r>
      <w:r>
        <w:rPr>
          <w:rFonts w:ascii="Arial" w:cs="Arial" w:eastAsia="Arial" w:hAnsi="Arial"/>
          <w:sz w:val="18"/>
          <w:szCs w:val="18"/>
          <w:u w:val="single" w:color="auto"/>
          <w:color w:val="auto"/>
        </w:rPr>
        <w:t>Participant Undertaking</w:t>
      </w:r>
      <w:r>
        <w:rPr>
          <w:rFonts w:ascii="Arial" w:cs="Arial" w:eastAsia="Arial" w:hAnsi="Arial"/>
          <w:sz w:val="18"/>
          <w:szCs w:val="18"/>
          <w:color w:val="auto"/>
        </w:rPr>
        <w:t>. The Participant hereby agrees to take whatever additional action</w:t>
      </w:r>
      <w:r>
        <w:rPr>
          <w:rFonts w:ascii="Arial" w:cs="Arial" w:eastAsia="Arial" w:hAnsi="Arial"/>
          <w:sz w:val="21"/>
          <w:szCs w:val="21"/>
          <w:color w:val="auto"/>
        </w:rPr>
        <w:t xml:space="preserve"> </w:t>
      </w:r>
      <w:r>
        <w:rPr>
          <w:rFonts w:ascii="Arial" w:cs="Arial" w:eastAsia="Arial" w:hAnsi="Arial"/>
          <w:sz w:val="18"/>
          <w:szCs w:val="18"/>
          <w:color w:val="auto"/>
        </w:rPr>
        <w:t>and execute whatever additional documents the Company may deem necessary or advisable in order to carry out or effect one or more of the obligations or restrictions imposed on either the Participant or the shares of Stock deliverable pursuant to the provisions of this Agreement.</w:t>
      </w:r>
    </w:p>
    <w:p>
      <w:pPr>
        <w:spacing w:after="0" w:line="159"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auto"/>
        </w:rPr>
        <w:t>(h)</w:t>
      </w:r>
      <w:r>
        <w:rPr>
          <w:sz w:val="20"/>
          <w:szCs w:val="20"/>
          <w:color w:val="auto"/>
        </w:rPr>
        <w:tab/>
      </w:r>
      <w:r>
        <w:rPr>
          <w:rFonts w:ascii="Arial" w:cs="Arial" w:eastAsia="Arial" w:hAnsi="Arial"/>
          <w:sz w:val="18"/>
          <w:szCs w:val="18"/>
          <w:u w:val="single" w:color="auto"/>
          <w:color w:val="auto"/>
        </w:rPr>
        <w:t>Amendment, Modification, and Entire Agreement</w:t>
      </w:r>
      <w:r>
        <w:rPr>
          <w:rFonts w:ascii="Arial" w:cs="Arial" w:eastAsia="Arial" w:hAnsi="Arial"/>
          <w:sz w:val="18"/>
          <w:szCs w:val="18"/>
          <w:color w:val="auto"/>
        </w:rPr>
        <w:t>.  No provision of this Agreement may be</w:t>
      </w:r>
    </w:p>
    <w:p>
      <w:pPr>
        <w:spacing w:after="0" w:line="4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modified, waived, or discharged unless that waiver, modification, or discharge is agreed to in writing and signed by the Participant and the Plan administrator. This Agreement constitutes the entire contract between the parties hereto with regard to the subject matter hereof. This Agreement is made pursuant to the provisions of the Plan and shall in all respects be construed in conformity with the terms of the Plan. In the event of a conflict between the Plan and this Agreement, the terms of the Plan shall govern. The Participant further acknowledges that as of the Grant Date, this Agreement and the Plan set forth the entire understanding between the Participant and the Company regarding the acquisition of Stock pursuant to this Award and supersede all prior oral and written agreements on that subject with the exception of awards from the Company previously granted and delivered to the Participant. No agreements or representations, oral or otherwise, express or implied, with respect to the subject matter hereof have been made by either party which are not set forth expressly in this Agreement.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Pr>
          <w:p>
            <w:pPr>
              <w:ind w:left="1760"/>
              <w:spacing w:after="0"/>
              <w:rPr>
                <w:sz w:val="20"/>
                <w:szCs w:val="20"/>
                <w:color w:val="auto"/>
              </w:rPr>
            </w:pPr>
            <w:r>
              <w:rPr>
                <w:rFonts w:ascii="Arial" w:cs="Arial" w:eastAsia="Arial" w:hAnsi="Arial"/>
                <w:sz w:val="22"/>
                <w:szCs w:val="22"/>
                <w:color w:val="auto"/>
              </w:rPr>
              <w:t>(i)</w:t>
            </w:r>
          </w:p>
        </w:tc>
        <w:tc>
          <w:tcPr>
            <w:tcW w:w="7480" w:type="dxa"/>
            <w:vAlign w:val="bottom"/>
            <w:gridSpan w:val="3"/>
          </w:tcPr>
          <w:p>
            <w:pPr>
              <w:spacing w:after="0"/>
              <w:rPr>
                <w:sz w:val="20"/>
                <w:szCs w:val="20"/>
                <w:color w:val="auto"/>
              </w:rPr>
            </w:pPr>
            <w:r>
              <w:rPr>
                <w:rFonts w:ascii="Arial" w:cs="Arial" w:eastAsia="Arial" w:hAnsi="Arial"/>
                <w:sz w:val="20"/>
                <w:szCs w:val="20"/>
                <w:color w:val="auto"/>
                <w:w w:val="90"/>
              </w:rPr>
              <w:t>Governing Law. This Agreement shall be governed by, and construed in accordance with, the</w:t>
            </w:r>
          </w:p>
        </w:tc>
      </w:tr>
      <w:tr>
        <w:trPr>
          <w:trHeight w:val="20"/>
        </w:trPr>
        <w:tc>
          <w:tcPr>
            <w:tcW w:w="3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54"/>
        </w:trPr>
        <w:tc>
          <w:tcPr>
            <w:tcW w:w="11400" w:type="dxa"/>
            <w:vAlign w:val="bottom"/>
            <w:gridSpan w:val="4"/>
          </w:tcPr>
          <w:p>
            <w:pPr>
              <w:spacing w:after="0"/>
              <w:rPr>
                <w:sz w:val="20"/>
                <w:szCs w:val="20"/>
                <w:color w:val="auto"/>
              </w:rPr>
            </w:pPr>
            <w:r>
              <w:rPr>
                <w:rFonts w:ascii="Arial" w:cs="Arial" w:eastAsia="Arial" w:hAnsi="Arial"/>
                <w:sz w:val="20"/>
                <w:szCs w:val="20"/>
                <w:color w:val="auto"/>
              </w:rPr>
              <w:t>laws of the state of Delaware without regard to the conflict-of-laws rules thereof or of any other jurisdiction.</w:t>
            </w:r>
          </w:p>
        </w:tc>
      </w:tr>
      <w:tr>
        <w:trPr>
          <w:trHeight w:val="415"/>
        </w:trPr>
        <w:tc>
          <w:tcPr>
            <w:tcW w:w="3920" w:type="dxa"/>
            <w:vAlign w:val="bottom"/>
          </w:tcPr>
          <w:p>
            <w:pPr>
              <w:ind w:left="1760"/>
              <w:spacing w:after="0"/>
              <w:rPr>
                <w:sz w:val="20"/>
                <w:szCs w:val="20"/>
                <w:color w:val="auto"/>
              </w:rPr>
            </w:pPr>
            <w:r>
              <w:rPr>
                <w:rFonts w:ascii="Arial" w:cs="Arial" w:eastAsia="Arial" w:hAnsi="Arial"/>
                <w:sz w:val="22"/>
                <w:szCs w:val="22"/>
                <w:color w:val="auto"/>
              </w:rPr>
              <w:t>(j)</w:t>
            </w:r>
          </w:p>
        </w:tc>
        <w:tc>
          <w:tcPr>
            <w:tcW w:w="7480" w:type="dxa"/>
            <w:vAlign w:val="bottom"/>
            <w:gridSpan w:val="3"/>
          </w:tcPr>
          <w:p>
            <w:pPr>
              <w:spacing w:after="0"/>
              <w:rPr>
                <w:sz w:val="20"/>
                <w:szCs w:val="20"/>
                <w:color w:val="auto"/>
              </w:rPr>
            </w:pPr>
            <w:r>
              <w:rPr>
                <w:rFonts w:ascii="Arial" w:cs="Arial" w:eastAsia="Arial" w:hAnsi="Arial"/>
                <w:sz w:val="20"/>
                <w:szCs w:val="20"/>
                <w:color w:val="auto"/>
                <w:w w:val="92"/>
              </w:rPr>
              <w:t>Interpretation.  The Participant accepts this Award subject to all the terms and provisions of</w:t>
            </w:r>
          </w:p>
        </w:tc>
      </w:tr>
      <w:tr>
        <w:trPr>
          <w:trHeight w:val="20"/>
        </w:trPr>
        <w:tc>
          <w:tcPr>
            <w:tcW w:w="3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Agreement and the terms and conditions of the Plan. The undersigned Participant hereby accepts as binding, conclusive, and final all decisions or interpretations of the Plan Administrator upon any questions arising under this Agreement.</w:t>
      </w:r>
    </w:p>
    <w:p>
      <w:pPr>
        <w:spacing w:after="0" w:line="172" w:lineRule="exact"/>
        <w:rPr>
          <w:sz w:val="20"/>
          <w:szCs w:val="20"/>
          <w:color w:val="auto"/>
        </w:rPr>
      </w:pPr>
    </w:p>
    <w:p>
      <w:pPr>
        <w:jc w:val="both"/>
        <w:ind w:firstLine="1755"/>
        <w:spacing w:after="0" w:line="259" w:lineRule="auto"/>
        <w:rPr>
          <w:sz w:val="20"/>
          <w:szCs w:val="20"/>
          <w:color w:val="auto"/>
        </w:rPr>
      </w:pPr>
      <w:r>
        <w:rPr>
          <w:rFonts w:ascii="Arial" w:cs="Arial" w:eastAsia="Arial" w:hAnsi="Arial"/>
          <w:sz w:val="22"/>
          <w:szCs w:val="22"/>
          <w:color w:val="auto"/>
        </w:rPr>
        <w:t xml:space="preserve">(k)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this Agreement shall inure to the benefit of, and</w:t>
      </w:r>
      <w:r>
        <w:rPr>
          <w:rFonts w:ascii="Arial" w:cs="Arial" w:eastAsia="Arial" w:hAnsi="Arial"/>
          <w:sz w:val="22"/>
          <w:szCs w:val="22"/>
          <w:color w:val="auto"/>
        </w:rPr>
        <w:t xml:space="preserve"> </w:t>
      </w:r>
      <w:r>
        <w:rPr>
          <w:rFonts w:ascii="Arial" w:cs="Arial" w:eastAsia="Arial" w:hAnsi="Arial"/>
          <w:sz w:val="19"/>
          <w:szCs w:val="19"/>
          <w:color w:val="auto"/>
        </w:rPr>
        <w:t>be binding upon, the Company and its successors and assigns and upon the Participant, the Participant’s assigns and the legal representatives, heirs, and legatees of Participant’s estate, whether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6" w:name="page57"/>
    <w:bookmarkEnd w:id="56"/>
    <w:p>
      <w:pPr>
        <w:jc w:val="both"/>
        <w:spacing w:after="0" w:line="250" w:lineRule="auto"/>
        <w:rPr>
          <w:sz w:val="20"/>
          <w:szCs w:val="20"/>
          <w:color w:val="auto"/>
        </w:rPr>
      </w:pPr>
      <w:r>
        <w:rPr>
          <w:rFonts w:ascii="Arial" w:cs="Arial" w:eastAsia="Arial" w:hAnsi="Arial"/>
          <w:sz w:val="20"/>
          <w:szCs w:val="20"/>
          <w:color w:val="auto"/>
        </w:rPr>
        <w:t>not any such person shall have become a party to this Agreement and have agreed in writing to join herein and be bound by the terms hereof. The Company may assign its rights and obligations under this Agreement, including, but not limited to, the forfeiture provision of Section 3(b) to any person or entity selected by the Board.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Pr>
          <w:p>
            <w:pPr>
              <w:ind w:left="1760"/>
              <w:spacing w:after="0"/>
              <w:rPr>
                <w:sz w:val="20"/>
                <w:szCs w:val="20"/>
                <w:color w:val="auto"/>
              </w:rPr>
            </w:pPr>
            <w:r>
              <w:rPr>
                <w:rFonts w:ascii="Arial" w:cs="Arial" w:eastAsia="Arial" w:hAnsi="Arial"/>
                <w:sz w:val="22"/>
                <w:szCs w:val="22"/>
                <w:color w:val="auto"/>
              </w:rPr>
              <w:t>(l)</w:t>
            </w:r>
          </w:p>
        </w:tc>
        <w:tc>
          <w:tcPr>
            <w:tcW w:w="7500" w:type="dxa"/>
            <w:vAlign w:val="bottom"/>
            <w:gridSpan w:val="4"/>
          </w:tcPr>
          <w:p>
            <w:pPr>
              <w:spacing w:after="0"/>
              <w:rPr>
                <w:sz w:val="20"/>
                <w:szCs w:val="20"/>
                <w:color w:val="auto"/>
              </w:rPr>
            </w:pPr>
            <w:r>
              <w:rPr>
                <w:rFonts w:ascii="Arial" w:cs="Arial" w:eastAsia="Arial" w:hAnsi="Arial"/>
                <w:sz w:val="20"/>
                <w:szCs w:val="20"/>
                <w:color w:val="auto"/>
                <w:w w:val="96"/>
              </w:rPr>
              <w:t>Counterparts.  This Agreement may be executed in counterparts, each of which shall be</w:t>
            </w:r>
          </w:p>
        </w:tc>
      </w:tr>
      <w:tr>
        <w:trPr>
          <w:trHeight w:val="20"/>
        </w:trPr>
        <w:tc>
          <w:tcPr>
            <w:tcW w:w="3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54"/>
        </w:trPr>
        <w:tc>
          <w:tcPr>
            <w:tcW w:w="11420" w:type="dxa"/>
            <w:vAlign w:val="bottom"/>
            <w:gridSpan w:val="5"/>
          </w:tcPr>
          <w:p>
            <w:pPr>
              <w:spacing w:after="0"/>
              <w:rPr>
                <w:sz w:val="20"/>
                <w:szCs w:val="20"/>
                <w:color w:val="auto"/>
              </w:rPr>
            </w:pPr>
            <w:r>
              <w:rPr>
                <w:rFonts w:ascii="Arial" w:cs="Arial" w:eastAsia="Arial" w:hAnsi="Arial"/>
                <w:sz w:val="20"/>
                <w:szCs w:val="20"/>
                <w:color w:val="auto"/>
              </w:rPr>
              <w:t>deemed to be an original, but all of which together shall constitute one and the same instrument.</w:t>
            </w:r>
          </w:p>
        </w:tc>
      </w:tr>
      <w:tr>
        <w:trPr>
          <w:trHeight w:val="415"/>
        </w:trPr>
        <w:tc>
          <w:tcPr>
            <w:tcW w:w="3920" w:type="dxa"/>
            <w:vAlign w:val="bottom"/>
          </w:tcPr>
          <w:p>
            <w:pPr>
              <w:ind w:left="1760"/>
              <w:spacing w:after="0"/>
              <w:rPr>
                <w:sz w:val="20"/>
                <w:szCs w:val="20"/>
                <w:color w:val="auto"/>
              </w:rPr>
            </w:pPr>
            <w:r>
              <w:rPr>
                <w:rFonts w:ascii="Arial" w:cs="Arial" w:eastAsia="Arial" w:hAnsi="Arial"/>
                <w:sz w:val="22"/>
                <w:szCs w:val="22"/>
                <w:color w:val="auto"/>
              </w:rPr>
              <w:t>(m)</w:t>
            </w:r>
          </w:p>
        </w:tc>
        <w:tc>
          <w:tcPr>
            <w:tcW w:w="100" w:type="dxa"/>
            <w:vAlign w:val="bottom"/>
          </w:tcPr>
          <w:p>
            <w:pPr>
              <w:spacing w:after="0"/>
              <w:rPr>
                <w:sz w:val="24"/>
                <w:szCs w:val="24"/>
                <w:color w:val="auto"/>
              </w:rPr>
            </w:pPr>
          </w:p>
        </w:tc>
        <w:tc>
          <w:tcPr>
            <w:tcW w:w="7400" w:type="dxa"/>
            <w:vAlign w:val="bottom"/>
            <w:gridSpan w:val="3"/>
          </w:tcPr>
          <w:p>
            <w:pPr>
              <w:spacing w:after="0"/>
              <w:rPr>
                <w:sz w:val="20"/>
                <w:szCs w:val="20"/>
                <w:color w:val="auto"/>
              </w:rPr>
            </w:pPr>
            <w:r>
              <w:rPr>
                <w:rFonts w:ascii="Arial" w:cs="Arial" w:eastAsia="Arial" w:hAnsi="Arial"/>
                <w:sz w:val="20"/>
                <w:szCs w:val="20"/>
                <w:color w:val="auto"/>
                <w:w w:val="89"/>
              </w:rPr>
              <w:t>Headings. Headings are given to the Sections and Subsections of this Agreement solely as a</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convenience to facilitate reference. The headings shall not be deemed in any way material or relevant to the construction or interpretation of this Agreement or any provision thereof.</w:t>
      </w:r>
    </w:p>
    <w:p>
      <w:pPr>
        <w:spacing w:after="0" w:line="172"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22"/>
          <w:szCs w:val="22"/>
          <w:color w:val="auto"/>
        </w:rPr>
        <w:t xml:space="preserve">11. </w:t>
      </w:r>
      <w:r>
        <w:rPr>
          <w:rFonts w:ascii="Arial" w:cs="Arial" w:eastAsia="Arial" w:hAnsi="Arial"/>
          <w:sz w:val="19"/>
          <w:szCs w:val="19"/>
          <w:u w:val="single" w:color="auto"/>
          <w:color w:val="auto"/>
        </w:rPr>
        <w:t>Representations</w:t>
      </w:r>
      <w:r>
        <w:rPr>
          <w:rFonts w:ascii="Arial" w:cs="Arial" w:eastAsia="Arial" w:hAnsi="Arial"/>
          <w:sz w:val="19"/>
          <w:szCs w:val="19"/>
          <w:color w:val="auto"/>
        </w:rPr>
        <w:t>. The Participant acknowledges and agrees that the Participant has reviewed the Agreement in</w:t>
      </w:r>
      <w:r>
        <w:rPr>
          <w:rFonts w:ascii="Arial" w:cs="Arial" w:eastAsia="Arial" w:hAnsi="Arial"/>
          <w:sz w:val="22"/>
          <w:szCs w:val="22"/>
          <w:color w:val="auto"/>
        </w:rPr>
        <w:t xml:space="preserve"> </w:t>
      </w:r>
      <w:r>
        <w:rPr>
          <w:rFonts w:ascii="Arial" w:cs="Arial" w:eastAsia="Arial" w:hAnsi="Arial"/>
          <w:sz w:val="19"/>
          <w:szCs w:val="19"/>
          <w:color w:val="auto"/>
        </w:rPr>
        <w:t>its entirety, has had an opportunity to obtain the advice of counsel prior to executing and accepting the Award, and fully understands all provisions of the Award.</w:t>
      </w:r>
    </w:p>
    <w:p>
      <w:pPr>
        <w:spacing w:after="0" w:line="145"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40" w:type="dxa"/>
            <w:vAlign w:val="bottom"/>
          </w:tcPr>
          <w:p>
            <w:pPr>
              <w:jc w:val="right"/>
              <w:ind w:right="952"/>
              <w:spacing w:after="0"/>
              <w:rPr>
                <w:sz w:val="20"/>
                <w:szCs w:val="20"/>
                <w:color w:val="auto"/>
              </w:rPr>
            </w:pPr>
            <w:r>
              <w:rPr>
                <w:rFonts w:ascii="Arial" w:cs="Arial" w:eastAsia="Arial" w:hAnsi="Arial"/>
                <w:sz w:val="22"/>
                <w:szCs w:val="22"/>
                <w:color w:val="auto"/>
                <w:w w:val="84"/>
              </w:rPr>
              <w:t>12.</w:t>
            </w:r>
          </w:p>
        </w:tc>
        <w:tc>
          <w:tcPr>
            <w:tcW w:w="9200" w:type="dxa"/>
            <w:vAlign w:val="bottom"/>
            <w:gridSpan w:val="5"/>
          </w:tcPr>
          <w:p>
            <w:pPr>
              <w:ind w:left="240"/>
              <w:spacing w:after="0"/>
              <w:rPr>
                <w:sz w:val="20"/>
                <w:szCs w:val="20"/>
                <w:color w:val="auto"/>
              </w:rPr>
            </w:pPr>
            <w:r>
              <w:rPr>
                <w:rFonts w:ascii="Arial" w:cs="Arial" w:eastAsia="Arial" w:hAnsi="Arial"/>
                <w:sz w:val="20"/>
                <w:szCs w:val="20"/>
                <w:color w:val="auto"/>
              </w:rPr>
              <w:t>Compliance with Section 409A.</w:t>
            </w:r>
          </w:p>
        </w:tc>
        <w:tc>
          <w:tcPr>
            <w:tcW w:w="0" w:type="dxa"/>
            <w:vAlign w:val="bottom"/>
          </w:tcPr>
          <w:p>
            <w:pPr>
              <w:spacing w:after="0"/>
              <w:rPr>
                <w:sz w:val="1"/>
                <w:szCs w:val="1"/>
                <w:color w:val="auto"/>
              </w:rPr>
            </w:pPr>
          </w:p>
        </w:tc>
      </w:tr>
      <w:tr>
        <w:trPr>
          <w:trHeight w:val="20"/>
        </w:trPr>
        <w:tc>
          <w:tcPr>
            <w:tcW w:w="1340" w:type="dxa"/>
            <w:vAlign w:val="bottom"/>
            <w:vMerge w:val="restart"/>
          </w:tcPr>
          <w:p>
            <w:pPr>
              <w:jc w:val="right"/>
              <w:ind w:right="112"/>
              <w:spacing w:after="0"/>
              <w:rPr>
                <w:sz w:val="20"/>
                <w:szCs w:val="20"/>
                <w:color w:val="auto"/>
              </w:rPr>
            </w:pPr>
            <w:r>
              <w:rPr>
                <w:rFonts w:ascii="Arial" w:cs="Arial" w:eastAsia="Arial" w:hAnsi="Arial"/>
                <w:sz w:val="22"/>
                <w:szCs w:val="22"/>
                <w:color w:val="auto"/>
              </w:rPr>
              <w:t>(a)</w:t>
            </w: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80" w:type="dxa"/>
            <w:vAlign w:val="bottom"/>
            <w:gridSpan w:val="3"/>
          </w:tcPr>
          <w:p>
            <w:pPr>
              <w:spacing w:after="0"/>
              <w:rPr>
                <w:sz w:val="20"/>
                <w:szCs w:val="20"/>
                <w:color w:val="auto"/>
              </w:rPr>
            </w:pPr>
            <w:r>
              <w:rPr>
                <w:rFonts w:ascii="Arial" w:cs="Arial" w:eastAsia="Arial" w:hAnsi="Arial"/>
                <w:sz w:val="20"/>
                <w:szCs w:val="20"/>
                <w:color w:val="auto"/>
                <w:w w:val="95"/>
              </w:rPr>
              <w:t>General.  It is the intention of both the Company and the Participant that the benefits and</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rights to which the Participant could be entitled pursuant to this Agreement be exempt from Section 409A, and to the extent not so exempt, to comply with Section 409A, and the provisions of this Agreement shall be construed in a manner consistent with that intention.</w:t>
      </w:r>
    </w:p>
    <w:p>
      <w:pPr>
        <w:spacing w:after="0" w:line="118" w:lineRule="exact"/>
        <w:rPr>
          <w:sz w:val="20"/>
          <w:szCs w:val="20"/>
          <w:color w:val="auto"/>
        </w:rPr>
      </w:pPr>
    </w:p>
    <w:p>
      <w:pPr>
        <w:ind w:left="1760"/>
        <w:spacing w:after="0"/>
        <w:tabs>
          <w:tab w:leader="none" w:pos="3940" w:val="left"/>
          <w:tab w:leader="none" w:pos="85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0"/>
          <w:szCs w:val="20"/>
          <w:u w:val="single" w:color="auto"/>
          <w:color w:val="auto"/>
        </w:rPr>
        <w:t>No Representations as to Section 409A Compliance</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Notwithstanding the foregoing, the</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Company does not make any representation to the Participant that the PSUs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spacing w:after="0" w:line="194"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color w:val="auto"/>
        </w:rPr>
        <w:t xml:space="preserve">(c) </w:t>
      </w:r>
      <w:r>
        <w:rPr>
          <w:rFonts w:ascii="Arial" w:cs="Arial" w:eastAsia="Arial" w:hAnsi="Arial"/>
          <w:sz w:val="19"/>
          <w:szCs w:val="19"/>
          <w:u w:val="single" w:color="auto"/>
          <w:color w:val="auto"/>
        </w:rPr>
        <w:t>No Acceleration of Payments</w:t>
      </w:r>
      <w:r>
        <w:rPr>
          <w:rFonts w:ascii="Arial" w:cs="Arial" w:eastAsia="Arial" w:hAnsi="Arial"/>
          <w:sz w:val="19"/>
          <w:szCs w:val="19"/>
          <w:color w:val="auto"/>
        </w:rPr>
        <w:t>. Neither the Company nor the Participant, individually or in</w:t>
      </w:r>
      <w:r>
        <w:rPr>
          <w:rFonts w:ascii="Arial" w:cs="Arial" w:eastAsia="Arial" w:hAnsi="Arial"/>
          <w:sz w:val="22"/>
          <w:szCs w:val="22"/>
          <w:color w:val="auto"/>
        </w:rPr>
        <w:t xml:space="preserve"> </w:t>
      </w:r>
      <w:r>
        <w:rPr>
          <w:rFonts w:ascii="Arial" w:cs="Arial" w:eastAsia="Arial" w:hAnsi="Arial"/>
          <w:sz w:val="19"/>
          <w:szCs w:val="19"/>
          <w:color w:val="auto"/>
        </w:rPr>
        <w:t>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72"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0"/>
          <w:szCs w:val="20"/>
          <w:u w:val="single" w:color="auto"/>
          <w:color w:val="auto"/>
        </w:rPr>
        <w:t>Treatment of Each Installment as a Separate Payment</w:t>
      </w:r>
      <w:r>
        <w:rPr>
          <w:rFonts w:ascii="Arial" w:cs="Arial" w:eastAsia="Arial" w:hAnsi="Arial"/>
          <w:sz w:val="20"/>
          <w:szCs w:val="20"/>
          <w:color w:val="auto"/>
        </w:rPr>
        <w:t>. For purposes of applying the</w:t>
      </w:r>
    </w:p>
    <w:p>
      <w:pPr>
        <w:spacing w:after="0" w:line="1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provisions of Section 409A to this Agreement, each separately identified amount to which the Participant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39"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SEVERANCE POLICY FOR PRINCIPAL EXECUTIVE OFFICERS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October 30, 2017</w:t>
      </w:r>
    </w:p>
    <w:p>
      <w:pPr>
        <w:spacing w:after="0" w:line="221" w:lineRule="exact"/>
        <w:rPr>
          <w:sz w:val="20"/>
          <w:szCs w:val="20"/>
          <w:color w:val="auto"/>
        </w:rPr>
      </w:pPr>
    </w:p>
    <w:p>
      <w:pPr>
        <w:ind w:right="120" w:firstLine="885"/>
        <w:spacing w:after="0" w:line="266" w:lineRule="auto"/>
        <w:tabs>
          <w:tab w:leader="none" w:pos="1661"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this Synaptics Incorporated Change of Control Severance Policy for Principal Executive Officers (the “CoC</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Policy”) is to provide a fair framework in the event of the termination of employment of one or more key executive officers (an “Executive”) of Synaptics Incorporated or any subsidiary of Synaptics Incorporated (collectively, the “Company”).</w:t>
      </w:r>
    </w:p>
    <w:p>
      <w:pPr>
        <w:spacing w:after="0" w:line="176" w:lineRule="exact"/>
        <w:rPr>
          <w:rFonts w:ascii="Arial" w:cs="Arial" w:eastAsia="Arial" w:hAnsi="Arial"/>
          <w:sz w:val="18"/>
          <w:szCs w:val="18"/>
          <w:color w:val="auto"/>
        </w:rPr>
      </w:pPr>
    </w:p>
    <w:p>
      <w:pPr>
        <w:ind w:right="40" w:firstLine="885"/>
        <w:spacing w:after="0" w:line="266" w:lineRule="auto"/>
        <w:tabs>
          <w:tab w:leader="none" w:pos="1661"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Covered Principal Executive Officers</w:t>
      </w:r>
      <w:r>
        <w:rPr>
          <w:rFonts w:ascii="Arial" w:cs="Arial" w:eastAsia="Arial" w:hAnsi="Arial"/>
          <w:sz w:val="18"/>
          <w:szCs w:val="18"/>
          <w:color w:val="auto"/>
        </w:rPr>
        <w:t>. This CoC Severance Policy shall be applicable to each Executive to the extent such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designated and notified in writing by the Company upon nomination by the Chief Executive Officer (the “CEO”) and approval of the Board of Directors (the “Board”) or the Compensation Committee of the Board of Directors (the “Committee”).</w:t>
      </w:r>
    </w:p>
    <w:p>
      <w:pPr>
        <w:spacing w:after="0" w:line="176" w:lineRule="exact"/>
        <w:rPr>
          <w:rFonts w:ascii="Arial" w:cs="Arial" w:eastAsia="Arial" w:hAnsi="Arial"/>
          <w:sz w:val="18"/>
          <w:szCs w:val="18"/>
          <w:color w:val="auto"/>
        </w:rPr>
      </w:pPr>
    </w:p>
    <w:p>
      <w:pPr>
        <w:ind w:left="1660" w:hanging="775"/>
        <w:spacing w:after="0"/>
        <w:tabs>
          <w:tab w:leader="none" w:pos="1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340" w:hanging="428"/>
        <w:spacing w:after="0"/>
        <w:tabs>
          <w:tab w:leader="none" w:pos="2340" w:val="left"/>
        </w:tabs>
        <w:numPr>
          <w:ilvl w:val="1"/>
          <w:numId w:val="12"/>
        </w:numPr>
        <w:rPr>
          <w:rFonts w:ascii="Arial" w:cs="Arial" w:eastAsia="Arial" w:hAnsi="Arial"/>
          <w:sz w:val="16"/>
          <w:szCs w:val="16"/>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For the purpose of this CoC Severance Policy, a “Change of Control” shall mean any of the following:</w:t>
      </w:r>
    </w:p>
    <w:p>
      <w:pPr>
        <w:spacing w:after="0" w:line="248" w:lineRule="exact"/>
        <w:rPr>
          <w:rFonts w:ascii="Arial" w:cs="Arial" w:eastAsia="Arial" w:hAnsi="Arial"/>
          <w:sz w:val="16"/>
          <w:szCs w:val="16"/>
          <w:color w:val="auto"/>
        </w:rPr>
      </w:pPr>
    </w:p>
    <w:p>
      <w:pPr>
        <w:ind w:left="3220" w:hanging="214"/>
        <w:spacing w:after="0"/>
        <w:tabs>
          <w:tab w:leader="none" w:pos="3220" w:val="left"/>
        </w:tabs>
        <w:numPr>
          <w:ilvl w:val="2"/>
          <w:numId w:val="12"/>
        </w:numPr>
        <w:rPr>
          <w:rFonts w:ascii="Arial" w:cs="Arial" w:eastAsia="Arial" w:hAnsi="Arial"/>
          <w:sz w:val="16"/>
          <w:szCs w:val="16"/>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A change in control of a nature that would be required to be reported in response to Item</w:t>
      </w:r>
    </w:p>
    <w:p>
      <w:pPr>
        <w:spacing w:after="0" w:line="50" w:lineRule="exact"/>
        <w:rPr>
          <w:rFonts w:ascii="Arial" w:cs="Arial" w:eastAsia="Arial" w:hAnsi="Arial"/>
          <w:sz w:val="16"/>
          <w:szCs w:val="16"/>
          <w:color w:val="auto"/>
        </w:rPr>
      </w:pPr>
    </w:p>
    <w:p>
      <w:pPr>
        <w:jc w:val="both"/>
        <w:ind w:left="3220"/>
        <w:spacing w:after="0" w:line="277" w:lineRule="auto"/>
        <w:rPr>
          <w:rFonts w:ascii="Arial" w:cs="Arial" w:eastAsia="Arial" w:hAnsi="Arial"/>
          <w:sz w:val="16"/>
          <w:szCs w:val="16"/>
          <w:color w:val="auto"/>
        </w:rPr>
      </w:pPr>
      <w:r>
        <w:rPr>
          <w:rFonts w:ascii="Arial" w:cs="Arial" w:eastAsia="Arial" w:hAnsi="Arial"/>
          <w:sz w:val="17"/>
          <w:szCs w:val="17"/>
          <w:color w:val="auto"/>
        </w:rPr>
        <w:t>6(e) of Schedule 14A of Regulation 14A promulgated under the Securities Exchange Act of 1934, as amended, or if Item 6(e) is no longer in effect, any regulations issued by the Securities and Exchange Commission pursuant to the Securities Exchange Act of 1934, as amended, which serve similar purposes;</w:t>
      </w:r>
    </w:p>
    <w:p>
      <w:pPr>
        <w:spacing w:after="0" w:line="169" w:lineRule="exact"/>
        <w:rPr>
          <w:rFonts w:ascii="Arial" w:cs="Arial" w:eastAsia="Arial" w:hAnsi="Arial"/>
          <w:sz w:val="16"/>
          <w:szCs w:val="16"/>
          <w:color w:val="auto"/>
        </w:rPr>
      </w:pPr>
    </w:p>
    <w:p>
      <w:pPr>
        <w:ind w:left="3240" w:right="100" w:hanging="234"/>
        <w:spacing w:after="0" w:line="289" w:lineRule="auto"/>
        <w:tabs>
          <w:tab w:leader="none" w:pos="3240" w:val="left"/>
        </w:tabs>
        <w:numPr>
          <w:ilvl w:val="2"/>
          <w:numId w:val="12"/>
        </w:numPr>
        <w:rPr>
          <w:rFonts w:ascii="Arial" w:cs="Arial" w:eastAsia="Arial" w:hAnsi="Arial"/>
          <w:sz w:val="17"/>
          <w:szCs w:val="17"/>
          <w:color w:val="auto"/>
        </w:rPr>
      </w:pPr>
      <w:r>
        <w:rPr>
          <w:rFonts w:ascii="Arial" w:cs="Arial" w:eastAsia="Arial" w:hAnsi="Arial"/>
          <w:sz w:val="17"/>
          <w:szCs w:val="17"/>
          <w:b w:val="1"/>
          <w:bCs w:val="1"/>
          <w:color w:val="auto"/>
        </w:rPr>
        <w:t>Tender Offer</w:t>
      </w:r>
      <w:r>
        <w:rPr>
          <w:rFonts w:ascii="Arial" w:cs="Arial" w:eastAsia="Arial" w:hAnsi="Arial"/>
          <w:sz w:val="17"/>
          <w:szCs w:val="17"/>
          <w:color w:val="auto"/>
        </w:rPr>
        <w:t>. A tender offer or exchange offer is made whereby the effect of such offer is to take over and</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the Company, and such offer is consummated for the equity securities of the Company representing 50% or more of the combined voting power of the Company’s then outstanding voting securities;</w:t>
      </w:r>
    </w:p>
    <w:p>
      <w:pPr>
        <w:spacing w:after="0" w:line="158" w:lineRule="exact"/>
        <w:rPr>
          <w:sz w:val="20"/>
          <w:szCs w:val="20"/>
          <w:color w:val="auto"/>
        </w:rPr>
      </w:pPr>
    </w:p>
    <w:p>
      <w:pPr>
        <w:ind w:left="3280" w:right="220" w:hanging="269"/>
        <w:spacing w:after="0" w:line="292" w:lineRule="auto"/>
        <w:rPr>
          <w:sz w:val="20"/>
          <w:szCs w:val="20"/>
          <w:color w:val="auto"/>
        </w:rPr>
      </w:pPr>
      <w:r>
        <w:rPr>
          <w:rFonts w:ascii="Arial" w:cs="Arial" w:eastAsia="Arial" w:hAnsi="Arial"/>
          <w:sz w:val="16"/>
          <w:szCs w:val="16"/>
          <w:color w:val="auto"/>
        </w:rPr>
        <w:t>(iii)</w:t>
      </w:r>
      <w:r>
        <w:rPr>
          <w:rFonts w:ascii="Arial" w:cs="Arial" w:eastAsia="Arial" w:hAnsi="Arial"/>
          <w:sz w:val="16"/>
          <w:szCs w:val="16"/>
          <w:b w:val="1"/>
          <w:bCs w:val="1"/>
          <w:color w:val="auto"/>
        </w:rPr>
        <w:t>Merger or Consolidation</w:t>
      </w:r>
      <w:r>
        <w:rPr>
          <w:rFonts w:ascii="Arial" w:cs="Arial" w:eastAsia="Arial" w:hAnsi="Arial"/>
          <w:sz w:val="16"/>
          <w:szCs w:val="16"/>
          <w:color w:val="auto"/>
        </w:rPr>
        <w:t>. The stockholders of the Company shall approve a merger, consolidation, recapitalization, or reorganization of the Company, a reverse stock split of outstanding voting securities, or consummation of any such transaction if stockholder approval is not obtained, other than any such transaction that would result in at least 50% of the total voting power represented by the voting securities of the surviving entity outstanding immediately after such transaction being beneficially owned by the holders of outstanding voting securities of the Company immediately prior to the transaction, with the voting power of each such continuing holder relative to other such continuing holders not substantially altered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ind w:left="2080" w:right="40" w:hanging="274"/>
        <w:spacing w:after="0" w:line="261" w:lineRule="auto"/>
        <w:tabs>
          <w:tab w:leader="none" w:pos="20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Liquidation or Sale of Assets</w:t>
      </w:r>
      <w:r>
        <w:rPr>
          <w:rFonts w:ascii="Arial" w:cs="Arial" w:eastAsia="Arial" w:hAnsi="Arial"/>
          <w:sz w:val="18"/>
          <w:szCs w:val="18"/>
          <w:color w:val="auto"/>
        </w:rPr>
        <w:t>. The stockholders of the Company shall approve a plan of complete 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an agreement for the sale or disposition by the Company of all or a substantial portion of the Company’s assets to another person, which is not a wholly owned subsidiary of the Company (i.e., 50% or more of the total assets of the Company); or</w:t>
      </w:r>
    </w:p>
    <w:p>
      <w:pPr>
        <w:spacing w:after="0" w:line="180" w:lineRule="exact"/>
        <w:rPr>
          <w:sz w:val="20"/>
          <w:szCs w:val="20"/>
          <w:color w:val="auto"/>
        </w:rPr>
      </w:pPr>
    </w:p>
    <w:p>
      <w:pPr>
        <w:ind w:left="2020" w:right="40" w:hanging="215"/>
        <w:spacing w:after="0" w:line="261" w:lineRule="auto"/>
        <w:rPr>
          <w:sz w:val="20"/>
          <w:szCs w:val="20"/>
          <w:color w:val="auto"/>
        </w:rPr>
      </w:pPr>
      <w:r>
        <w:rPr>
          <w:rFonts w:ascii="Arial" w:cs="Arial" w:eastAsia="Arial" w:hAnsi="Arial"/>
          <w:sz w:val="18"/>
          <w:szCs w:val="18"/>
          <w:color w:val="auto"/>
        </w:rPr>
        <w:t>(v)</w:t>
      </w:r>
      <w:r>
        <w:rPr>
          <w:rFonts w:ascii="Arial" w:cs="Arial" w:eastAsia="Arial" w:hAnsi="Arial"/>
          <w:sz w:val="18"/>
          <w:szCs w:val="18"/>
          <w:b w:val="1"/>
          <w:bCs w:val="1"/>
          <w:color w:val="auto"/>
        </w:rPr>
        <w:t>Stockholdings</w:t>
      </w:r>
      <w:r>
        <w:rPr>
          <w:rFonts w:ascii="Arial" w:cs="Arial" w:eastAsia="Arial" w:hAnsi="Arial"/>
          <w:sz w:val="18"/>
          <w:szCs w:val="18"/>
          <w:color w:val="auto"/>
        </w:rPr>
        <w:t>. Any “person” (as that term is used in Sections 13(d) and 14(d) of the Securities Exchange Act of 1934, as amended) is or becomes the “beneficial owner” (as defined in Rule 13d-3 under that act), directly or indirectly of more than 50% of the total voting power represented by the Company’s then outstanding voting securities.</w:t>
      </w:r>
    </w:p>
    <w:p>
      <w:pPr>
        <w:spacing w:after="0" w:line="180" w:lineRule="exact"/>
        <w:rPr>
          <w:sz w:val="20"/>
          <w:szCs w:val="20"/>
          <w:color w:val="auto"/>
        </w:rPr>
      </w:pPr>
    </w:p>
    <w:p>
      <w:pPr>
        <w:ind w:left="1140" w:right="60" w:hanging="428"/>
        <w:spacing w:after="0" w:line="313"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Change of Control Period. </w:t>
      </w:r>
      <w:r>
        <w:rPr>
          <w:rFonts w:ascii="Arial" w:cs="Arial" w:eastAsia="Arial" w:hAnsi="Arial"/>
          <w:sz w:val="17"/>
          <w:szCs w:val="17"/>
          <w:color w:val="auto"/>
        </w:rPr>
        <w:t>The “Change of Control Period” shall mean the period commencing on the date that is three (3)</w:t>
      </w:r>
      <w:r>
        <w:rPr>
          <w:rFonts w:ascii="Arial" w:cs="Arial" w:eastAsia="Arial" w:hAnsi="Arial"/>
          <w:sz w:val="17"/>
          <w:szCs w:val="17"/>
          <w:b w:val="1"/>
          <w:bCs w:val="1"/>
          <w:color w:val="auto"/>
        </w:rPr>
        <w:t xml:space="preserve"> </w:t>
      </w:r>
      <w:r>
        <w:rPr>
          <w:rFonts w:ascii="Arial" w:cs="Arial" w:eastAsia="Arial" w:hAnsi="Arial"/>
          <w:sz w:val="17"/>
          <w:szCs w:val="17"/>
          <w:color w:val="auto"/>
        </w:rPr>
        <w:t>months prior to the Effective Date and ending on the eighteen (18) month anniversary of the Effective Date.</w:t>
      </w:r>
    </w:p>
    <w:p>
      <w:pPr>
        <w:spacing w:after="0" w:line="138" w:lineRule="exact"/>
        <w:rPr>
          <w:rFonts w:ascii="Arial" w:cs="Arial" w:eastAsia="Arial" w:hAnsi="Arial"/>
          <w:sz w:val="17"/>
          <w:szCs w:val="17"/>
          <w:color w:val="auto"/>
        </w:rPr>
      </w:pPr>
    </w:p>
    <w:p>
      <w:pPr>
        <w:ind w:left="1140" w:hanging="428"/>
        <w:spacing w:after="0"/>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Effective Date</w:t>
      </w:r>
      <w:r>
        <w:rPr>
          <w:rFonts w:ascii="Arial" w:cs="Arial" w:eastAsia="Arial" w:hAnsi="Arial"/>
          <w:sz w:val="17"/>
          <w:szCs w:val="17"/>
          <w:color w:val="auto"/>
        </w:rPr>
        <w:t>. The “Effective Date” shall be the closing date of the transaction on which a Change of Control occurs.</w:t>
      </w:r>
    </w:p>
    <w:p>
      <w:pPr>
        <w:spacing w:after="0" w:line="236" w:lineRule="exact"/>
        <w:rPr>
          <w:rFonts w:ascii="Arial" w:cs="Arial" w:eastAsia="Arial" w:hAnsi="Arial"/>
          <w:sz w:val="17"/>
          <w:szCs w:val="17"/>
          <w:color w:val="auto"/>
        </w:rPr>
      </w:pPr>
    </w:p>
    <w:p>
      <w:pPr>
        <w:ind w:left="1140" w:hanging="428"/>
        <w:spacing w:after="0" w:line="255"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Good Cause</w:t>
      </w:r>
      <w:r>
        <w:rPr>
          <w:rFonts w:ascii="Arial" w:cs="Arial" w:eastAsia="Arial" w:hAnsi="Arial"/>
          <w:sz w:val="18"/>
          <w:szCs w:val="18"/>
          <w:color w:val="auto"/>
        </w:rPr>
        <w:t>. “Good Cause,” as it applies to the determination of the Company to terminate the employment of an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one or more of the following: (i) Executive’s willful, material, and irreparable breach of Executive’s duties to the Company; (ii) Executive’s gross negligence in the performance or intentional nonperformance (continuing for 30 days after receipt of written notice of need to cure) of any of Executive’s material duties and responsibilities; (iii) Executive’s willful dishonesty, fraud, or misconduct with respect to the business or affairs of the Company, which materially and adversely affects the operations or reputation of the Company; (iv) Executive’s indictment for, conviction of, or guilty plea to a felony crime involving dishonesty or moral turpitude whether or not relating to the Company; or (v) a confirmed positive illegal drug test result.</w:t>
      </w:r>
    </w:p>
    <w:p>
      <w:pPr>
        <w:spacing w:after="0" w:line="185" w:lineRule="exact"/>
        <w:rPr>
          <w:rFonts w:ascii="Arial" w:cs="Arial" w:eastAsia="Arial" w:hAnsi="Arial"/>
          <w:sz w:val="18"/>
          <w:szCs w:val="18"/>
          <w:color w:val="auto"/>
        </w:rPr>
      </w:pPr>
    </w:p>
    <w:p>
      <w:pPr>
        <w:ind w:left="1140" w:hanging="428"/>
        <w:spacing w:after="0" w:line="291"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Good Reason</w:t>
      </w:r>
      <w:r>
        <w:rPr>
          <w:rFonts w:ascii="Arial" w:cs="Arial" w:eastAsia="Arial" w:hAnsi="Arial"/>
          <w:sz w:val="16"/>
          <w:szCs w:val="16"/>
          <w:color w:val="auto"/>
        </w:rPr>
        <w:t>. “Good Reason,” as it applies to the determination by an Executive to terminate the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occurrence of any of the following events without Executive’s prior written approval: (i) Executive is demoted by means of a material reduction in authority, responsibilities, or duties or Executive is required to render Executive’s primary employment services from a Company location that is more than 50 miles from the Company location from which Executive provides employment services to the Company at the time Executive becomes an Executive other than as has been previously contemplated by the Company and Executive; (ii) Executive’s annual base salary for a fiscal year is reduced to a level that is less than 90% of the base salary paid to Executive during the prior fiscal year; or (iii) Executive’s Targeted Bonus is reduced to a level that is less than ninety percent (90%) of the Targeted Bonus for Executive during the prior fiscal year.</w:t>
      </w:r>
    </w:p>
    <w:p>
      <w:pPr>
        <w:spacing w:after="0" w:line="160" w:lineRule="exact"/>
        <w:rPr>
          <w:rFonts w:ascii="Arial" w:cs="Arial" w:eastAsia="Arial" w:hAnsi="Arial"/>
          <w:sz w:val="16"/>
          <w:szCs w:val="16"/>
          <w:color w:val="auto"/>
        </w:rPr>
      </w:pPr>
    </w:p>
    <w:p>
      <w:pPr>
        <w:ind w:left="1140" w:right="100" w:hanging="428"/>
        <w:spacing w:after="0" w:line="273"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Insurance Coverage</w:t>
      </w:r>
      <w:r>
        <w:rPr>
          <w:rFonts w:ascii="Arial" w:cs="Arial" w:eastAsia="Arial" w:hAnsi="Arial"/>
          <w:sz w:val="17"/>
          <w:szCs w:val="17"/>
          <w:color w:val="auto"/>
        </w:rPr>
        <w:t>. “Insurance Coverage” shall mean, for Executive and/or Executive’s family who are qualified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as the case may be, all benefits under welfare benefit plans, practices, policies, and programs provided by the Company and its subsidiaries (including, without limitation, medical, prescription, dental, disability, salary continuance, employee life, group life, accidental death, and travel accident insurance plans and programs), at least as favorable as the most favorable of such plans, practices, policies, and programs in effect at any time during the one hundred eighty (180) day period immediately preceding the Effective Date or, if more favorable to Executive and/or Executive’s family, as in effect at any time thereafter with respect to other key executives.</w:t>
      </w:r>
    </w:p>
    <w:p>
      <w:pPr>
        <w:spacing w:after="0" w:line="172" w:lineRule="exact"/>
        <w:rPr>
          <w:rFonts w:ascii="Arial" w:cs="Arial" w:eastAsia="Arial" w:hAnsi="Arial"/>
          <w:sz w:val="17"/>
          <w:szCs w:val="17"/>
          <w:color w:val="auto"/>
        </w:rPr>
      </w:pPr>
    </w:p>
    <w:p>
      <w:pPr>
        <w:ind w:left="1140" w:right="300" w:hanging="428"/>
        <w:spacing w:after="0" w:line="266"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Targeted Bonus</w:t>
      </w:r>
      <w:r>
        <w:rPr>
          <w:rFonts w:ascii="Arial" w:cs="Arial" w:eastAsia="Arial" w:hAnsi="Arial"/>
          <w:sz w:val="18"/>
          <w:szCs w:val="18"/>
          <w:color w:val="auto"/>
        </w:rPr>
        <w:t>. “Targeted Bonus” shall mean, for each fiscal year of the Company, either (i) a bonus program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entitled to participate, which provides Executive with a reasonable opportunity, based on the past compensation practices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41910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121" w:right="259" w:bottom="1440" w:gutter="0" w:footer="0" w:header="0"/>
        </w:sectPr>
      </w:pPr>
    </w:p>
    <w:bookmarkStart w:id="59" w:name="page60"/>
    <w:bookmarkEnd w:id="59"/>
    <w:p>
      <w:pPr>
        <w:ind w:left="1455" w:right="100"/>
        <w:spacing w:after="0" w:line="277" w:lineRule="auto"/>
        <w:rPr>
          <w:sz w:val="20"/>
          <w:szCs w:val="20"/>
          <w:color w:val="auto"/>
        </w:rPr>
      </w:pPr>
      <w:r>
        <w:rPr>
          <w:rFonts w:ascii="Arial" w:cs="Arial" w:eastAsia="Arial" w:hAnsi="Arial"/>
          <w:sz w:val="18"/>
          <w:szCs w:val="18"/>
          <w:color w:val="auto"/>
        </w:rPr>
        <w:t>Company and Executive’s then base salary, to maintain or increase Executive’s total compensation compared to the previous fiscal year or (ii) a targeted bonus based on such factors as the Board may determine.</w:t>
      </w:r>
    </w:p>
    <w:p>
      <w:pPr>
        <w:spacing w:after="0" w:line="383" w:lineRule="exact"/>
        <w:rPr>
          <w:sz w:val="20"/>
          <w:szCs w:val="20"/>
          <w:color w:val="auto"/>
        </w:rPr>
      </w:pPr>
    </w:p>
    <w:p>
      <w:pPr>
        <w:ind w:left="775" w:hanging="775"/>
        <w:spacing w:after="0"/>
        <w:tabs>
          <w:tab w:leader="none" w:pos="77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Termination; Rights on Termination.</w:t>
      </w:r>
    </w:p>
    <w:p>
      <w:pPr>
        <w:spacing w:after="0" w:line="225" w:lineRule="exact"/>
        <w:rPr>
          <w:rFonts w:ascii="Arial" w:cs="Arial" w:eastAsia="Arial" w:hAnsi="Arial"/>
          <w:sz w:val="18"/>
          <w:szCs w:val="18"/>
          <w:color w:val="auto"/>
        </w:rPr>
      </w:pPr>
    </w:p>
    <w:p>
      <w:pPr>
        <w:ind w:left="1415" w:right="360" w:hanging="428"/>
        <w:spacing w:after="0" w:line="282" w:lineRule="auto"/>
        <w:tabs>
          <w:tab w:leader="none" w:pos="1415"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Executive’s employment under this CoC Severance Policy may be terminated in any one of the followings</w:t>
      </w:r>
      <w:r>
        <w:rPr>
          <w:rFonts w:ascii="Arial" w:cs="Arial" w:eastAsia="Arial" w:hAnsi="Arial"/>
          <w:sz w:val="18"/>
          <w:szCs w:val="18"/>
          <w:b w:val="1"/>
          <w:bCs w:val="1"/>
          <w:color w:val="auto"/>
        </w:rPr>
        <w:t xml:space="preserve"> </w:t>
      </w:r>
      <w:r>
        <w:rPr>
          <w:rFonts w:ascii="Arial" w:cs="Arial" w:eastAsia="Arial" w:hAnsi="Arial"/>
          <w:sz w:val="18"/>
          <w:szCs w:val="18"/>
          <w:color w:val="auto"/>
        </w:rPr>
        <w:t>ways:</w:t>
      </w:r>
    </w:p>
    <w:p>
      <w:pPr>
        <w:spacing w:after="0" w:line="161" w:lineRule="exact"/>
        <w:rPr>
          <w:rFonts w:ascii="Arial" w:cs="Arial" w:eastAsia="Arial" w:hAnsi="Arial"/>
          <w:sz w:val="18"/>
          <w:szCs w:val="18"/>
          <w:color w:val="auto"/>
        </w:rPr>
      </w:pPr>
    </w:p>
    <w:p>
      <w:pPr>
        <w:ind w:left="2295" w:right="20" w:hanging="214"/>
        <w:spacing w:after="0" w:line="314" w:lineRule="auto"/>
        <w:tabs>
          <w:tab w:leader="none" w:pos="2295" w:val="left"/>
        </w:tabs>
        <w:numPr>
          <w:ilvl w:val="2"/>
          <w:numId w:val="15"/>
        </w:numPr>
        <w:rPr>
          <w:rFonts w:ascii="Arial" w:cs="Arial" w:eastAsia="Arial" w:hAnsi="Arial"/>
          <w:sz w:val="16"/>
          <w:szCs w:val="16"/>
          <w:color w:val="auto"/>
        </w:rPr>
      </w:pPr>
      <w:r>
        <w:rPr>
          <w:rFonts w:ascii="Arial" w:cs="Arial" w:eastAsia="Arial" w:hAnsi="Arial"/>
          <w:sz w:val="16"/>
          <w:szCs w:val="16"/>
          <w:b w:val="1"/>
          <w:bCs w:val="1"/>
          <w:color w:val="auto"/>
        </w:rPr>
        <w:t>Death of Executive</w:t>
      </w:r>
      <w:r>
        <w:rPr>
          <w:rFonts w:ascii="Arial" w:cs="Arial" w:eastAsia="Arial" w:hAnsi="Arial"/>
          <w:sz w:val="16"/>
          <w:szCs w:val="16"/>
          <w:color w:val="auto"/>
        </w:rPr>
        <w:t>. The employment of Executive shall terminate during the Change of Control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upon Executive’s death. In the event Executive’s employment is terminated as a result of Executive’s death, Executive shall have no right under this CoC Severance Policy to any severance compensation.</w:t>
      </w:r>
    </w:p>
    <w:p>
      <w:pPr>
        <w:spacing w:after="0" w:line="142" w:lineRule="exact"/>
        <w:rPr>
          <w:rFonts w:ascii="Arial" w:cs="Arial" w:eastAsia="Arial" w:hAnsi="Arial"/>
          <w:sz w:val="16"/>
          <w:szCs w:val="16"/>
          <w:color w:val="auto"/>
        </w:rPr>
      </w:pPr>
    </w:p>
    <w:p>
      <w:pPr>
        <w:ind w:left="2315" w:right="40" w:hanging="234"/>
        <w:spacing w:after="0" w:line="287" w:lineRule="auto"/>
        <w:tabs>
          <w:tab w:leader="none" w:pos="2315" w:val="left"/>
        </w:tabs>
        <w:numPr>
          <w:ilvl w:val="2"/>
          <w:numId w:val="15"/>
        </w:numPr>
        <w:rPr>
          <w:rFonts w:ascii="Arial" w:cs="Arial" w:eastAsia="Arial" w:hAnsi="Arial"/>
          <w:sz w:val="16"/>
          <w:szCs w:val="16"/>
          <w:color w:val="auto"/>
        </w:rPr>
      </w:pPr>
      <w:r>
        <w:rPr>
          <w:rFonts w:ascii="Arial" w:cs="Arial" w:eastAsia="Arial" w:hAnsi="Arial"/>
          <w:sz w:val="16"/>
          <w:szCs w:val="16"/>
          <w:b w:val="1"/>
          <w:bCs w:val="1"/>
          <w:color w:val="auto"/>
        </w:rPr>
        <w:t>Disability of Executive</w:t>
      </w:r>
      <w:r>
        <w:rPr>
          <w:rFonts w:ascii="Arial" w:cs="Arial" w:eastAsia="Arial" w:hAnsi="Arial"/>
          <w:sz w:val="16"/>
          <w:szCs w:val="16"/>
          <w:color w:val="auto"/>
        </w:rPr>
        <w:t>. If, during the Change of Control Period, as a result of incapacity due to physical or</w:t>
      </w:r>
      <w:r>
        <w:rPr>
          <w:rFonts w:ascii="Arial" w:cs="Arial" w:eastAsia="Arial" w:hAnsi="Arial"/>
          <w:sz w:val="16"/>
          <w:szCs w:val="16"/>
          <w:b w:val="1"/>
          <w:bCs w:val="1"/>
          <w:color w:val="auto"/>
        </w:rPr>
        <w:t xml:space="preserve"> </w:t>
      </w:r>
      <w:r>
        <w:rPr>
          <w:rFonts w:ascii="Arial" w:cs="Arial" w:eastAsia="Arial" w:hAnsi="Arial"/>
          <w:sz w:val="16"/>
          <w:szCs w:val="16"/>
          <w:color w:val="auto"/>
        </w:rPr>
        <w:t>mental illness or injury, Executive shall have been absent from Executive’s full-time duties hereunder for six (6) consecutive months, then thirty (30) days after giving written notice to Executive (which notice may occur before or after the end of such six (6) month period, but which shall not be effective earlier than the last day of such six</w:t>
      </w:r>
    </w:p>
    <w:p>
      <w:pPr>
        <w:spacing w:after="0" w:line="2" w:lineRule="exact"/>
        <w:rPr>
          <w:rFonts w:ascii="Arial" w:cs="Arial" w:eastAsia="Arial" w:hAnsi="Arial"/>
          <w:sz w:val="16"/>
          <w:szCs w:val="16"/>
          <w:color w:val="auto"/>
        </w:rPr>
      </w:pPr>
    </w:p>
    <w:p>
      <w:pPr>
        <w:ind w:left="2315" w:right="20"/>
        <w:spacing w:after="0" w:line="286" w:lineRule="auto"/>
        <w:rPr>
          <w:rFonts w:ascii="Arial" w:cs="Arial" w:eastAsia="Arial" w:hAnsi="Arial"/>
          <w:sz w:val="16"/>
          <w:szCs w:val="16"/>
          <w:color w:val="auto"/>
        </w:rPr>
      </w:pPr>
      <w:r>
        <w:rPr>
          <w:rFonts w:ascii="Arial" w:cs="Arial" w:eastAsia="Arial" w:hAnsi="Arial"/>
          <w:sz w:val="16"/>
          <w:szCs w:val="16"/>
          <w:color w:val="auto"/>
        </w:rPr>
        <w:t>(6) month period), the Company may terminate Executive’s employment provided Executive is unable to resume Executive’s full-time duties at the conclusion of such notice period. Also, Executive may terminate Executive’s employment if Executive’s health should become impaired to an extent that makes the continued performance of Executive’s duties hereunder hazardous to Executive’s physical or mental health or Executive’s life, provided that Executive shall have furnished the Company with a written statement from a qualified doctor to such effect and provided, further, that, at the Company’s request made within ten (10) days of the date of such written statement, Executive shall submit to an examination by a doctor selected by the Company who is reasonably acceptable to Executive or Executive’s doctor and such doctor shall have concurred in the conclusion of Executive’s doctor. In the event Executive’s employment is terminated as a result of Executive’s disability, Executive shall have no right under this CoC Severance Policy to any severance compensation.</w:t>
      </w:r>
    </w:p>
    <w:p>
      <w:pPr>
        <w:spacing w:after="0" w:line="166" w:lineRule="exact"/>
        <w:rPr>
          <w:sz w:val="20"/>
          <w:szCs w:val="20"/>
          <w:color w:val="auto"/>
        </w:rPr>
      </w:pPr>
    </w:p>
    <w:p>
      <w:pPr>
        <w:ind w:left="2355" w:hanging="269"/>
        <w:spacing w:after="0" w:line="261" w:lineRule="auto"/>
        <w:rPr>
          <w:sz w:val="20"/>
          <w:szCs w:val="20"/>
          <w:color w:val="auto"/>
        </w:rPr>
      </w:pPr>
      <w:r>
        <w:rPr>
          <w:rFonts w:ascii="Arial" w:cs="Arial" w:eastAsia="Arial" w:hAnsi="Arial"/>
          <w:sz w:val="18"/>
          <w:szCs w:val="18"/>
          <w:color w:val="auto"/>
        </w:rPr>
        <w:t>(iii)</w:t>
      </w:r>
      <w:r>
        <w:rPr>
          <w:rFonts w:ascii="Arial" w:cs="Arial" w:eastAsia="Arial" w:hAnsi="Arial"/>
          <w:sz w:val="18"/>
          <w:szCs w:val="18"/>
          <w:b w:val="1"/>
          <w:bCs w:val="1"/>
          <w:color w:val="auto"/>
        </w:rPr>
        <w:t>Termination by the Company for Good Cause</w:t>
      </w:r>
      <w:r>
        <w:rPr>
          <w:rFonts w:ascii="Arial" w:cs="Arial" w:eastAsia="Arial" w:hAnsi="Arial"/>
          <w:sz w:val="18"/>
          <w:szCs w:val="18"/>
          <w:color w:val="auto"/>
        </w:rPr>
        <w:t>. The Company may terminate Executive’s employment during the Change of Control Period upon ten (10) days prior written notice to Executive for Good Cause. In the event of a termination by the Company for Good Cause, Executive shall have no right under this CoC Severance Policy to any severance compensation.</w:t>
      </w:r>
    </w:p>
    <w:p>
      <w:pPr>
        <w:spacing w:after="0" w:line="180" w:lineRule="exact"/>
        <w:rPr>
          <w:sz w:val="20"/>
          <w:szCs w:val="20"/>
          <w:color w:val="auto"/>
        </w:rPr>
      </w:pPr>
    </w:p>
    <w:p>
      <w:pPr>
        <w:ind w:left="2355" w:right="40" w:hanging="274"/>
        <w:spacing w:after="0" w:line="272" w:lineRule="auto"/>
        <w:tabs>
          <w:tab w:leader="none" w:pos="2355"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Termination by the Company Without Good Cause or by Executive with Good Reason</w:t>
      </w:r>
      <w:r>
        <w:rPr>
          <w:rFonts w:ascii="Arial" w:cs="Arial" w:eastAsia="Arial" w:hAnsi="Arial"/>
          <w:sz w:val="17"/>
          <w:szCs w:val="17"/>
          <w:color w:val="auto"/>
        </w:rPr>
        <w:t>.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Executive’s employment without Good Cause during the Change of Control Period upon the approval of a majority of the members of the Board, excluding Executive if Executive is a member of the</w:t>
      </w:r>
    </w:p>
    <w:p>
      <w:pPr>
        <w:spacing w:after="0" w:line="1" w:lineRule="exact"/>
        <w:rPr>
          <w:rFonts w:ascii="Arial" w:cs="Arial" w:eastAsia="Arial" w:hAnsi="Arial"/>
          <w:sz w:val="17"/>
          <w:szCs w:val="17"/>
          <w:color w:val="auto"/>
        </w:rPr>
      </w:pPr>
    </w:p>
    <w:p>
      <w:pPr>
        <w:ind w:left="2355" w:right="20"/>
        <w:spacing w:after="0" w:line="268" w:lineRule="auto"/>
        <w:rPr>
          <w:rFonts w:ascii="Arial" w:cs="Arial" w:eastAsia="Arial" w:hAnsi="Arial"/>
          <w:sz w:val="17"/>
          <w:szCs w:val="17"/>
          <w:color w:val="auto"/>
        </w:rPr>
      </w:pPr>
      <w:r>
        <w:rPr>
          <w:rFonts w:ascii="Arial" w:cs="Arial" w:eastAsia="Arial" w:hAnsi="Arial"/>
          <w:sz w:val="17"/>
          <w:szCs w:val="17"/>
          <w:color w:val="auto"/>
        </w:rPr>
        <w:t>Board. Executive may terminate Executive’s employment with Good Reason during the Change of Control Period upon ten (10) days prior written notice to the Company. For purposes of this paragraph 4(a)(iv), any good faith determination of “Good Reason” made by Executive shall be conclusive. Should the Company terminate Executive’s employment without Good Cause during the Change of Control Period or should Executive terminate Executive’s employment with Good Reason during the Change of Control Period, the Company shall, for a period of eighteen (18) months after termination, pay to Executive on each regular payroll date as in effect on termination a pro-rata amount equal to the sum of (A) two hundred percent (200%) of Executive’s Base Salary in the case of the CEO and one hundred fifty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45085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125" w:right="239" w:bottom="1440" w:gutter="0" w:footer="0" w:header="0"/>
        </w:sectPr>
      </w:pPr>
    </w:p>
    <w:bookmarkStart w:id="60" w:name="page61"/>
    <w:bookmarkEnd w:id="60"/>
    <w:p>
      <w:pPr>
        <w:ind w:left="2295" w:right="40"/>
        <w:spacing w:after="0" w:line="269" w:lineRule="auto"/>
        <w:rPr>
          <w:sz w:val="20"/>
          <w:szCs w:val="20"/>
          <w:color w:val="auto"/>
        </w:rPr>
      </w:pPr>
      <w:r>
        <w:rPr>
          <w:rFonts w:ascii="Arial" w:cs="Arial" w:eastAsia="Arial" w:hAnsi="Arial"/>
          <w:sz w:val="17"/>
          <w:szCs w:val="17"/>
          <w:color w:val="auto"/>
        </w:rPr>
        <w:t>percent (150%) in the case of any other Executive and (B) two hundred percent (200%) of Executive’s Targeted Bonus in the case of the CEO and one hundred fifty percent (150%) in the case of any other Executive, in each case for the fiscal year during which termination occurs. Further, if during the Change of Control Period the Company terminates Executive’s employment without Good Cause or Executive terminates Executive’s employment with Good Reason, (1) the Company shall, for a period of eighteen (18) months after termination, continue the Insurance Coverage if and to the extent required by COBRA by way of making the family medical insurance premium payments contemplated by COBRA; (2) the Company shall, for a period of eighteen (18) months after termination, maintain life insurance coverage comparable to that provided immediately prior to termination, if any, with the beneficiary designated by Executive; and (3) Executive shall be entitled to receive all other accrued but unpaid benefits relating to vacations, Insurance Coverage, and other executive perquisites through Executive’s last day of employment.</w:t>
      </w:r>
    </w:p>
    <w:p>
      <w:pPr>
        <w:spacing w:after="0" w:line="179" w:lineRule="exact"/>
        <w:rPr>
          <w:sz w:val="20"/>
          <w:szCs w:val="20"/>
          <w:color w:val="auto"/>
        </w:rPr>
      </w:pPr>
    </w:p>
    <w:p>
      <w:pPr>
        <w:ind w:left="2295" w:right="300" w:hanging="215"/>
        <w:spacing w:after="0" w:line="277" w:lineRule="auto"/>
        <w:rPr>
          <w:sz w:val="20"/>
          <w:szCs w:val="20"/>
          <w:color w:val="auto"/>
        </w:rPr>
      </w:pPr>
      <w:r>
        <w:rPr>
          <w:rFonts w:ascii="Arial" w:cs="Arial" w:eastAsia="Arial" w:hAnsi="Arial"/>
          <w:sz w:val="17"/>
          <w:szCs w:val="17"/>
          <w:color w:val="auto"/>
        </w:rPr>
        <w:t>(v)</w:t>
      </w:r>
      <w:r>
        <w:rPr>
          <w:rFonts w:ascii="Arial" w:cs="Arial" w:eastAsia="Arial" w:hAnsi="Arial"/>
          <w:sz w:val="17"/>
          <w:szCs w:val="17"/>
          <w:b w:val="1"/>
          <w:bCs w:val="1"/>
          <w:color w:val="auto"/>
        </w:rPr>
        <w:t>Resignation by Executive Without Good Reason</w:t>
      </w:r>
      <w:r>
        <w:rPr>
          <w:rFonts w:ascii="Arial" w:cs="Arial" w:eastAsia="Arial" w:hAnsi="Arial"/>
          <w:sz w:val="17"/>
          <w:szCs w:val="17"/>
          <w:color w:val="auto"/>
        </w:rPr>
        <w:t>. Executive may without cause and without Good Reason terminate Executive’s own employment during the Change of Control Period, effective thirty (30) days after written notice is provided to the Company or such earlier time as any such resignation may be accepted by the Company. If Executive resigns or otherwise terminates Executive’s employment without Good Reason, Executive shall receive no severance compensation under this CoC Severance Policy.</w:t>
      </w:r>
    </w:p>
    <w:p>
      <w:pPr>
        <w:spacing w:after="0" w:line="168" w:lineRule="exact"/>
        <w:rPr>
          <w:sz w:val="20"/>
          <w:szCs w:val="20"/>
          <w:color w:val="auto"/>
        </w:rPr>
      </w:pPr>
    </w:p>
    <w:p>
      <w:pPr>
        <w:ind w:left="2355" w:right="40" w:hanging="274"/>
        <w:spacing w:after="0" w:line="290" w:lineRule="auto"/>
        <w:tabs>
          <w:tab w:leader="none" w:pos="2355" w:val="left"/>
        </w:tabs>
        <w:numPr>
          <w:ilvl w:val="2"/>
          <w:numId w:val="17"/>
        </w:numPr>
        <w:rPr>
          <w:rFonts w:ascii="Arial" w:cs="Arial" w:eastAsia="Arial" w:hAnsi="Arial"/>
          <w:sz w:val="16"/>
          <w:szCs w:val="16"/>
          <w:color w:val="auto"/>
        </w:rPr>
      </w:pPr>
      <w:r>
        <w:rPr>
          <w:rFonts w:ascii="Arial" w:cs="Arial" w:eastAsia="Arial" w:hAnsi="Arial"/>
          <w:sz w:val="16"/>
          <w:szCs w:val="16"/>
          <w:b w:val="1"/>
          <w:bCs w:val="1"/>
          <w:color w:val="auto"/>
        </w:rPr>
        <w:t>Effect on Stock Options and Deferred Stock Units</w:t>
      </w:r>
      <w:r>
        <w:rPr>
          <w:rFonts w:ascii="Arial" w:cs="Arial" w:eastAsia="Arial" w:hAnsi="Arial"/>
          <w:sz w:val="16"/>
          <w:szCs w:val="16"/>
          <w:color w:val="auto"/>
        </w:rPr>
        <w:t>. In the event Executive is terminated during the 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Period by the Company without Good Cause or by Executive with Good Reason, all unvested stock options and deferred stock units (which shall not include “market stock units” that vest based on the achievement of a specified level of total stockholder return compared with a predetermined stock index over a performance period) held by Executive shall vest as of the day immediately preceding any such termination of Executive’s employment, provided that any options or deferred stock units granted prior to the date hereof that included specific provisions regarding accelerated vesting shall be unchanged. In addition, any vested stock options (including those vested as a result of this paragraph 4(a)(vi)) held by Executive shall be exercisable for ninety (90) days after the termination of Executive’s employment, but not beyond their original term.</w:t>
      </w:r>
    </w:p>
    <w:p>
      <w:pPr>
        <w:spacing w:after="0" w:line="159" w:lineRule="exact"/>
        <w:rPr>
          <w:rFonts w:ascii="Arial" w:cs="Arial" w:eastAsia="Arial" w:hAnsi="Arial"/>
          <w:sz w:val="16"/>
          <w:szCs w:val="16"/>
          <w:color w:val="auto"/>
        </w:rPr>
      </w:pPr>
    </w:p>
    <w:p>
      <w:pPr>
        <w:ind w:left="775" w:hanging="775"/>
        <w:spacing w:after="0"/>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Certain Reduction of Payment by the Company.</w:t>
      </w:r>
    </w:p>
    <w:p>
      <w:pPr>
        <w:spacing w:after="0" w:line="225" w:lineRule="exact"/>
        <w:rPr>
          <w:rFonts w:ascii="Arial" w:cs="Arial" w:eastAsia="Arial" w:hAnsi="Arial"/>
          <w:sz w:val="18"/>
          <w:szCs w:val="18"/>
          <w:color w:val="auto"/>
        </w:rPr>
      </w:pPr>
    </w:p>
    <w:p>
      <w:pPr>
        <w:ind w:left="1415" w:hanging="428"/>
        <w:spacing w:after="0" w:line="287" w:lineRule="auto"/>
        <w:tabs>
          <w:tab w:leader="none" w:pos="1415"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Potential Section 280G Reductions</w:t>
      </w:r>
      <w:r>
        <w:rPr>
          <w:rFonts w:ascii="Arial" w:cs="Arial" w:eastAsia="Arial" w:hAnsi="Arial"/>
          <w:sz w:val="16"/>
          <w:szCs w:val="16"/>
          <w:color w:val="auto"/>
        </w:rPr>
        <w:t>. Notwithstanding anything in this CoC Severance Policy to the contrary,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shall be determined that any payment, distribution, or other action by the Company to or for the benefit of Executive (whether paid or payable or distributed or distributable pursuant to the terms of this CoC Severance Policy or otherwise (a “Payment”)) would result in an “excess parachute payment” within the meaning of Section 280G(b)(i) of the Internal Revenue Code of 1986, as amended (the “Code”), and the value determined in accordance with Section 280G(d)(4) of the Code of the Payments, net of all taxes imposed on Executive (the “Net After-Tax Amount”), that Executive would receive would be increased if the Payments were reduced, then the Payments shall be reduced by an amount (the “Reduction Amount”) so that the Net After-Tax Amount after such reduction is greatest. For purposes of determining the Net After-Tax Amount, Executive shall be deemed to (i) pay federal income taxes at the highest marginal rates of federal income taxation for the calendar year in which the Payment is to be made, and (ii) pay applicable state and local income taxes at the highest marginal rate of taxation for the calendar year in which the Payment is to be made, net of the maximum reduction in federal income taxes which could be obtained from deduction of such state and local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37465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125" w:right="239" w:bottom="1440" w:gutter="0" w:footer="0" w:header="0"/>
        </w:sectPr>
      </w:pPr>
    </w:p>
    <w:bookmarkStart w:id="61" w:name="page62"/>
    <w:bookmarkEnd w:id="61"/>
    <w:p>
      <w:pPr>
        <w:ind w:left="1415" w:hanging="428"/>
        <w:spacing w:after="0" w:line="286" w:lineRule="auto"/>
        <w:tabs>
          <w:tab w:leader="none" w:pos="1415" w:val="left"/>
        </w:tabs>
        <w:numPr>
          <w:ilvl w:val="1"/>
          <w:numId w:val="19"/>
        </w:numPr>
        <w:rPr>
          <w:rFonts w:ascii="Arial" w:cs="Arial" w:eastAsia="Arial" w:hAnsi="Arial"/>
          <w:sz w:val="16"/>
          <w:szCs w:val="16"/>
          <w:color w:val="auto"/>
        </w:rPr>
      </w:pPr>
      <w:r>
        <w:rPr>
          <w:rFonts w:ascii="Arial" w:cs="Arial" w:eastAsia="Arial" w:hAnsi="Arial"/>
          <w:sz w:val="16"/>
          <w:szCs w:val="16"/>
          <w:b w:val="1"/>
          <w:bCs w:val="1"/>
          <w:color w:val="auto"/>
        </w:rPr>
        <w:t>Determinations</w:t>
      </w:r>
      <w:r>
        <w:rPr>
          <w:rFonts w:ascii="Arial" w:cs="Arial" w:eastAsia="Arial" w:hAnsi="Arial"/>
          <w:sz w:val="16"/>
          <w:szCs w:val="16"/>
          <w:color w:val="auto"/>
        </w:rPr>
        <w:t>. Subject to the provisions of this paragraph 5(b), all determinations required to be made under this paragraph</w:t>
      </w:r>
      <w:r>
        <w:rPr>
          <w:rFonts w:ascii="Arial" w:cs="Arial" w:eastAsia="Arial" w:hAnsi="Arial"/>
          <w:sz w:val="16"/>
          <w:szCs w:val="16"/>
          <w:b w:val="1"/>
          <w:bCs w:val="1"/>
          <w:color w:val="auto"/>
        </w:rPr>
        <w:t xml:space="preserve"> </w:t>
      </w:r>
      <w:r>
        <w:rPr>
          <w:rFonts w:ascii="Arial" w:cs="Arial" w:eastAsia="Arial" w:hAnsi="Arial"/>
          <w:sz w:val="16"/>
          <w:szCs w:val="16"/>
          <w:color w:val="auto"/>
        </w:rPr>
        <w:t>5, including the Net After-Tax Amount, the Reduction Amount, and the Payment that is to be reduced pursuant to paragraph 5(a), and the assumptions to be utilized in arriving at such determinations, shall be made by the Company’s independent registered public accounting firm (the “Accounting Firm”), which shall provide detailed supporting calculations both to the Company and Executive within fifteen (15) business days of the receipt of notice from Executive that there has been a Payment, or such earlier time as is requested by the Company. The Accounting Firm’s decision as to which Payments are to be reduced shall be made (i) only from Payments that the Accounting Firm determines reasonably may be characterized as “parachute payments” under Section 280G of the Code; (ii) first, only from Payments that are required to be made in cash; (iii) only with respect to any amounts that are not payable pursuant to a “nonqualified deferred compensation plan” subject to Section 409A of the Code, until those payments have been reduced to zero; and (iv) in reverse chronological order, to the extent that any Payments subject to reduction are made over time (e.g., in installments). In no event, however, shall any Payments be reduced if and to the extent such reduction would cause a violation of Section 409A of the Code or other applicable law. All fees and expenses of the Accounting Firm shall be borne solely by the Company. Any determination by the Accounting Firm shall be binding upon the Company and Executive.</w:t>
      </w:r>
    </w:p>
    <w:p>
      <w:pPr>
        <w:spacing w:after="0" w:line="171" w:lineRule="exact"/>
        <w:rPr>
          <w:rFonts w:ascii="Arial" w:cs="Arial" w:eastAsia="Arial" w:hAnsi="Arial"/>
          <w:sz w:val="16"/>
          <w:szCs w:val="16"/>
          <w:color w:val="auto"/>
        </w:rPr>
      </w:pPr>
    </w:p>
    <w:p>
      <w:pPr>
        <w:ind w:left="-885" w:right="20" w:firstLine="885"/>
        <w:spacing w:after="0" w:line="303" w:lineRule="auto"/>
        <w:tabs>
          <w:tab w:leader="none" w:pos="775"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Release of Claims</w:t>
      </w:r>
      <w:r>
        <w:rPr>
          <w:rFonts w:ascii="Arial" w:cs="Arial" w:eastAsia="Arial" w:hAnsi="Arial"/>
          <w:sz w:val="16"/>
          <w:szCs w:val="16"/>
          <w:color w:val="auto"/>
        </w:rPr>
        <w:t>. The Company’s obligations under Section 4 are contingent upon Executive’s executing (and not revoking during</w:t>
      </w:r>
      <w:r>
        <w:rPr>
          <w:rFonts w:ascii="Arial" w:cs="Arial" w:eastAsia="Arial" w:hAnsi="Arial"/>
          <w:sz w:val="16"/>
          <w:szCs w:val="16"/>
          <w:b w:val="1"/>
          <w:bCs w:val="1"/>
          <w:color w:val="auto"/>
        </w:rPr>
        <w:t xml:space="preserve"> </w:t>
      </w:r>
      <w:r>
        <w:rPr>
          <w:rFonts w:ascii="Arial" w:cs="Arial" w:eastAsia="Arial" w:hAnsi="Arial"/>
          <w:sz w:val="16"/>
          <w:szCs w:val="16"/>
          <w:color w:val="auto"/>
        </w:rPr>
        <w:t>any applicable revocation period) a valid, enforceable, full and unconditional release of all claims Executive may have against the Company (whether known or unknown) as of the date of termination in such form as provided by the Company no later than sixty (60) days after the date of termination. If the foregoing release is executed and delivered and no longer subject to revocation within 60 days after the date of termination, then the following shall apply:</w:t>
      </w:r>
    </w:p>
    <w:p>
      <w:pPr>
        <w:spacing w:after="0" w:line="155" w:lineRule="exact"/>
        <w:rPr>
          <w:rFonts w:ascii="Arial" w:cs="Arial" w:eastAsia="Arial" w:hAnsi="Arial"/>
          <w:sz w:val="16"/>
          <w:szCs w:val="16"/>
          <w:color w:val="auto"/>
        </w:rPr>
      </w:pPr>
    </w:p>
    <w:p>
      <w:pPr>
        <w:ind w:left="1415" w:right="40" w:hanging="428"/>
        <w:spacing w:after="0" w:line="291" w:lineRule="auto"/>
        <w:tabs>
          <w:tab w:leader="none" w:pos="141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the extent any payments due to Executive under Section 4 are not “deferred compensation” for purposes of Section 409A of the Internal Revenue Code of 1986, as amended, then such payments shall commence upon the first scheduled payment date immediately after the date the release is executed and no longer subject to revocation (the “Release Effective Date”). The first such cash payment shall include payment of all amounts that otherwise would have been due prior to the Release Effective Date under the terms of this CoC Severance Policy had such payments commenced after the date of Employment Termination, and any payments to be made thereafter shall continue as provided herein. The delayed payments shall in any event expire at the time such payments would have expired had such payments commenced after the date of termination.</w:t>
      </w:r>
    </w:p>
    <w:p>
      <w:pPr>
        <w:spacing w:after="0" w:line="167" w:lineRule="exact"/>
        <w:rPr>
          <w:rFonts w:ascii="Arial" w:cs="Arial" w:eastAsia="Arial" w:hAnsi="Arial"/>
          <w:sz w:val="16"/>
          <w:szCs w:val="16"/>
          <w:color w:val="auto"/>
        </w:rPr>
      </w:pPr>
    </w:p>
    <w:p>
      <w:pPr>
        <w:ind w:left="1415" w:hanging="428"/>
        <w:spacing w:after="0"/>
        <w:tabs>
          <w:tab w:leader="none" w:pos="14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extent any payments due to Executive under Section 4 above are “deferred compensation” for purposes of</w:t>
      </w:r>
    </w:p>
    <w:p>
      <w:pPr>
        <w:spacing w:after="0" w:line="23" w:lineRule="exact"/>
        <w:rPr>
          <w:rFonts w:ascii="Arial" w:cs="Arial" w:eastAsia="Arial" w:hAnsi="Arial"/>
          <w:sz w:val="18"/>
          <w:szCs w:val="18"/>
          <w:color w:val="auto"/>
        </w:rPr>
      </w:pPr>
    </w:p>
    <w:p>
      <w:pPr>
        <w:ind w:left="1415" w:right="80"/>
        <w:spacing w:after="0" w:line="292" w:lineRule="auto"/>
        <w:rPr>
          <w:rFonts w:ascii="Arial" w:cs="Arial" w:eastAsia="Arial" w:hAnsi="Arial"/>
          <w:sz w:val="18"/>
          <w:szCs w:val="18"/>
          <w:color w:val="auto"/>
        </w:rPr>
      </w:pPr>
      <w:r>
        <w:rPr>
          <w:rFonts w:ascii="Arial" w:cs="Arial" w:eastAsia="Arial" w:hAnsi="Arial"/>
          <w:sz w:val="16"/>
          <w:szCs w:val="16"/>
          <w:color w:val="auto"/>
        </w:rPr>
        <w:t>Section 409A, then such payments shall commence upon the sixtieth (60</w:t>
      </w:r>
      <w:r>
        <w:rPr>
          <w:rFonts w:ascii="Arial" w:cs="Arial" w:eastAsia="Arial" w:hAnsi="Arial"/>
          <w:sz w:val="13"/>
          <w:szCs w:val="13"/>
          <w:color w:val="auto"/>
        </w:rPr>
        <w:t>th</w:t>
      </w:r>
      <w:r>
        <w:rPr>
          <w:rFonts w:ascii="Arial" w:cs="Arial" w:eastAsia="Arial" w:hAnsi="Arial"/>
          <w:sz w:val="16"/>
          <w:szCs w:val="16"/>
          <w:color w:val="auto"/>
        </w:rPr>
        <w:t>) day following the date of termination. The first such cash payment shall include payment of all amounts that otherwise would have been due prior thereto under the terms of this CoC Severance Policy had such payments commenced after the date of termination, and any payments to be made thereafter shall continue as provided herein. The delayed payments shall in any event expire at the time such payments would have expired had such payments commenced immediately following the date of termination.</w:t>
      </w:r>
    </w:p>
    <w:p>
      <w:pPr>
        <w:spacing w:after="0" w:line="158" w:lineRule="exact"/>
        <w:rPr>
          <w:rFonts w:ascii="Arial" w:cs="Arial" w:eastAsia="Arial" w:hAnsi="Arial"/>
          <w:sz w:val="18"/>
          <w:szCs w:val="18"/>
          <w:color w:val="auto"/>
        </w:rPr>
      </w:pPr>
    </w:p>
    <w:p>
      <w:pPr>
        <w:ind w:left="-885" w:right="20" w:firstLine="885"/>
        <w:spacing w:after="0" w:line="295" w:lineRule="auto"/>
        <w:tabs>
          <w:tab w:leader="none" w:pos="775"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Notwithstanding any provisions in this CoC Severance Policy to the contrary, if at the time of the termination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is a “specified employee” as defined in Section 409A and the deferral of the commencement of any payments or benefits otherwise payable as a result of such termination is necessary to avoid the additional tax under Section 409A, the Company will defer the payment or commencement of the payment of any such payments or benefits (without any reduction in such payments or benefits ultimately paid or provided to Executive) until the date that is six months following the termination. Any monthly payment amounts deferred will be accumulated and paid to Executive (without interest) six months after the date of termination in a lump sum, and the balance of payments due to Executive will be paid as otherwise provided in this CoC Severance Policy.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29210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7" w:right="239" w:bottom="1440" w:gutter="0" w:footer="0" w:header="0"/>
        </w:sectPr>
      </w:pPr>
    </w:p>
    <w:bookmarkStart w:id="62" w:name="page63"/>
    <w:bookmarkEnd w:id="62"/>
    <w:p>
      <w:pPr>
        <w:spacing w:after="0" w:line="290" w:lineRule="auto"/>
        <w:rPr>
          <w:sz w:val="20"/>
          <w:szCs w:val="20"/>
          <w:color w:val="auto"/>
        </w:rPr>
      </w:pPr>
      <w:r>
        <w:rPr>
          <w:rFonts w:ascii="Arial" w:cs="Arial" w:eastAsia="Arial" w:hAnsi="Arial"/>
          <w:sz w:val="16"/>
          <w:szCs w:val="16"/>
          <w:color w:val="auto"/>
        </w:rPr>
        <w:t>monthly payment described in this CoC Severance Policy is designated as a “separate payment” for purposes of Section 409A and, subject to the six month delay, if applicable, and Section 5 the first monthly payment shall commence on the payroll date as in effect on termination following the termination. For purposes of this CoC Severance Policy, a termination of employment means a separation from service as defined in Section 409A. No reimbursement payable to Executive pursuant to any provisions of this CoC Severance Policy or pursuant to any plan or arrangement of the Company shall be paid later than the last day of the calendar year following the calendar year in which the related expense was incurred, and no such reimbursement during any calendar year shall affect the amounts eligible for reimbursement in any other calendar year, except, in each case, to the extent that the right to reimbursement does not provide for a “deferral of compensation” within the meaning of Section 409A. This CoC Severance Policy will be interpreted, administered and operated in accordance with Section 409A, although nothing herein will be construed as an entitlement to or guarantee of any particular tax treatment to Executive.</w:t>
      </w:r>
    </w:p>
    <w:p>
      <w:pPr>
        <w:spacing w:after="0" w:line="162" w:lineRule="exact"/>
        <w:rPr>
          <w:sz w:val="20"/>
          <w:szCs w:val="20"/>
          <w:color w:val="auto"/>
        </w:rPr>
      </w:pPr>
    </w:p>
    <w:p>
      <w:pPr>
        <w:ind w:right="20" w:firstLine="885"/>
        <w:spacing w:after="0" w:line="258" w:lineRule="auto"/>
        <w:tabs>
          <w:tab w:leader="none" w:pos="1661"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This CoC Severance Policy will be effective as of October 30, 2017. At first meeting of the Board or Committee in every third</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following the date of effectiveness of this CoC Severance Policy, the Board or the Committee, as the case may be, will review the CoC Severance Policy and resolve to continue with, modify, or terminate the CoC Severance Policy. If the Board or the Committee fails to take action regarding the CoC Severance Policy, the CoC Severance Policy will remain in effect in accordance with its then-current terms until such time as the Board or Committee takes action.</w:t>
      </w:r>
    </w:p>
    <w:p>
      <w:pPr>
        <w:sectPr>
          <w:pgSz w:w="11900" w:h="16838" w:orient="portrait"/>
          <w:cols w:equalWidth="0" w:num="1">
            <w:col w:w="11380"/>
          </w:cols>
          <w:pgMar w:left="240" w:top="125" w:right="2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POLICY FOR PRINCIPAL EXECUTIVE OFFICERS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October 30, 2017</w:t>
      </w:r>
    </w:p>
    <w:p>
      <w:pPr>
        <w:spacing w:after="0" w:line="221" w:lineRule="exact"/>
        <w:rPr>
          <w:sz w:val="20"/>
          <w:szCs w:val="20"/>
          <w:color w:val="auto"/>
        </w:rPr>
      </w:pPr>
    </w:p>
    <w:p>
      <w:pPr>
        <w:ind w:right="100" w:firstLine="8"/>
        <w:spacing w:after="0" w:line="266"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this Synaptics Incorporated Severance Policy (the “Severance Policy”) is to provide a fair framework in the event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of one or more key executive officers (each an “Executive”) of Synaptics Incorporated or any subsidiary of Synaptics Incorporated (collectively, the “Company”).</w:t>
      </w:r>
    </w:p>
    <w:p>
      <w:pPr>
        <w:spacing w:after="0" w:line="176" w:lineRule="exact"/>
        <w:rPr>
          <w:rFonts w:ascii="Arial" w:cs="Arial" w:eastAsia="Arial" w:hAnsi="Arial"/>
          <w:sz w:val="18"/>
          <w:szCs w:val="18"/>
          <w:color w:val="auto"/>
        </w:rPr>
      </w:pPr>
    </w:p>
    <w:p>
      <w:pPr>
        <w:ind w:right="240" w:firstLine="8"/>
        <w:spacing w:after="0" w:line="266"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Covered Principal Executive Officers</w:t>
      </w:r>
      <w:r>
        <w:rPr>
          <w:rFonts w:ascii="Arial" w:cs="Arial" w:eastAsia="Arial" w:hAnsi="Arial"/>
          <w:sz w:val="18"/>
          <w:szCs w:val="18"/>
          <w:color w:val="auto"/>
        </w:rPr>
        <w:t>. This Severance Policy shall be applicable to each Executive to the extent such Executive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and notified in writing by the Company upon nomination by the Chief Executive Officer (the “CEO”) and approval of the Board of Directors or the Compensation Committee of the Board of Directors (a “Covered Executive”).</w:t>
      </w:r>
    </w:p>
    <w:p>
      <w:pPr>
        <w:spacing w:after="0" w:line="176" w:lineRule="exact"/>
        <w:rPr>
          <w:rFonts w:ascii="Arial" w:cs="Arial" w:eastAsia="Arial" w:hAnsi="Arial"/>
          <w:sz w:val="18"/>
          <w:szCs w:val="18"/>
          <w:color w:val="auto"/>
        </w:rPr>
      </w:pPr>
    </w:p>
    <w:p>
      <w:pPr>
        <w:ind w:left="840" w:hanging="832"/>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40" w:hanging="901"/>
        <w:spacing w:after="0"/>
        <w:tabs>
          <w:tab w:leader="none" w:pos="174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For the purpose of this Severance Policy, a “Change of Control” shall mean any of the following:</w:t>
      </w:r>
    </w:p>
    <w:p>
      <w:pPr>
        <w:spacing w:after="0" w:line="225" w:lineRule="exact"/>
        <w:rPr>
          <w:rFonts w:ascii="Arial" w:cs="Arial" w:eastAsia="Arial" w:hAnsi="Arial"/>
          <w:sz w:val="18"/>
          <w:szCs w:val="18"/>
          <w:color w:val="auto"/>
        </w:rPr>
      </w:pPr>
    </w:p>
    <w:p>
      <w:pPr>
        <w:ind w:left="1660" w:right="140" w:firstLine="10"/>
        <w:spacing w:after="0" w:line="261" w:lineRule="auto"/>
        <w:tabs>
          <w:tab w:leader="none" w:pos="2523" w:val="left"/>
        </w:tabs>
        <w:numPr>
          <w:ilvl w:val="2"/>
          <w:numId w:val="22"/>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A change in control of a nature that would be required to be reported in response to Item 6(e) of</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14A of Regulation 14A promulgated under the Securities Exchange Act of 1934, as amended, or if Item 6(e) is no longer in effect, any regulations issued by the Securities and Exchange Commission pursuant to the Securities Exchange Act of 1934, as amended, which serve similar purposes;</w:t>
      </w:r>
    </w:p>
    <w:p>
      <w:pPr>
        <w:spacing w:after="0" w:line="180" w:lineRule="exact"/>
        <w:rPr>
          <w:rFonts w:ascii="Arial" w:cs="Arial" w:eastAsia="Arial" w:hAnsi="Arial"/>
          <w:sz w:val="18"/>
          <w:szCs w:val="18"/>
          <w:color w:val="auto"/>
        </w:rPr>
      </w:pPr>
    </w:p>
    <w:p>
      <w:pPr>
        <w:ind w:left="1660" w:right="160" w:firstLine="10"/>
        <w:spacing w:after="0" w:line="266" w:lineRule="auto"/>
        <w:tabs>
          <w:tab w:leader="none" w:pos="2573" w:val="left"/>
        </w:tabs>
        <w:numPr>
          <w:ilvl w:val="2"/>
          <w:numId w:val="22"/>
        </w:numPr>
        <w:rPr>
          <w:rFonts w:ascii="Arial" w:cs="Arial" w:eastAsia="Arial" w:hAnsi="Arial"/>
          <w:sz w:val="18"/>
          <w:szCs w:val="18"/>
          <w:color w:val="auto"/>
        </w:rPr>
      </w:pPr>
      <w:r>
        <w:rPr>
          <w:rFonts w:ascii="Arial" w:cs="Arial" w:eastAsia="Arial" w:hAnsi="Arial"/>
          <w:sz w:val="18"/>
          <w:szCs w:val="18"/>
          <w:b w:val="1"/>
          <w:bCs w:val="1"/>
          <w:color w:val="auto"/>
        </w:rPr>
        <w:t>Tender Offer</w:t>
      </w:r>
      <w:r>
        <w:rPr>
          <w:rFonts w:ascii="Arial" w:cs="Arial" w:eastAsia="Arial" w:hAnsi="Arial"/>
          <w:sz w:val="18"/>
          <w:szCs w:val="18"/>
          <w:color w:val="auto"/>
        </w:rPr>
        <w:t>. A tender offer or exchange offer is made whereby the effect of such offer is to take over and control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such offer is consummated for the equity securities of the Company representing 50% or more of the combined voting power of the Company’s then outstanding voting securities;</w:t>
      </w:r>
    </w:p>
    <w:p>
      <w:pPr>
        <w:spacing w:after="0" w:line="176" w:lineRule="exact"/>
        <w:rPr>
          <w:sz w:val="20"/>
          <w:szCs w:val="20"/>
          <w:color w:val="auto"/>
        </w:rPr>
      </w:pPr>
    </w:p>
    <w:p>
      <w:pPr>
        <w:ind w:left="1660" w:right="60" w:firstLine="10"/>
        <w:spacing w:after="0" w:line="295" w:lineRule="auto"/>
        <w:tabs>
          <w:tab w:leader="none" w:pos="2613" w:val="left"/>
        </w:tabs>
        <w:numPr>
          <w:ilvl w:val="1"/>
          <w:numId w:val="23"/>
        </w:numPr>
        <w:rPr>
          <w:rFonts w:ascii="Arial" w:cs="Arial" w:eastAsia="Arial" w:hAnsi="Arial"/>
          <w:sz w:val="16"/>
          <w:szCs w:val="16"/>
          <w:color w:val="auto"/>
        </w:rPr>
      </w:pPr>
      <w:r>
        <w:rPr>
          <w:rFonts w:ascii="Arial" w:cs="Arial" w:eastAsia="Arial" w:hAnsi="Arial"/>
          <w:sz w:val="16"/>
          <w:szCs w:val="16"/>
          <w:b w:val="1"/>
          <w:bCs w:val="1"/>
          <w:color w:val="auto"/>
        </w:rPr>
        <w:t>Merger or Consolidation</w:t>
      </w:r>
      <w:r>
        <w:rPr>
          <w:rFonts w:ascii="Arial" w:cs="Arial" w:eastAsia="Arial" w:hAnsi="Arial"/>
          <w:sz w:val="16"/>
          <w:szCs w:val="16"/>
          <w:color w:val="auto"/>
        </w:rPr>
        <w:t>. The stockholders of the Company shall approve a merger, consolidation, recapitalization,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of the Company, a reverse stock split of outstanding voting securities, or consummation of any such transaction if stockholder approval is not obtained, other than any such transaction that would result in at least 50% of the total voting power represented by the voting securities of the surviving entity outstanding immediately after such transaction being beneficially owned by the holders of outstanding voting securities of the Company immediately prior to the transaction, with the voting power of each such continuing holder relative to other such continuing holders not substantially altered in the transaction;</w:t>
      </w:r>
    </w:p>
    <w:p>
      <w:pPr>
        <w:spacing w:after="0" w:line="155" w:lineRule="exact"/>
        <w:rPr>
          <w:rFonts w:ascii="Arial" w:cs="Arial" w:eastAsia="Arial" w:hAnsi="Arial"/>
          <w:sz w:val="16"/>
          <w:szCs w:val="16"/>
          <w:color w:val="auto"/>
        </w:rPr>
      </w:pPr>
    </w:p>
    <w:p>
      <w:pPr>
        <w:ind w:left="1660" w:right="60" w:firstLine="10"/>
        <w:spacing w:after="0" w:line="314" w:lineRule="auto"/>
        <w:tabs>
          <w:tab w:leader="none" w:pos="2563" w:val="left"/>
        </w:tabs>
        <w:numPr>
          <w:ilvl w:val="1"/>
          <w:numId w:val="23"/>
        </w:numPr>
        <w:rPr>
          <w:rFonts w:ascii="Arial" w:cs="Arial" w:eastAsia="Arial" w:hAnsi="Arial"/>
          <w:sz w:val="16"/>
          <w:szCs w:val="16"/>
          <w:color w:val="auto"/>
        </w:rPr>
      </w:pPr>
      <w:r>
        <w:rPr>
          <w:rFonts w:ascii="Arial" w:cs="Arial" w:eastAsia="Arial" w:hAnsi="Arial"/>
          <w:sz w:val="16"/>
          <w:szCs w:val="16"/>
          <w:b w:val="1"/>
          <w:bCs w:val="1"/>
          <w:color w:val="auto"/>
        </w:rPr>
        <w:t>Liquidation or Sale of Assets</w:t>
      </w:r>
      <w:r>
        <w:rPr>
          <w:rFonts w:ascii="Arial" w:cs="Arial" w:eastAsia="Arial" w:hAnsi="Arial"/>
          <w:sz w:val="16"/>
          <w:szCs w:val="16"/>
          <w:color w:val="auto"/>
        </w:rPr>
        <w:t>. The stockholders of the Company shall approve a plan of complete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 agreement for the sale or disposition by the Company of all or a substantial portion of the Company’s assets to another person, which is not a wholly owned subsidiary of the Company (i.e., 50% or more of the total assets of the Company); or</w:t>
      </w:r>
    </w:p>
    <w:p>
      <w:pPr>
        <w:spacing w:after="0" w:line="142" w:lineRule="exact"/>
        <w:rPr>
          <w:rFonts w:ascii="Arial" w:cs="Arial" w:eastAsia="Arial" w:hAnsi="Arial"/>
          <w:sz w:val="16"/>
          <w:szCs w:val="16"/>
          <w:color w:val="auto"/>
        </w:rPr>
      </w:pPr>
    </w:p>
    <w:p>
      <w:pPr>
        <w:jc w:val="both"/>
        <w:ind w:left="1660" w:firstLine="10"/>
        <w:spacing w:after="0" w:line="266" w:lineRule="auto"/>
        <w:tabs>
          <w:tab w:leader="none" w:pos="2613"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Stockholdings</w:t>
      </w:r>
      <w:r>
        <w:rPr>
          <w:rFonts w:ascii="Arial" w:cs="Arial" w:eastAsia="Arial" w:hAnsi="Arial"/>
          <w:sz w:val="18"/>
          <w:szCs w:val="18"/>
          <w:color w:val="auto"/>
        </w:rPr>
        <w:t>. Any “person” (as that term is used in Sections 13(d) and 14(d) of the Securities Exchange Act of 1934,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is or becomes the “beneficial owner” (as defined in Rule 13d-3 under that act), directly or indirectly of more than 50% of the total voting power represented by the Company’s then outstanding voting securities.</w:t>
      </w:r>
    </w:p>
    <w:p>
      <w:pPr>
        <w:spacing w:after="0" w:line="176" w:lineRule="exact"/>
        <w:rPr>
          <w:rFonts w:ascii="Arial" w:cs="Arial" w:eastAsia="Arial" w:hAnsi="Arial"/>
          <w:sz w:val="18"/>
          <w:szCs w:val="18"/>
          <w:color w:val="auto"/>
        </w:rPr>
      </w:pPr>
    </w:p>
    <w:p>
      <w:pPr>
        <w:ind w:left="1740" w:hanging="901"/>
        <w:spacing w:after="0"/>
        <w:tabs>
          <w:tab w:leader="none" w:pos="17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“Effective Date” shall be the closing date of the transaction on which a Change of Control occurs.</w:t>
      </w:r>
    </w:p>
    <w:p>
      <w:pPr>
        <w:spacing w:after="0" w:line="225" w:lineRule="exact"/>
        <w:rPr>
          <w:rFonts w:ascii="Arial" w:cs="Arial" w:eastAsia="Arial" w:hAnsi="Arial"/>
          <w:sz w:val="18"/>
          <w:szCs w:val="18"/>
          <w:color w:val="auto"/>
        </w:rPr>
      </w:pPr>
    </w:p>
    <w:p>
      <w:pPr>
        <w:ind w:left="840" w:right="80" w:hanging="1"/>
        <w:spacing w:after="0" w:line="282" w:lineRule="auto"/>
        <w:tabs>
          <w:tab w:leader="none" w:pos="1733"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Good Cause</w:t>
      </w:r>
      <w:r>
        <w:rPr>
          <w:rFonts w:ascii="Arial" w:cs="Arial" w:eastAsia="Arial" w:hAnsi="Arial"/>
          <w:sz w:val="18"/>
          <w:szCs w:val="18"/>
          <w:color w:val="auto"/>
        </w:rPr>
        <w:t>. “Good Cause,” as it applies to the determination of the Company to terminate the employment of a Covered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one or more of the following: (i) Executive’s willful,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ind w:left="832" w:right="160"/>
        <w:spacing w:after="0" w:line="291" w:lineRule="auto"/>
        <w:rPr>
          <w:sz w:val="20"/>
          <w:szCs w:val="20"/>
          <w:color w:val="auto"/>
        </w:rPr>
      </w:pPr>
      <w:r>
        <w:rPr>
          <w:rFonts w:ascii="Arial" w:cs="Arial" w:eastAsia="Arial" w:hAnsi="Arial"/>
          <w:sz w:val="16"/>
          <w:szCs w:val="16"/>
          <w:color w:val="auto"/>
        </w:rPr>
        <w:t>material, and irreparable breach of Executive’s duties to the Company; (ii) Executive’s gross negligence in the performance or intentional nonperformance (continuing for 30 days after receipt of written notice of need to cure) of any of Executive’s material duties and responsibilities;</w:t>
      </w:r>
    </w:p>
    <w:p>
      <w:pPr>
        <w:ind w:left="832" w:right="260" w:hanging="1"/>
        <w:spacing w:after="0" w:line="277" w:lineRule="auto"/>
        <w:tabs>
          <w:tab w:leader="none" w:pos="11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Executive’s willful dishonesty, fraud, or misconduct with respect to the business or affairs of the Company, which materially and adversely affects the operations or reputation of the Company; (iv) Executive’s indictment for, conviction of, or guilty plea to a felony crime involving dishonesty or moral turpitude whether or not relating to the Company; or (v) a confirmed positive illegal drug test result.</w:t>
      </w:r>
    </w:p>
    <w:p>
      <w:pPr>
        <w:spacing w:after="0" w:line="169" w:lineRule="exact"/>
        <w:rPr>
          <w:sz w:val="20"/>
          <w:szCs w:val="20"/>
          <w:color w:val="auto"/>
        </w:rPr>
      </w:pPr>
    </w:p>
    <w:p>
      <w:pPr>
        <w:ind w:left="832" w:right="60" w:hanging="1"/>
        <w:spacing w:after="0" w:line="285" w:lineRule="auto"/>
        <w:tabs>
          <w:tab w:leader="none" w:pos="1735"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Good Reason</w:t>
      </w:r>
      <w:r>
        <w:rPr>
          <w:rFonts w:ascii="Arial" w:cs="Arial" w:eastAsia="Arial" w:hAnsi="Arial"/>
          <w:sz w:val="16"/>
          <w:szCs w:val="16"/>
          <w:color w:val="auto"/>
        </w:rPr>
        <w:t>. “Good Reason,” as it applies to the determination by a Covered Executive to terminate the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occurrence of any of the following events without Executive’s prior written approval: (i) Executive is demoted by means of a material reduction in authority, responsibilities, or duties or Executive is required to render Executive’s primary employment services from a Company location that is more than 50 miles from the Company location from which Executive provides employment services to the Company at the time Executive becomes a Covered Executive other than as has been previously contemplated by the Company and Executive; (ii) Executive’s annual base salary for a fiscal year is reduced to a level that is less than 90% of the base salary paid to Executive during the prior fiscal year; or</w:t>
      </w:r>
    </w:p>
    <w:p>
      <w:pPr>
        <w:spacing w:after="0" w:line="3" w:lineRule="exact"/>
        <w:rPr>
          <w:rFonts w:ascii="Arial" w:cs="Arial" w:eastAsia="Arial" w:hAnsi="Arial"/>
          <w:sz w:val="16"/>
          <w:szCs w:val="16"/>
          <w:color w:val="auto"/>
        </w:rPr>
      </w:pPr>
    </w:p>
    <w:p>
      <w:pPr>
        <w:ind w:left="1152" w:hanging="321"/>
        <w:spacing w:after="0"/>
        <w:tabs>
          <w:tab w:leader="none" w:pos="1152" w:val="left"/>
        </w:tabs>
        <w:numPr>
          <w:ilvl w:val="1"/>
          <w:numId w:val="27"/>
        </w:numPr>
        <w:rPr>
          <w:rFonts w:ascii="Arial" w:cs="Arial" w:eastAsia="Arial" w:hAnsi="Arial"/>
          <w:sz w:val="17"/>
          <w:szCs w:val="17"/>
          <w:color w:val="auto"/>
        </w:rPr>
      </w:pPr>
      <w:r>
        <w:rPr>
          <w:rFonts w:ascii="Arial" w:cs="Arial" w:eastAsia="Arial" w:hAnsi="Arial"/>
          <w:sz w:val="17"/>
          <w:szCs w:val="17"/>
          <w:color w:val="auto"/>
        </w:rPr>
        <w:t>Executive’s Targeted Bonus is reduced to a level that is less than 90% of the Targeted Bonus for Executive during the prior fiscal year.</w:t>
      </w:r>
    </w:p>
    <w:p>
      <w:pPr>
        <w:spacing w:after="0" w:line="218" w:lineRule="exact"/>
        <w:rPr>
          <w:rFonts w:ascii="Arial" w:cs="Arial" w:eastAsia="Arial" w:hAnsi="Arial"/>
          <w:sz w:val="17"/>
          <w:szCs w:val="17"/>
          <w:color w:val="auto"/>
        </w:rPr>
      </w:pPr>
    </w:p>
    <w:p>
      <w:pPr>
        <w:ind w:left="832" w:right="640" w:hanging="1"/>
        <w:spacing w:after="0" w:line="282" w:lineRule="auto"/>
        <w:tabs>
          <w:tab w:leader="none" w:pos="1725"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Employment Termination</w:t>
      </w:r>
      <w:r>
        <w:rPr>
          <w:rFonts w:ascii="Arial" w:cs="Arial" w:eastAsia="Arial" w:hAnsi="Arial"/>
          <w:sz w:val="18"/>
          <w:szCs w:val="18"/>
          <w:color w:val="auto"/>
        </w:rPr>
        <w:t>. “Employment Termination” shall mean a Covered Executive no longer being an employee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a result of a termination with Good Reason or without Good Cause.</w:t>
      </w:r>
    </w:p>
    <w:p>
      <w:pPr>
        <w:spacing w:after="0" w:line="161" w:lineRule="exact"/>
        <w:rPr>
          <w:rFonts w:ascii="Arial" w:cs="Arial" w:eastAsia="Arial" w:hAnsi="Arial"/>
          <w:sz w:val="18"/>
          <w:szCs w:val="18"/>
          <w:color w:val="auto"/>
        </w:rPr>
      </w:pPr>
    </w:p>
    <w:p>
      <w:pPr>
        <w:ind w:left="-8" w:firstLine="8"/>
        <w:spacing w:after="0" w:line="266"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Result of Termination by the Company without Good Cause or by Executive with Good Reason</w:t>
      </w:r>
      <w:r>
        <w:rPr>
          <w:rFonts w:ascii="Arial" w:cs="Arial" w:eastAsia="Arial" w:hAnsi="Arial"/>
          <w:sz w:val="18"/>
          <w:szCs w:val="18"/>
          <w:color w:val="auto"/>
        </w:rPr>
        <w:t>. The following provisions shall apply should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terminate a Covered Executive’s employment without Good Cause or should a Covered Executive terminate Executive’s employment with Good Reason:</w:t>
      </w:r>
    </w:p>
    <w:p>
      <w:pPr>
        <w:spacing w:after="0" w:line="176" w:lineRule="exact"/>
        <w:rPr>
          <w:rFonts w:ascii="Arial" w:cs="Arial" w:eastAsia="Arial" w:hAnsi="Arial"/>
          <w:sz w:val="18"/>
          <w:szCs w:val="18"/>
          <w:color w:val="auto"/>
        </w:rPr>
      </w:pPr>
    </w:p>
    <w:p>
      <w:pPr>
        <w:ind w:left="832" w:right="20" w:hanging="1"/>
        <w:spacing w:after="0" w:line="255" w:lineRule="auto"/>
        <w:tabs>
          <w:tab w:leader="none" w:pos="1725"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Salary and Bonus</w:t>
      </w:r>
      <w:r>
        <w:rPr>
          <w:rFonts w:ascii="Arial" w:cs="Arial" w:eastAsia="Arial" w:hAnsi="Arial"/>
          <w:sz w:val="18"/>
          <w:szCs w:val="18"/>
          <w:color w:val="auto"/>
        </w:rPr>
        <w:t>. The Company shall, for a period of one year following the Employment Termination in the case of the CEO and</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following the Employment Termination in the case of any other Covered Executive, pay to Executive on each regular payroll date as in effect on termination a pro rata amount equal to the sum of (i) 100% of Executive’s base salary in the case of the CEO and 50% of Executive’s base salary in the case of any other Covered Executive, and (ii) 100% of Executive’s Targeted Bonus in the case of the CEO, the greater of 50% of Executive’s Targeted Bonus or a pro rata amount of Executive’s Targeted Bonus in the case of the Company’s Chief Financial Officer, and a pro rata amount of Executive’s Targeted Bonus in the case of any other Covered Executive, in each case for the fiscal year during which termination occurs.</w:t>
      </w:r>
    </w:p>
    <w:p>
      <w:pPr>
        <w:spacing w:after="0" w:line="189" w:lineRule="exact"/>
        <w:rPr>
          <w:rFonts w:ascii="Arial" w:cs="Arial" w:eastAsia="Arial" w:hAnsi="Arial"/>
          <w:sz w:val="18"/>
          <w:szCs w:val="18"/>
          <w:color w:val="auto"/>
        </w:rPr>
      </w:pPr>
    </w:p>
    <w:p>
      <w:pPr>
        <w:ind w:left="832" w:right="60" w:hanging="1"/>
        <w:spacing w:after="0" w:line="258" w:lineRule="auto"/>
        <w:tabs>
          <w:tab w:leader="none" w:pos="1735"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Welfare Benefit Plans</w:t>
      </w:r>
      <w:r>
        <w:rPr>
          <w:rFonts w:ascii="Arial" w:cs="Arial" w:eastAsia="Arial" w:hAnsi="Arial"/>
          <w:sz w:val="18"/>
          <w:szCs w:val="18"/>
          <w:color w:val="auto"/>
        </w:rPr>
        <w:t>. The Company will continue, for one year following the Employment Termination in the case of the CEO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six months following Employment Termination in the case of each other Covered Executive, coverage for Executive and Executive’s dependent family members under the Company’s medical plan for the applicable continuation period described in this sentence by paying the COBRA premium for such coverage, but such coverage shall not extend beyond the period during which Executive and his dependents are eligible for COBRA.</w:t>
      </w:r>
    </w:p>
    <w:p>
      <w:pPr>
        <w:spacing w:after="0" w:line="183" w:lineRule="exact"/>
        <w:rPr>
          <w:rFonts w:ascii="Arial" w:cs="Arial" w:eastAsia="Arial" w:hAnsi="Arial"/>
          <w:sz w:val="18"/>
          <w:szCs w:val="18"/>
          <w:color w:val="auto"/>
        </w:rPr>
      </w:pPr>
    </w:p>
    <w:p>
      <w:pPr>
        <w:ind w:left="832" w:right="80" w:hanging="1"/>
        <w:spacing w:after="0" w:line="266" w:lineRule="auto"/>
        <w:tabs>
          <w:tab w:leader="none" w:pos="1725"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Stock Options and RSUs</w:t>
      </w:r>
      <w:r>
        <w:rPr>
          <w:rFonts w:ascii="Arial" w:cs="Arial" w:eastAsia="Arial" w:hAnsi="Arial"/>
          <w:sz w:val="18"/>
          <w:szCs w:val="18"/>
          <w:color w:val="auto"/>
        </w:rPr>
        <w:t>. All unvested options and RSUs held by Executive as of Employment Termination shall cease to vest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Employment Termination. Vested options and RSUs will be exercisable for 90 days after the date of Employment Termination, but not beyond their original term.</w:t>
      </w:r>
    </w:p>
    <w:p>
      <w:pPr>
        <w:spacing w:after="0" w:line="176" w:lineRule="exact"/>
        <w:rPr>
          <w:rFonts w:ascii="Arial" w:cs="Arial" w:eastAsia="Arial" w:hAnsi="Arial"/>
          <w:sz w:val="18"/>
          <w:szCs w:val="18"/>
          <w:color w:val="auto"/>
        </w:rPr>
      </w:pPr>
    </w:p>
    <w:p>
      <w:pPr>
        <w:ind w:left="832" w:right="220" w:hanging="1"/>
        <w:spacing w:after="0" w:line="266" w:lineRule="auto"/>
        <w:tabs>
          <w:tab w:leader="none" w:pos="1735"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Accrued Benefits</w:t>
      </w:r>
      <w:r>
        <w:rPr>
          <w:rFonts w:ascii="Arial" w:cs="Arial" w:eastAsia="Arial" w:hAnsi="Arial"/>
          <w:sz w:val="18"/>
          <w:szCs w:val="18"/>
          <w:color w:val="auto"/>
        </w:rPr>
        <w:t>. Executive shall be entitled to receive all other accrued but unpaid benefits relating to vacations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perquisites through the date of Employment Termination, except that Executive shall not continue to accrue vacation benefits or other executive perquisites after the date of Employment Termination.</w:t>
      </w:r>
    </w:p>
    <w:p>
      <w:pPr>
        <w:spacing w:after="0" w:line="176" w:lineRule="exact"/>
        <w:rPr>
          <w:rFonts w:ascii="Arial" w:cs="Arial" w:eastAsia="Arial" w:hAnsi="Arial"/>
          <w:sz w:val="18"/>
          <w:szCs w:val="18"/>
          <w:color w:val="auto"/>
        </w:rPr>
      </w:pPr>
    </w:p>
    <w:p>
      <w:pPr>
        <w:ind w:left="-8" w:right="100" w:firstLine="8"/>
        <w:spacing w:after="0" w:line="258"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Release of Claims</w:t>
      </w:r>
      <w:r>
        <w:rPr>
          <w:rFonts w:ascii="Arial" w:cs="Arial" w:eastAsia="Arial" w:hAnsi="Arial"/>
          <w:sz w:val="18"/>
          <w:szCs w:val="18"/>
          <w:color w:val="auto"/>
        </w:rPr>
        <w:t>. The Company’s obligations under Section 4 are contingent upon a Covered Executive’s executing (and not revoking during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applicable revocation period) a valid, enforceable, full and unconditional release of all claims Executive may have against the Company (whether known or unknown) as of the date of Employment Termination in such form as provided by the Company no later than 60 days after the date of Employment Termination. If the foregoing release is executed and delivered and no longer subject to revocation within 60 days after the date of Employment Termination, then the following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65" w:name="page66"/>
    <w:bookmarkEnd w:id="65"/>
    <w:p>
      <w:pPr>
        <w:ind w:left="832" w:hanging="1"/>
        <w:spacing w:after="0" w:line="255" w:lineRule="auto"/>
        <w:tabs>
          <w:tab w:leader="none" w:pos="17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the extent any payments due to Executive under Section 4 are not “deferred compensation” for purposes of Section 409A of the Internal Revenue Code of 1986, as amended, then such payments shall commence upon the first scheduled payment date immediately after the date the release is executed and no longer subject to revocation (the “Release Effective Date”). The first such cash payment shall include payment of all amounts that otherwise would have been due prior to the Release Effective Date under the terms of this Severance Policy had such payments commenced after the date of Employment Termination, and any payments to be made thereafter shall continue as provided herein. The delayed payments shall in any event expire at the time such payments would have expired had such payments commenced after the date of Employment Termination.</w:t>
      </w:r>
    </w:p>
    <w:p>
      <w:pPr>
        <w:spacing w:after="0" w:line="189" w:lineRule="exact"/>
        <w:rPr>
          <w:rFonts w:ascii="Arial" w:cs="Arial" w:eastAsia="Arial" w:hAnsi="Arial"/>
          <w:sz w:val="18"/>
          <w:szCs w:val="18"/>
          <w:color w:val="auto"/>
        </w:rPr>
      </w:pPr>
    </w:p>
    <w:p>
      <w:pPr>
        <w:ind w:left="832" w:hanging="1"/>
        <w:spacing w:after="0" w:line="255" w:lineRule="auto"/>
        <w:tabs>
          <w:tab w:leader="none" w:pos="17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the extent any payments due to Executive under Section 4 above are “deferred compensation” for purposes of Section 409A, then such payments shall commence upon the 60th day following the date of Employment Termination. The first such cash payment shall include payment of all amounts that otherwise would have been due prior thereto under the terms of this Severance Policy had such payments commenced after the date of Employment Termination, and any payments to be made thereafter shall continue as provided herein. The delayed payments shall in any event expire at the time such payments would have expired had such payments commenced immediately following the date of Employment Termination.</w:t>
      </w:r>
    </w:p>
    <w:p>
      <w:pPr>
        <w:spacing w:after="0" w:line="189" w:lineRule="exact"/>
        <w:rPr>
          <w:rFonts w:ascii="Arial" w:cs="Arial" w:eastAsia="Arial" w:hAnsi="Arial"/>
          <w:sz w:val="18"/>
          <w:szCs w:val="18"/>
          <w:color w:val="auto"/>
        </w:rPr>
      </w:pPr>
    </w:p>
    <w:p>
      <w:pPr>
        <w:ind w:left="-8" w:right="20" w:firstLine="8"/>
        <w:spacing w:after="0" w:line="26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Notwithstanding any provisions in this Severance Policy to the contrary, if at the time of the Employment Termination the Covered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is a “specified employee” as defined in Section 409A and the deferral of the commencement of any payments or benefits otherwise payable as a result of such Employment Termination is necessary to avoid the additional tax under Section 409A, the Company will defer the payment or commencement of the payment of any such payments or benefits (without any reduction in such payments or benefits ultimately paid or provided to Executive) until the date that is six months following the Employment Termination. Any monthly payment amounts deferred will be accumulated and paid to Executive (without interest) six months after the date of Employment Termination in a lump sum, and the balance of payments due to Executive will be paid as otherwise provided in this Severance Policy. Each monthly payment described in this Severance Policy is designated as a “separate payment” for purposes of Section 409A and, subject to the six month delay, if applicable, and Section 5 the first monthly payment shall commence on the payroll date as in effect on termination following the termination. For purposes of this Severance Policy, a termination of employment means a separation from service as defined in Section 409A. No reimbursement payable to Executive pursuant to any provisions of this Severance Policy or pursuant to any plan or arrangement of the Company shall be paid later than the last day of the calendar year following the calendar year in which the related expense was incurred, and no such reimbursement during any calendar year shall affect the amounts eligible for reimbursement in any other calendar year, except, in each case, to the extent that the right to reimbursement does not provide for a “deferral of compensation” within the meaning of Section 409A. This Severance Policy will be interpreted, administered and operated in accordance with Section 409A, although nothing herein will be construed as an entitlement to or guarantee of any particular tax treatment to Executive.</w:t>
      </w:r>
    </w:p>
    <w:p>
      <w:pPr>
        <w:spacing w:after="0" w:line="183" w:lineRule="exact"/>
        <w:rPr>
          <w:sz w:val="20"/>
          <w:szCs w:val="20"/>
          <w:color w:val="auto"/>
        </w:rPr>
      </w:pPr>
    </w:p>
    <w:p>
      <w:pPr>
        <w:ind w:left="832" w:hanging="832"/>
        <w:spacing w:after="0"/>
        <w:tabs>
          <w:tab w:leader="none" w:pos="83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This Severance Policy shall terminate on the Effective Date of a Change of Control.</w:t>
      </w:r>
    </w:p>
    <w:p>
      <w:pPr>
        <w:sectPr>
          <w:pgSz w:w="11900" w:h="16838" w:orient="portrait"/>
          <w:cols w:equalWidth="0" w:num="1">
            <w:col w:w="11392"/>
          </w:cols>
          <w:pgMar w:left="248" w:top="341" w:right="2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Richard A. Bergman, certify that:</w:t>
      </w:r>
    </w:p>
    <w:p>
      <w:pPr>
        <w:spacing w:after="0" w:line="117" w:lineRule="exact"/>
        <w:rPr>
          <w:sz w:val="20"/>
          <w:szCs w:val="20"/>
          <w:color w:val="auto"/>
        </w:rPr>
      </w:pPr>
    </w:p>
    <w:p>
      <w:pPr>
        <w:ind w:left="700" w:hanging="174"/>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Richard A. Bergman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Wajid Ali, certify that:</w:t>
      </w:r>
    </w:p>
    <w:p>
      <w:pPr>
        <w:spacing w:after="0" w:line="117" w:lineRule="exact"/>
        <w:rPr>
          <w:sz w:val="20"/>
          <w:szCs w:val="20"/>
          <w:color w:val="auto"/>
        </w:rPr>
      </w:pPr>
    </w:p>
    <w:p>
      <w:pPr>
        <w:ind w:left="700" w:hanging="17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Wajid Ali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December 31, 2017 as filed with the Securities and Exchange Commission on the date hereof (the “Report”), I, Richard A. Bergman, Chief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Richard A. Bergman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ectPr>
          <w:pgSz w:w="11900" w:h="16838" w:orient="portrait"/>
          <w:cols w:equalWidth="0" w:num="1">
            <w:col w:w="11420"/>
          </w:cols>
          <w:pgMar w:left="240" w:top="33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In connection with the Quarterly Report on Form 10-Q of Synaptics Incorporated (the “Company”) for the quarterly period ended December 31, 2017 as filed with the Securities and Exchange Commission on the date hereof (the “Report”), I, Wajid Ali,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Wajid Ali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Roman"/>
      <w:start w:val="2"/>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upperLetter"/>
      <w:start w:val="3"/>
    </w:lvl>
  </w:abstractNum>
  <w:abstractNum w:abstractNumId="11">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
    <w:nsid w:val="8EDBDAB"/>
    <w:multiLevelType w:val="hybridMultilevel"/>
    <w:lvl w:ilvl="0">
      <w:lvlJc w:val="left"/>
      <w:lvlText w:val="(%1)"/>
      <w:numFmt w:val="lowerRoman"/>
      <w:start w:val="4"/>
    </w:lvl>
  </w:abstractNum>
  <w:abstractNum w:abstractNumId="13">
    <w:nsid w:val="79838CB2"/>
    <w:multiLevelType w:val="hybridMultilevel"/>
    <w:lvl w:ilvl="0">
      <w:lvlJc w:val="left"/>
      <w:lvlText w:val="(%1)"/>
      <w:numFmt w:val="lowerLetter"/>
      <w:start w:val="2"/>
    </w:lvl>
  </w:abstractNum>
  <w:abstractNum w:abstractNumId="14">
    <w:nsid w:val="4353D0C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
    <w:nsid w:val="B03E0C6"/>
    <w:multiLevelType w:val="hybridMultilevel"/>
    <w:lvl w:ilvl="0">
      <w:lvlJc w:val="left"/>
      <w:lvlText w:val="(%1)"/>
      <w:numFmt w:val="lowerRoman"/>
      <w:start w:val="4"/>
    </w:lvl>
  </w:abstractNum>
  <w:abstractNum w:abstractNumId="16">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7">
    <w:nsid w:val="54E49EB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
    <w:nsid w:val="71F32454"/>
    <w:multiLevelType w:val="hybridMultilevel"/>
    <w:lvl w:ilvl="0">
      <w:lvlJc w:val="left"/>
      <w:lvlText w:val="%1"/>
      <w:numFmt w:val="decimal"/>
      <w:start w:val="1"/>
    </w:lvl>
    <w:lvl w:ilvl="1">
      <w:lvlJc w:val="left"/>
      <w:lvlText w:val="(%2)"/>
      <w:numFmt w:val="lowerLetter"/>
      <w:start w:val="2"/>
    </w:lvl>
  </w:abstractNum>
  <w:abstractNum w:abstractNumId="19">
    <w:nsid w:val="2CA88611"/>
    <w:multiLevelType w:val="hybridMultilevel"/>
    <w:lvl w:ilvl="0">
      <w:lvlJc w:val="left"/>
      <w:lvlText w:val="%1."/>
      <w:numFmt w:val="decimal"/>
      <w:start w:val="6"/>
    </w:lvl>
    <w:lvl w:ilvl="1">
      <w:lvlJc w:val="left"/>
      <w:lvlText w:val="(%2)"/>
      <w:numFmt w:val="lowerLetter"/>
      <w:start w:val="1"/>
    </w:lvl>
  </w:abstractNum>
  <w:abstractNum w:abstractNumId="20">
    <w:nsid w:val="836C40E"/>
    <w:multiLevelType w:val="hybridMultilevel"/>
    <w:lvl w:ilvl="0">
      <w:lvlJc w:val="left"/>
      <w:lvlText w:val="%1."/>
      <w:numFmt w:val="decimal"/>
      <w:start w:val="8"/>
    </w:lvl>
  </w:abstractNum>
  <w:abstractNum w:abstractNumId="21">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3A95F874"/>
    <w:multiLevelType w:val="hybridMultilevel"/>
    <w:lvl w:ilvl="0">
      <w:lvlJc w:val="left"/>
      <w:lvlText w:val="%1"/>
      <w:numFmt w:val="lowerLetter"/>
      <w:start w:val="1"/>
    </w:lvl>
    <w:lvl w:ilvl="1">
      <w:lvlJc w:val="left"/>
      <w:lvlText w:val="(%2)"/>
      <w:numFmt w:val="lowerRoman"/>
      <w:start w:val="4"/>
    </w:lvl>
  </w:abstractNum>
  <w:abstractNum w:abstractNumId="23">
    <w:nsid w:val="8138641"/>
    <w:multiLevelType w:val="hybridMultilevel"/>
    <w:lvl w:ilvl="0">
      <w:lvlJc w:val="left"/>
      <w:lvlText w:val="(%1)"/>
      <w:numFmt w:val="lowerLetter"/>
      <w:start w:val="2"/>
    </w:lvl>
    <w:lvl w:ilvl="1">
      <w:lvlJc w:val="left"/>
      <w:lvlText w:val="%2"/>
      <w:numFmt w:val="lowerRoman"/>
      <w:start w:val="1"/>
    </w:lvl>
  </w:abstractNum>
  <w:abstractNum w:abstractNumId="24">
    <w:nsid w:val="1E7FF521"/>
    <w:multiLevelType w:val="hybridMultilevel"/>
    <w:lvl w:ilvl="0">
      <w:lvlJc w:val="left"/>
      <w:lvlText w:val="(%1)"/>
      <w:numFmt w:val="lowerRoman"/>
      <w:start w:val="3"/>
    </w:lvl>
  </w:abstractNum>
  <w:abstractNum w:abstractNumId="25">
    <w:nsid w:val="7C3DBD3D"/>
    <w:multiLevelType w:val="hybridMultilevel"/>
    <w:lvl w:ilvl="0">
      <w:lvlJc w:val="left"/>
      <w:lvlText w:val="%1"/>
      <w:numFmt w:val="decimal"/>
      <w:start w:val="1"/>
    </w:lvl>
    <w:lvl w:ilvl="1">
      <w:lvlJc w:val="left"/>
      <w:lvlText w:val="(%2)"/>
      <w:numFmt w:val="lowerLetter"/>
      <w:start w:val="4"/>
    </w:lvl>
  </w:abstractNum>
  <w:abstractNum w:abstractNumId="26">
    <w:nsid w:val="737B8DDC"/>
    <w:multiLevelType w:val="hybridMultilevel"/>
    <w:lvl w:ilvl="0">
      <w:lvlJc w:val="left"/>
      <w:lvlText w:val="%1"/>
      <w:numFmt w:val="decimal"/>
      <w:start w:val="1"/>
    </w:lvl>
    <w:lvl w:ilvl="1">
      <w:lvlJc w:val="left"/>
      <w:lvlText w:val="(%2)"/>
      <w:numFmt w:val="lowerLetter"/>
      <w:start w:val="61"/>
    </w:lvl>
  </w:abstractNum>
  <w:abstractNum w:abstractNumId="27">
    <w:nsid w:val="6CEAF087"/>
    <w:multiLevelType w:val="hybridMultilevel"/>
    <w:lvl w:ilvl="0">
      <w:lvlJc w:val="left"/>
      <w:lvlText w:val="%1"/>
      <w:numFmt w:val="decimal"/>
      <w:start w:val="1"/>
    </w:lvl>
    <w:lvl w:ilvl="1">
      <w:lvlJc w:val="left"/>
      <w:lvlText w:val="(%2)"/>
      <w:numFmt w:val="lowerLetter"/>
      <w:start w:val="5"/>
    </w:lvl>
  </w:abstractNum>
  <w:abstractNum w:abstractNumId="28">
    <w:nsid w:val="22221A70"/>
    <w:multiLevelType w:val="hybridMultilevel"/>
    <w:lvl w:ilvl="0">
      <w:lvlJc w:val="left"/>
      <w:lvlText w:val="%1."/>
      <w:numFmt w:val="decimal"/>
      <w:start w:val="4"/>
    </w:lvl>
    <w:lvl w:ilvl="1">
      <w:lvlJc w:val="left"/>
      <w:lvlText w:val="(%2)"/>
      <w:numFmt w:val="lowerLetter"/>
      <w:start w:val="1"/>
    </w:lvl>
  </w:abstractNum>
  <w:abstractNum w:abstractNumId="29">
    <w:nsid w:val="4516DDE9"/>
    <w:multiLevelType w:val="hybridMultilevel"/>
    <w:lvl w:ilvl="0">
      <w:lvlJc w:val="left"/>
      <w:lvlText w:val="%1"/>
      <w:numFmt w:val="decimal"/>
      <w:start w:val="1"/>
    </w:lvl>
    <w:lvl w:ilvl="1">
      <w:lvlJc w:val="left"/>
      <w:lvlText w:val="(%2)"/>
      <w:numFmt w:val="lowerLetter"/>
      <w:start w:val="1"/>
    </w:lvl>
  </w:abstractNum>
  <w:abstractNum w:abstractNumId="30">
    <w:nsid w:val="3006C83E"/>
    <w:multiLevelType w:val="hybridMultilevel"/>
    <w:lvl w:ilvl="0">
      <w:lvlJc w:val="left"/>
      <w:lvlText w:val="%1."/>
      <w:numFmt w:val="decimal"/>
      <w:start w:val="6"/>
    </w:lvl>
    <w:lvl w:ilvl="1">
      <w:lvlJc w:val="left"/>
      <w:lvlText w:val="%2"/>
      <w:numFmt w:val="lowerLetter"/>
      <w:start w:val="1"/>
    </w:lvl>
  </w:abstractNum>
  <w:abstractNum w:abstractNumId="31">
    <w:nsid w:val="614FD4A1"/>
    <w:multiLevelType w:val="hybridMultilevel"/>
    <w:lvl w:ilvl="0">
      <w:lvlJc w:val="left"/>
      <w:lvlText w:val="%1."/>
      <w:numFmt w:val="decimal"/>
      <w:start w:val="8"/>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61" Type="http://schemas.openxmlformats.org/officeDocument/2006/relationships/hyperlink" Target="http://www.sec.gov/Archives/edgar/data/817720/000119312517331825/d47888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2019-12-29T01:50:57Z</dcterms:created>
  <dcterms:modified xsi:type="dcterms:W3CDTF">2019-12-29T01:50:57Z</dcterms:modified>
</cp:coreProperties>
</file>