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117475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28, 2019</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840"/>
        <w:spacing w:after="0"/>
        <w:tabs>
          <w:tab w:leader="none" w:pos="6780" w:val="left"/>
          <w:tab w:leader="none" w:pos="7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2520" w:type="dxa"/>
            <w:vAlign w:val="bottom"/>
            <w:gridSpan w:val="2"/>
          </w:tcPr>
          <w:p>
            <w:pPr>
              <w:jc w:val="center"/>
              <w:ind w:left="219"/>
              <w:spacing w:after="0"/>
              <w:rPr>
                <w:sz w:val="20"/>
                <w:szCs w:val="20"/>
                <w:color w:val="auto"/>
              </w:rPr>
            </w:pPr>
            <w:r>
              <w:rPr>
                <w:rFonts w:ascii="Arial" w:cs="Arial" w:eastAsia="Arial" w:hAnsi="Arial"/>
                <w:sz w:val="18"/>
                <w:szCs w:val="18"/>
                <w:b w:val="1"/>
                <w:bCs w:val="1"/>
                <w:color w:val="auto"/>
                <w:w w:val="93"/>
              </w:rPr>
              <w:t>Delaware</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jc w:val="center"/>
              <w:ind w:right="1157"/>
              <w:spacing w:after="0"/>
              <w:rPr>
                <w:sz w:val="20"/>
                <w:szCs w:val="20"/>
                <w:color w:val="auto"/>
              </w:rPr>
            </w:pPr>
            <w:r>
              <w:rPr>
                <w:rFonts w:ascii="Arial" w:cs="Arial" w:eastAsia="Arial" w:hAnsi="Arial"/>
                <w:sz w:val="18"/>
                <w:szCs w:val="18"/>
                <w:b w:val="1"/>
                <w:bCs w:val="1"/>
                <w:color w:val="auto"/>
                <w:w w:val="89"/>
              </w:rPr>
              <w:t>77-0118518</w:t>
            </w:r>
          </w:p>
        </w:tc>
      </w:tr>
      <w:tr>
        <w:trPr>
          <w:trHeight w:val="149"/>
        </w:trPr>
        <w:tc>
          <w:tcPr>
            <w:tcW w:w="1400" w:type="dxa"/>
            <w:vAlign w:val="bottom"/>
          </w:tcPr>
          <w:p>
            <w:pPr>
              <w:spacing w:after="0"/>
              <w:rPr>
                <w:sz w:val="12"/>
                <w:szCs w:val="12"/>
                <w:color w:val="auto"/>
              </w:rPr>
            </w:pPr>
          </w:p>
        </w:tc>
        <w:tc>
          <w:tcPr>
            <w:tcW w:w="2520" w:type="dxa"/>
            <w:vAlign w:val="bottom"/>
            <w:gridSpan w:val="2"/>
          </w:tcPr>
          <w:p>
            <w:pPr>
              <w:jc w:val="center"/>
              <w:ind w:left="2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180" w:type="dxa"/>
            <w:vAlign w:val="bottom"/>
          </w:tcPr>
          <w:p>
            <w:pPr>
              <w:jc w:val="center"/>
              <w:ind w:right="11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00" w:type="dxa"/>
            <w:vAlign w:val="bottom"/>
          </w:tcPr>
          <w:p>
            <w:pPr>
              <w:spacing w:after="0"/>
              <w:rPr>
                <w:sz w:val="16"/>
                <w:szCs w:val="16"/>
                <w:color w:val="auto"/>
              </w:rPr>
            </w:pPr>
          </w:p>
        </w:tc>
        <w:tc>
          <w:tcPr>
            <w:tcW w:w="252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93"/>
              </w:rPr>
              <w:t>incorporation or organization)</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180" w:type="dxa"/>
            <w:vAlign w:val="bottom"/>
          </w:tcPr>
          <w:p>
            <w:pPr>
              <w:jc w:val="center"/>
              <w:ind w:right="1177"/>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95"/>
              </w:rPr>
              <w:t>1251 McKay Drive</w:t>
            </w:r>
          </w:p>
        </w:tc>
        <w:tc>
          <w:tcPr>
            <w:tcW w:w="318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00"/>
              <w:spacing w:after="0"/>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286"/>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4"/>
          </w:tcPr>
          <w:p>
            <w:pPr>
              <w:jc w:val="center"/>
              <w:ind w:left="582"/>
              <w:spacing w:after="0"/>
              <w:rPr>
                <w:sz w:val="20"/>
                <w:szCs w:val="20"/>
                <w:color w:val="auto"/>
              </w:rPr>
            </w:pPr>
            <w:r>
              <w:rPr>
                <w:rFonts w:ascii="Arial" w:cs="Arial" w:eastAsia="Arial" w:hAnsi="Arial"/>
                <w:sz w:val="18"/>
                <w:szCs w:val="18"/>
                <w:b w:val="1"/>
                <w:bCs w:val="1"/>
                <w:color w:val="auto"/>
                <w:w w:val="90"/>
              </w:rPr>
              <w:t>(408) 904-1100</w:t>
            </w:r>
          </w:p>
        </w:tc>
        <w:tc>
          <w:tcPr>
            <w:tcW w:w="8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215"/>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317"/>
        </w:trPr>
        <w:tc>
          <w:tcPr>
            <w:tcW w:w="766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190"/>
        </w:trPr>
        <w:tc>
          <w:tcPr>
            <w:tcW w:w="1400" w:type="dxa"/>
            <w:vAlign w:val="bottom"/>
          </w:tcPr>
          <w:p>
            <w:pPr>
              <w:spacing w:after="0"/>
              <w:rPr>
                <w:sz w:val="16"/>
                <w:szCs w:val="16"/>
                <w:color w:val="auto"/>
              </w:rPr>
            </w:pPr>
          </w:p>
        </w:tc>
        <w:tc>
          <w:tcPr>
            <w:tcW w:w="2520" w:type="dxa"/>
            <w:vAlign w:val="bottom"/>
            <w:gridSpan w:val="2"/>
          </w:tcPr>
          <w:p>
            <w:pPr>
              <w:jc w:val="center"/>
              <w:ind w:right="1220"/>
              <w:spacing w:after="0" w:line="190" w:lineRule="exact"/>
              <w:rPr>
                <w:sz w:val="20"/>
                <w:szCs w:val="20"/>
                <w:color w:val="auto"/>
              </w:rPr>
            </w:pPr>
            <w:r>
              <w:rPr>
                <w:rFonts w:ascii="Arial" w:cs="Arial" w:eastAsia="Arial" w:hAnsi="Arial"/>
                <w:sz w:val="18"/>
                <w:szCs w:val="18"/>
                <w:color w:val="auto"/>
                <w:w w:val="90"/>
              </w:rPr>
              <w:t>Title of each class</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gridSpan w:val="3"/>
          </w:tcPr>
          <w:p>
            <w:pPr>
              <w:jc w:val="center"/>
              <w:ind w:right="1440"/>
              <w:spacing w:after="0" w:line="190" w:lineRule="exact"/>
              <w:rPr>
                <w:sz w:val="20"/>
                <w:szCs w:val="20"/>
                <w:color w:val="auto"/>
              </w:rPr>
            </w:pPr>
            <w:r>
              <w:rPr>
                <w:rFonts w:ascii="Arial" w:cs="Arial" w:eastAsia="Arial" w:hAnsi="Arial"/>
                <w:sz w:val="18"/>
                <w:szCs w:val="18"/>
                <w:color w:val="auto"/>
                <w:w w:val="93"/>
              </w:rPr>
              <w:t>Trading Symbol</w:t>
            </w:r>
          </w:p>
        </w:tc>
        <w:tc>
          <w:tcPr>
            <w:tcW w:w="3180" w:type="dxa"/>
            <w:vAlign w:val="bottom"/>
          </w:tcPr>
          <w:p>
            <w:pPr>
              <w:jc w:val="center"/>
              <w:spacing w:after="0" w:line="190"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4"/>
        </w:trPr>
        <w:tc>
          <w:tcPr>
            <w:tcW w:w="392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20" w:type="dxa"/>
            <w:vAlign w:val="bottom"/>
            <w:gridSpan w:val="3"/>
          </w:tcPr>
          <w:p>
            <w:pPr>
              <w:jc w:val="center"/>
              <w:ind w:right="1440"/>
              <w:spacing w:after="0"/>
              <w:rPr>
                <w:sz w:val="20"/>
                <w:szCs w:val="20"/>
                <w:color w:val="auto"/>
              </w:rPr>
            </w:pPr>
            <w:r>
              <w:rPr>
                <w:rFonts w:ascii="Arial" w:cs="Arial" w:eastAsia="Arial" w:hAnsi="Arial"/>
                <w:sz w:val="18"/>
                <w:szCs w:val="18"/>
                <w:color w:val="auto"/>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r>
    </w:tbl>
    <w:p>
      <w:pPr>
        <w:spacing w:after="0" w:line="13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4"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at November 1, 2019: 33,464,178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339090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32"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28,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gridSpan w:val="6"/>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Part I. Financial Information</w:t>
              </w:r>
            </w:hyperlink>
          </w:p>
        </w:tc>
        <w:tc>
          <w:tcPr>
            <w:tcW w:w="8840" w:type="dxa"/>
            <w:vAlign w:val="bottom"/>
            <w:gridSpan w:val="13"/>
            <w:vMerge w:val="restart"/>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6"/>
            <w:vMerge w:val="continue"/>
          </w:tcPr>
          <w:p>
            <w:pPr>
              <w:spacing w:after="0"/>
              <w:rPr>
                <w:sz w:val="14"/>
                <w:szCs w:val="14"/>
                <w:color w:val="auto"/>
              </w:rPr>
            </w:pPr>
          </w:p>
        </w:tc>
        <w:tc>
          <w:tcPr>
            <w:tcW w:w="8840" w:type="dxa"/>
            <w:vAlign w:val="bottom"/>
            <w:gridSpan w:val="13"/>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Sheets—September 30, 2019 and June 30, 2019</w:t>
              </w:r>
            </w:hyperlink>
          </w:p>
        </w:tc>
        <w:tc>
          <w:tcPr>
            <w:tcW w:w="38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Income—Three Months Ended September 30, 2019 and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Income—Three Months Ended September 30, 2019 and 2018</w:t>
              </w:r>
            </w:hyperlink>
          </w:p>
        </w:tc>
        <w:tc>
          <w:tcPr>
            <w:tcW w:w="1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w:t>
              </w:r>
            </w:hyperlink>
          </w:p>
        </w:tc>
        <w:tc>
          <w:tcPr>
            <w:tcW w:w="536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Flows—Three Months Ended September 30, 2019 and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600" w:type="dxa"/>
            <w:vAlign w:val="bottom"/>
            <w:tcBorders>
              <w:top w:val="single" w:sz="8" w:color="0000EE"/>
            </w:tcBorders>
            <w:gridSpan w:val="8"/>
          </w:tcPr>
          <w:p>
            <w:pPr>
              <w:spacing w:after="0"/>
              <w:rPr>
                <w:sz w:val="24"/>
                <w:szCs w:val="24"/>
                <w:color w:val="auto"/>
              </w:rPr>
            </w:pPr>
          </w:p>
        </w:tc>
        <w:tc>
          <w:tcPr>
            <w:tcW w:w="21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3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540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2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842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16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542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940" w:type="dxa"/>
            <w:vAlign w:val="bottom"/>
            <w:tcBorders>
              <w:bottom w:val="single" w:sz="8" w:color="CFF0FC"/>
            </w:tcBorders>
          </w:tcPr>
          <w:p>
            <w:pPr>
              <w:spacing w:after="0"/>
              <w:rPr>
                <w:sz w:val="20"/>
                <w:szCs w:val="20"/>
                <w:color w:val="auto"/>
              </w:rPr>
            </w:pPr>
          </w:p>
        </w:tc>
        <w:tc>
          <w:tcPr>
            <w:tcW w:w="29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49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FF0FC"/>
          </w:tcPr>
          <w:p>
            <w:pPr>
              <w:spacing w:after="0"/>
              <w:rPr>
                <w:sz w:val="19"/>
                <w:szCs w:val="19"/>
                <w:color w:val="auto"/>
              </w:rPr>
            </w:pPr>
          </w:p>
        </w:tc>
      </w:tr>
      <w:tr>
        <w:trPr>
          <w:trHeight w:val="215"/>
        </w:trPr>
        <w:tc>
          <w:tcPr>
            <w:tcW w:w="4940" w:type="dxa"/>
            <w:vAlign w:val="bottom"/>
          </w:tcPr>
          <w:p>
            <w:pPr>
              <w:ind w:left="260"/>
              <w:spacing w:after="0"/>
              <w:rPr>
                <w:sz w:val="20"/>
                <w:szCs w:val="20"/>
                <w:color w:val="auto"/>
              </w:rPr>
            </w:pPr>
            <w:r>
              <w:rPr>
                <w:rFonts w:ascii="Arial" w:cs="Arial" w:eastAsia="Arial" w:hAnsi="Arial"/>
                <w:sz w:val="18"/>
                <w:szCs w:val="18"/>
                <w:color w:val="auto"/>
                <w:w w:val="90"/>
              </w:rPr>
              <w:t>Accounts receivable, net of allowances of $2.1 at September 30,</w:t>
            </w:r>
          </w:p>
        </w:tc>
        <w:tc>
          <w:tcPr>
            <w:tcW w:w="3080" w:type="dxa"/>
            <w:vAlign w:val="bottom"/>
            <w:gridSpan w:val="2"/>
          </w:tcPr>
          <w:p>
            <w:pPr>
              <w:jc w:val="right"/>
              <w:ind w:right="2690"/>
              <w:spacing w:after="0"/>
              <w:rPr>
                <w:sz w:val="20"/>
                <w:szCs w:val="20"/>
                <w:color w:val="auto"/>
              </w:rPr>
            </w:pPr>
            <w:r>
              <w:rPr>
                <w:rFonts w:ascii="Arial" w:cs="Arial" w:eastAsia="Arial" w:hAnsi="Arial"/>
                <w:sz w:val="18"/>
                <w:szCs w:val="18"/>
                <w:color w:val="auto"/>
                <w:w w:val="93"/>
              </w:rPr>
              <w:t>and</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40" w:type="dxa"/>
            <w:vAlign w:val="bottom"/>
          </w:tcPr>
          <w:p>
            <w:pPr>
              <w:ind w:left="380"/>
              <w:spacing w:after="0"/>
              <w:rPr>
                <w:sz w:val="20"/>
                <w:szCs w:val="20"/>
                <w:color w:val="auto"/>
              </w:rPr>
            </w:pPr>
            <w:r>
              <w:rPr>
                <w:rFonts w:ascii="Arial" w:cs="Arial" w:eastAsia="Arial" w:hAnsi="Arial"/>
                <w:sz w:val="18"/>
                <w:szCs w:val="18"/>
                <w:color w:val="auto"/>
              </w:rPr>
              <w:t>June 30, 2019</w:t>
            </w: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0"/>
                <w:szCs w:val="20"/>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120" w:type="dxa"/>
            <w:vAlign w:val="bottom"/>
            <w:shd w:val="clear" w:color="auto" w:fill="CFF0FC"/>
          </w:tcPr>
          <w:p>
            <w:pPr>
              <w:spacing w:after="0"/>
              <w:rPr>
                <w:sz w:val="19"/>
                <w:szCs w:val="19"/>
                <w:color w:val="auto"/>
              </w:rPr>
            </w:pPr>
          </w:p>
        </w:tc>
      </w:tr>
      <w:tr>
        <w:trPr>
          <w:trHeight w:val="215"/>
        </w:trPr>
        <w:tc>
          <w:tcPr>
            <w:tcW w:w="8020" w:type="dxa"/>
            <w:vAlign w:val="bottom"/>
            <w:gridSpan w:val="3"/>
          </w:tcPr>
          <w:p>
            <w:pPr>
              <w:spacing w:after="0"/>
              <w:rPr>
                <w:sz w:val="20"/>
                <w:szCs w:val="20"/>
                <w:color w:val="auto"/>
              </w:rPr>
            </w:pPr>
            <w:r>
              <w:rPr>
                <w:rFonts w:ascii="Arial" w:cs="Arial" w:eastAsia="Arial" w:hAnsi="Arial"/>
                <w:sz w:val="18"/>
                <w:szCs w:val="18"/>
                <w:color w:val="auto"/>
              </w:rPr>
              <w:t>Property and equipment at cost, net of accumulated depreciation of $140.0</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w w:val="88"/>
              </w:rPr>
              <w:t>and $133.1 at September 30, 2019 and June 30, 2019, respectively</w:t>
            </w: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2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63"/>
        </w:trPr>
        <w:tc>
          <w:tcPr>
            <w:tcW w:w="4940" w:type="dxa"/>
            <w:vAlign w:val="bottom"/>
            <w:tcBorders>
              <w:bottom w:val="single" w:sz="8" w:color="CFF0FC"/>
            </w:tcBorders>
          </w:tcPr>
          <w:p>
            <w:pPr>
              <w:spacing w:after="0"/>
              <w:rPr>
                <w:sz w:val="22"/>
                <w:szCs w:val="22"/>
                <w:color w:val="auto"/>
              </w:rPr>
            </w:pPr>
          </w:p>
        </w:tc>
        <w:tc>
          <w:tcPr>
            <w:tcW w:w="29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1,424.3</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gridSpan w:val="2"/>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accrued liabilities</w:t>
            </w:r>
          </w:p>
        </w:tc>
        <w:tc>
          <w:tcPr>
            <w:tcW w:w="2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Convertible notes, net</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9"/>
                <w:szCs w:val="19"/>
                <w:color w:val="auto"/>
              </w:rPr>
            </w:pPr>
          </w:p>
        </w:tc>
      </w:tr>
      <w:tr>
        <w:trPr>
          <w:trHeight w:val="223"/>
        </w:trPr>
        <w:tc>
          <w:tcPr>
            <w:tcW w:w="49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$0.001 par value; 120,000,000 shares authorized,</w:t>
            </w:r>
          </w:p>
        </w:tc>
        <w:tc>
          <w:tcPr>
            <w:tcW w:w="2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64,493,058 and 64,283,948 shares issued, and 33,003,182 and 33,349,735 shares</w:t>
            </w: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802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outstanding, at September 30, 2019 and June 30, 2019, respectively</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Pr>
          <w:p>
            <w:pPr>
              <w:spacing w:after="0"/>
              <w:rPr>
                <w:sz w:val="19"/>
                <w:szCs w:val="19"/>
                <w:color w:val="auto"/>
              </w:rPr>
            </w:pPr>
          </w:p>
        </w:tc>
      </w:tr>
      <w:tr>
        <w:trPr>
          <w:trHeight w:val="215"/>
        </w:trPr>
        <w:tc>
          <w:tcPr>
            <w:tcW w:w="80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Treasury stock: 31,489,876 and 30,934,213 common treasury shares at</w:t>
            </w: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3"/>
              </w:rPr>
              <w:t>September 30, 2019 and June 30, 2019, respectively, at cost</w:t>
            </w:r>
          </w:p>
        </w:tc>
        <w:tc>
          <w:tcPr>
            <w:tcW w:w="2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(1,209.4)</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(1,192.4)</w:t>
            </w:r>
          </w:p>
        </w:tc>
      </w:tr>
      <w:tr>
        <w:trPr>
          <w:trHeight w:val="230"/>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2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120" w:type="dxa"/>
            <w:vAlign w:val="bottom"/>
            <w:shd w:val="clear" w:color="auto" w:fill="CFF0FC"/>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920" w:type="dxa"/>
            <w:vAlign w:val="bottom"/>
            <w:gridSpan w:val="5"/>
          </w:tcPr>
          <w:p>
            <w:pPr>
              <w:jc w:val="right"/>
              <w:ind w:right="30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8"/>
                <w:szCs w:val="18"/>
                <w:b w:val="1"/>
                <w:bCs w:val="1"/>
                <w:color w:val="auto"/>
                <w:w w:val="95"/>
              </w:rPr>
              <w:t>September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14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4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4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Restructuring costs</w:t>
            </w:r>
          </w:p>
        </w:tc>
        <w:tc>
          <w:tcPr>
            <w:tcW w:w="14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net</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6400" w:type="dxa"/>
            <w:vAlign w:val="bottom"/>
          </w:tcPr>
          <w:p>
            <w:pPr>
              <w:ind w:left="500"/>
              <w:spacing w:after="0"/>
              <w:rPr>
                <w:sz w:val="20"/>
                <w:szCs w:val="20"/>
                <w:color w:val="auto"/>
              </w:rPr>
            </w:pPr>
            <w:r>
              <w:rPr>
                <w:rFonts w:ascii="Arial" w:cs="Arial" w:eastAsia="Arial" w:hAnsi="Arial"/>
                <w:sz w:val="18"/>
                <w:szCs w:val="18"/>
                <w:color w:val="auto"/>
              </w:rPr>
              <w:t>Income/(loss) before provision/(benefit) for income taxes and</w:t>
            </w:r>
          </w:p>
        </w:tc>
        <w:tc>
          <w:tcPr>
            <w:tcW w:w="14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640"/>
              <w:spacing w:after="0"/>
              <w:rPr>
                <w:sz w:val="20"/>
                <w:szCs w:val="20"/>
                <w:color w:val="auto"/>
              </w:rPr>
            </w:pPr>
            <w:r>
              <w:rPr>
                <w:rFonts w:ascii="Arial" w:cs="Arial" w:eastAsia="Arial" w:hAnsi="Arial"/>
                <w:sz w:val="18"/>
                <w:szCs w:val="18"/>
                <w:color w:val="auto"/>
              </w:rPr>
              <w:t>equity investment loss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Provision/(benefit) for income taxes</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Equity investment loss</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FF0FC"/>
            </w:tcBorders>
            <w:vMerge w:val="continue"/>
          </w:tcPr>
          <w:p>
            <w:pPr>
              <w:spacing w:after="0"/>
              <w:rPr>
                <w:sz w:val="21"/>
                <w:szCs w:val="21"/>
                <w:color w:val="auto"/>
              </w:rPr>
            </w:pPr>
          </w:p>
        </w:tc>
        <w:tc>
          <w:tcPr>
            <w:tcW w:w="146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 per share:</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9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w w:val="95"/>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net gain on investment</w:t>
            </w:r>
          </w:p>
        </w:tc>
        <w:tc>
          <w:tcPr>
            <w:tcW w:w="2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Comprehensive income</w:t>
            </w:r>
          </w:p>
        </w:tc>
        <w:tc>
          <w:tcPr>
            <w:tcW w:w="2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4"/>
        </w:trPr>
        <w:tc>
          <w:tcPr>
            <w:tcW w:w="3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w w:val="96"/>
              </w:rPr>
              <w:t>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Paid-in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Treasury</w:t>
            </w:r>
          </w:p>
        </w:tc>
        <w:tc>
          <w:tcPr>
            <w:tcW w:w="80" w:type="dxa"/>
            <w:vAlign w:val="bottom"/>
          </w:tcPr>
          <w:p>
            <w:pPr>
              <w:spacing w:after="0"/>
              <w:rPr>
                <w:sz w:val="20"/>
                <w:szCs w:val="20"/>
                <w:color w:val="auto"/>
              </w:rPr>
            </w:pPr>
          </w:p>
        </w:tc>
        <w:tc>
          <w:tcPr>
            <w:tcW w:w="1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auto"/>
                <w:w w:val="96"/>
              </w:rPr>
              <w:t>Stockholders'</w:t>
            </w:r>
          </w:p>
        </w:tc>
      </w:tr>
      <w:tr>
        <w:trPr>
          <w:trHeight w:val="223"/>
        </w:trPr>
        <w:tc>
          <w:tcPr>
            <w:tcW w:w="36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Capital</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Borders>
              <w:bottom w:val="single" w:sz="8" w:color="CFF0FC"/>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bottom w:val="single" w:sz="8" w:color="CFF0FC"/>
            </w:tcBorders>
            <w:gridSpan w:val="2"/>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2019, as reported</w:t>
            </w: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9"/>
              </w:rPr>
              <w:t>64,283,948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principles</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 as adjusted</w:t>
            </w:r>
          </w:p>
        </w:tc>
        <w:tc>
          <w:tcPr>
            <w:tcW w:w="9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9"/>
              </w:rPr>
              <w:t>64,283,948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2"/>
              </w:rPr>
              <w:t>209,110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4"/>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(17.0)</w:t>
            </w: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9"/>
              </w:rPr>
              <w:t>64,493,058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1,277.5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  (1,209.4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3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5"/>
          </w:tcPr>
          <w:p>
            <w:pPr>
              <w:ind w:left="200"/>
              <w:spacing w:after="0"/>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4"/>
        </w:trPr>
        <w:tc>
          <w:tcPr>
            <w:tcW w:w="3680" w:type="dxa"/>
            <w:vAlign w:val="bottom"/>
          </w:tcPr>
          <w:p>
            <w:pPr>
              <w:spacing w:after="0"/>
              <w:rPr>
                <w:sz w:val="20"/>
                <w:szCs w:val="20"/>
                <w:color w:val="auto"/>
              </w:rPr>
            </w:pPr>
          </w:p>
        </w:tc>
        <w:tc>
          <w:tcPr>
            <w:tcW w:w="1940" w:type="dxa"/>
            <w:vAlign w:val="bottom"/>
            <w:gridSpan w:val="6"/>
          </w:tcPr>
          <w:p>
            <w:pPr>
              <w:ind w:left="36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20"/>
                <w:szCs w:val="20"/>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4"/>
              </w:rPr>
              <w:t>Treasury</w:t>
            </w:r>
          </w:p>
        </w:tc>
        <w:tc>
          <w:tcPr>
            <w:tcW w:w="13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4"/>
              </w:rPr>
              <w:t>Retained</w:t>
            </w:r>
          </w:p>
        </w:tc>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4"/>
              </w:rPr>
              <w:t>Stockholders'</w:t>
            </w:r>
          </w:p>
        </w:tc>
      </w:tr>
      <w:tr>
        <w:trPr>
          <w:trHeight w:val="223"/>
        </w:trPr>
        <w:tc>
          <w:tcPr>
            <w:tcW w:w="3680" w:type="dxa"/>
            <w:vAlign w:val="bottom"/>
          </w:tcPr>
          <w:p>
            <w:pPr>
              <w:spacing w:after="0"/>
              <w:rPr>
                <w:sz w:val="19"/>
                <w:szCs w:val="19"/>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Stock</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3"/>
              </w:rPr>
              <w:t>Earnings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Equity</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62,889,679</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(1,073.9)</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15"/>
        </w:trPr>
        <w:tc>
          <w:tcPr>
            <w:tcW w:w="368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8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140,379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368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(39.4)</w:t>
            </w:r>
          </w:p>
        </w:tc>
      </w:tr>
      <w:tr>
        <w:trPr>
          <w:trHeight w:val="230"/>
        </w:trPr>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63,030,058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(1,113.3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710.1</w:t>
            </w:r>
          </w:p>
        </w:tc>
        <w:tc>
          <w:tcPr>
            <w:tcW w:w="8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b w:val="1"/>
                <w:bCs w:val="1"/>
                <w:color w:val="auto"/>
                <w:w w:val="95"/>
              </w:rPr>
              <w:t>Three Months Ended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5"/>
                <w:szCs w:val="15"/>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2019</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3"/>
              <w:spacing w:after="0" w:line="169" w:lineRule="exact"/>
              <w:rPr>
                <w:sz w:val="20"/>
                <w:szCs w:val="20"/>
                <w:color w:val="auto"/>
              </w:rPr>
            </w:pPr>
            <w:r>
              <w:rPr>
                <w:rFonts w:ascii="Arial" w:cs="Arial" w:eastAsia="Arial" w:hAnsi="Arial"/>
                <w:sz w:val="15"/>
                <w:szCs w:val="15"/>
                <w:b w:val="1"/>
                <w:bCs w:val="1"/>
                <w:color w:val="auto"/>
                <w:w w:val="95"/>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14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2420" w:type="dxa"/>
            <w:vAlign w:val="bottom"/>
            <w:gridSpan w:val="2"/>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4.0</w:t>
            </w:r>
          </w:p>
        </w:tc>
        <w:tc>
          <w:tcPr>
            <w:tcW w:w="160" w:type="dxa"/>
            <w:vAlign w:val="bottom"/>
          </w:tcPr>
          <w:p>
            <w:pPr>
              <w:spacing w:after="0"/>
              <w:rPr>
                <w:sz w:val="15"/>
                <w:szCs w:val="15"/>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240"/>
              <w:spacing w:after="0"/>
              <w:rPr>
                <w:sz w:val="20"/>
                <w:szCs w:val="20"/>
                <w:color w:val="auto"/>
              </w:rPr>
            </w:pPr>
            <w:r>
              <w:rPr>
                <w:rFonts w:ascii="Arial" w:cs="Arial" w:eastAsia="Arial" w:hAnsi="Arial"/>
                <w:sz w:val="15"/>
                <w:szCs w:val="15"/>
                <w:color w:val="auto"/>
              </w:rPr>
              <w:t>Share-based compensation costs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Depreciation and amortization</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240"/>
              <w:spacing w:after="0"/>
              <w:rPr>
                <w:sz w:val="20"/>
                <w:szCs w:val="20"/>
                <w:color w:val="auto"/>
              </w:rPr>
            </w:pPr>
            <w:r>
              <w:rPr>
                <w:rFonts w:ascii="Arial" w:cs="Arial" w:eastAsia="Arial" w:hAnsi="Arial"/>
                <w:sz w:val="15"/>
                <w:szCs w:val="15"/>
                <w:color w:val="auto"/>
              </w:rPr>
              <w:t>Acquired intangibles amortization</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Deferred taxes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240"/>
              <w:spacing w:after="0"/>
              <w:rPr>
                <w:sz w:val="20"/>
                <w:szCs w:val="20"/>
                <w:color w:val="auto"/>
              </w:rPr>
            </w:pPr>
            <w:r>
              <w:rPr>
                <w:rFonts w:ascii="Arial" w:cs="Arial" w:eastAsia="Arial" w:hAnsi="Arial"/>
                <w:sz w:val="15"/>
                <w:szCs w:val="15"/>
                <w:color w:val="auto"/>
              </w:rPr>
              <w:t>Amortization of convertible debt discount and issuance costs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Amortization of debt issuance costs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240"/>
              <w:spacing w:after="0"/>
              <w:rPr>
                <w:sz w:val="20"/>
                <w:szCs w:val="20"/>
                <w:color w:val="auto"/>
              </w:rPr>
            </w:pPr>
            <w:r>
              <w:rPr>
                <w:rFonts w:ascii="Arial" w:cs="Arial" w:eastAsia="Arial" w:hAnsi="Arial"/>
                <w:sz w:val="15"/>
                <w:szCs w:val="15"/>
                <w:color w:val="auto"/>
              </w:rPr>
              <w:t>Impairment recovery on investments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Acquired in-process research and development</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240"/>
              <w:spacing w:after="0"/>
              <w:rPr>
                <w:sz w:val="20"/>
                <w:szCs w:val="20"/>
                <w:color w:val="auto"/>
              </w:rPr>
            </w:pPr>
            <w:r>
              <w:rPr>
                <w:rFonts w:ascii="Arial" w:cs="Arial" w:eastAsia="Arial" w:hAnsi="Arial"/>
                <w:sz w:val="15"/>
                <w:szCs w:val="15"/>
                <w:color w:val="auto"/>
              </w:rPr>
              <w:t>Arbitration settlement</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Equity investment loss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240"/>
              <w:spacing w:after="0"/>
              <w:rPr>
                <w:sz w:val="20"/>
                <w:szCs w:val="20"/>
                <w:color w:val="auto"/>
              </w:rPr>
            </w:pPr>
            <w:r>
              <w:rPr>
                <w:rFonts w:ascii="Arial" w:cs="Arial" w:eastAsia="Arial" w:hAnsi="Arial"/>
                <w:sz w:val="15"/>
                <w:szCs w:val="15"/>
                <w:color w:val="auto"/>
              </w:rPr>
              <w:t>Foreign currency remeasurement loss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240"/>
              <w:spacing w:after="0"/>
              <w:rPr>
                <w:sz w:val="20"/>
                <w:szCs w:val="20"/>
                <w:color w:val="auto"/>
              </w:rPr>
            </w:pPr>
            <w:r>
              <w:rPr>
                <w:rFonts w:ascii="Arial" w:cs="Arial" w:eastAsia="Arial" w:hAnsi="Arial"/>
                <w:sz w:val="15"/>
                <w:szCs w:val="15"/>
                <w:color w:val="auto"/>
              </w:rPr>
              <w:t>Changes in operating assets and liabilities, net of acquisitions: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480"/>
              <w:spacing w:after="0"/>
              <w:rPr>
                <w:sz w:val="20"/>
                <w:szCs w:val="20"/>
                <w:color w:val="auto"/>
              </w:rPr>
            </w:pPr>
            <w:r>
              <w:rPr>
                <w:rFonts w:ascii="Arial" w:cs="Arial" w:eastAsia="Arial" w:hAnsi="Arial"/>
                <w:sz w:val="15"/>
                <w:szCs w:val="15"/>
                <w:color w:val="auto"/>
              </w:rPr>
              <w:t>Accounts receivable, net</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Inventories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480"/>
              <w:spacing w:after="0"/>
              <w:rPr>
                <w:sz w:val="20"/>
                <w:szCs w:val="20"/>
                <w:color w:val="auto"/>
              </w:rPr>
            </w:pPr>
            <w:r>
              <w:rPr>
                <w:rFonts w:ascii="Arial" w:cs="Arial" w:eastAsia="Arial" w:hAnsi="Arial"/>
                <w:sz w:val="15"/>
                <w:szCs w:val="15"/>
                <w:color w:val="auto"/>
              </w:rPr>
              <w:t>Prepaid expenses and other current assets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Other assets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480"/>
              <w:spacing w:after="0"/>
              <w:rPr>
                <w:sz w:val="20"/>
                <w:szCs w:val="20"/>
                <w:color w:val="auto"/>
              </w:rPr>
            </w:pPr>
            <w:r>
              <w:rPr>
                <w:rFonts w:ascii="Arial" w:cs="Arial" w:eastAsia="Arial" w:hAnsi="Arial"/>
                <w:sz w:val="15"/>
                <w:szCs w:val="15"/>
                <w:color w:val="auto"/>
              </w:rPr>
              <w:t>Accounts payable</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Accrued compensation</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tcPr>
          <w:p>
            <w:pPr>
              <w:ind w:left="480"/>
              <w:spacing w:after="0"/>
              <w:rPr>
                <w:sz w:val="20"/>
                <w:szCs w:val="20"/>
                <w:color w:val="auto"/>
              </w:rPr>
            </w:pPr>
            <w:r>
              <w:rPr>
                <w:rFonts w:ascii="Arial" w:cs="Arial" w:eastAsia="Arial" w:hAnsi="Arial"/>
                <w:sz w:val="15"/>
                <w:szCs w:val="15"/>
                <w:color w:val="auto"/>
              </w:rPr>
              <w:t>Income taxes payable</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ind w:left="480"/>
              <w:spacing w:after="0"/>
              <w:rPr>
                <w:sz w:val="20"/>
                <w:szCs w:val="20"/>
                <w:color w:val="auto"/>
              </w:rPr>
            </w:pPr>
            <w:r>
              <w:rPr>
                <w:rFonts w:ascii="Arial" w:cs="Arial" w:eastAsia="Arial" w:hAnsi="Arial"/>
                <w:sz w:val="15"/>
                <w:szCs w:val="15"/>
                <w:color w:val="auto"/>
              </w:rPr>
              <w:t>Other accrued liabilities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gridSpan w:val="2"/>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4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47.3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144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20" w:type="dxa"/>
            <w:vAlign w:val="bottom"/>
            <w:gridSpan w:val="2"/>
          </w:tcPr>
          <w:p>
            <w:pPr>
              <w:spacing w:after="0"/>
              <w:rPr>
                <w:sz w:val="20"/>
                <w:szCs w:val="20"/>
                <w:color w:val="auto"/>
              </w:rPr>
            </w:pPr>
            <w:r>
              <w:rPr>
                <w:rFonts w:ascii="Arial" w:cs="Arial" w:eastAsia="Arial" w:hAnsi="Arial"/>
                <w:sz w:val="15"/>
                <w:szCs w:val="15"/>
                <w:color w:val="auto"/>
              </w:rPr>
              <w:t>Purchase of in-process research and development</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Proceeds from sales of investments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gridSpan w:val="2"/>
          </w:tcPr>
          <w:p>
            <w:pPr>
              <w:spacing w:after="0"/>
              <w:rPr>
                <w:sz w:val="20"/>
                <w:szCs w:val="20"/>
                <w:color w:val="auto"/>
              </w:rPr>
            </w:pPr>
            <w:r>
              <w:rPr>
                <w:rFonts w:ascii="Arial" w:cs="Arial" w:eastAsia="Arial" w:hAnsi="Arial"/>
                <w:sz w:val="15"/>
                <w:szCs w:val="15"/>
                <w:color w:val="auto"/>
              </w:rPr>
              <w:t>Purchases of property and equipment</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cash used in investing activities</w:t>
            </w:r>
          </w:p>
        </w:tc>
        <w:tc>
          <w:tcPr>
            <w:tcW w:w="1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400" w:type="dxa"/>
            <w:vAlign w:val="bottom"/>
            <w:vMerge w:val="continue"/>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(7.5)</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9"/>
        </w:trPr>
        <w:tc>
          <w:tcPr>
            <w:tcW w:w="64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14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Purchases of treasury stock</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(17.0)</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176"/>
        </w:trPr>
        <w:tc>
          <w:tcPr>
            <w:tcW w:w="6420" w:type="dxa"/>
            <w:vAlign w:val="bottom"/>
            <w:gridSpan w:val="2"/>
          </w:tcPr>
          <w:p>
            <w:pPr>
              <w:spacing w:after="0"/>
              <w:rPr>
                <w:sz w:val="20"/>
                <w:szCs w:val="20"/>
                <w:color w:val="auto"/>
              </w:rPr>
            </w:pPr>
            <w:r>
              <w:rPr>
                <w:rFonts w:ascii="Arial" w:cs="Arial" w:eastAsia="Arial" w:hAnsi="Arial"/>
                <w:sz w:val="15"/>
                <w:szCs w:val="15"/>
                <w:color w:val="auto"/>
              </w:rPr>
              <w:t>Proceeds from issuance of shares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Payroll taxes for deferred stock and market stock units</w:t>
            </w:r>
          </w:p>
        </w:tc>
        <w:tc>
          <w:tcPr>
            <w:tcW w:w="1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financing activities</w:t>
            </w: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400" w:type="dxa"/>
            <w:vAlign w:val="bottom"/>
            <w:vMerge w:val="continue"/>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5"/>
                <w:szCs w:val="15"/>
                <w:color w:val="auto"/>
              </w:rPr>
              <w:t>Net increase/(decrease) in cash and cash equivalents</w:t>
            </w: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gridSpan w:val="2"/>
            <w:vMerge w:val="continue"/>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at beginning of period</w:t>
            </w:r>
          </w:p>
        </w:tc>
        <w:tc>
          <w:tcPr>
            <w:tcW w:w="144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327.8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20" w:type="dxa"/>
            <w:vAlign w:val="bottom"/>
            <w:gridSpan w:val="2"/>
          </w:tcPr>
          <w:p>
            <w:pPr>
              <w:spacing w:after="0" w:line="169" w:lineRule="exact"/>
              <w:rPr>
                <w:sz w:val="20"/>
                <w:szCs w:val="20"/>
                <w:color w:val="auto"/>
              </w:rPr>
            </w:pPr>
            <w:r>
              <w:rPr>
                <w:rFonts w:ascii="Arial" w:cs="Arial" w:eastAsia="Arial" w:hAnsi="Arial"/>
                <w:sz w:val="15"/>
                <w:szCs w:val="15"/>
                <w:color w:val="auto"/>
              </w:rPr>
              <w:t>Cash and cash equivalents at end of period</w:t>
            </w:r>
          </w:p>
        </w:tc>
        <w:tc>
          <w:tcPr>
            <w:tcW w:w="2420" w:type="dxa"/>
            <w:vAlign w:val="bottom"/>
            <w:gridSpan w:val="2"/>
          </w:tcPr>
          <w:p>
            <w:pPr>
              <w:jc w:val="right"/>
              <w:ind w:right="823"/>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350.8</w:t>
            </w:r>
          </w:p>
        </w:tc>
        <w:tc>
          <w:tcPr>
            <w:tcW w:w="160" w:type="dxa"/>
            <w:vAlign w:val="bottom"/>
          </w:tcPr>
          <w:p>
            <w:pPr>
              <w:spacing w:after="0"/>
              <w:rPr>
                <w:sz w:val="18"/>
                <w:szCs w:val="18"/>
                <w:color w:val="auto"/>
              </w:rPr>
            </w:pPr>
          </w:p>
        </w:tc>
        <w:tc>
          <w:tcPr>
            <w:tcW w:w="720" w:type="dxa"/>
            <w:vAlign w:val="bottom"/>
            <w:gridSpan w:val="2"/>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263.3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420" w:type="dxa"/>
            <w:vAlign w:val="bottom"/>
            <w:gridSpan w:val="2"/>
            <w:shd w:val="clear" w:color="auto" w:fill="CFF0FC"/>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20" w:type="dxa"/>
            <w:vAlign w:val="bottom"/>
            <w:gridSpan w:val="2"/>
          </w:tcPr>
          <w:p>
            <w:pPr>
              <w:spacing w:after="0"/>
              <w:rPr>
                <w:sz w:val="20"/>
                <w:szCs w:val="20"/>
                <w:color w:val="auto"/>
              </w:rPr>
            </w:pPr>
            <w:r>
              <w:rPr>
                <w:rFonts w:ascii="Arial" w:cs="Arial" w:eastAsia="Arial" w:hAnsi="Arial"/>
                <w:sz w:val="15"/>
                <w:szCs w:val="15"/>
                <w:i w:val="1"/>
                <w:iCs w:val="1"/>
                <w:color w:val="auto"/>
              </w:rPr>
              <w:t>Non-cash investing and financing activities: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5"/>
                <w:szCs w:val="15"/>
                <w:color w:val="auto"/>
              </w:rPr>
              <w:t>Purchases of property and equipment in current liabilities</w:t>
            </w:r>
          </w:p>
        </w:tc>
        <w:tc>
          <w:tcPr>
            <w:tcW w:w="2420" w:type="dxa"/>
            <w:vAlign w:val="bottom"/>
            <w:gridSpan w:val="2"/>
            <w:shd w:val="clear" w:color="auto" w:fill="CFF0FC"/>
          </w:tcPr>
          <w:p>
            <w:pPr>
              <w:jc w:val="right"/>
              <w:ind w:right="823"/>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left="260" w:right="274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29, 2019.</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fiscal year is the 52- or 53-week period ending on the last Saturday in June. Our fiscal 2020 is a 52-week period ending June 27, 2020, and our fiscal 2019 was a 52-week period ending on June 29, 2019. The fiscal periods presented in this report are 13-weeks for the three months ended September 28, 2019, and September 29, 2018. For simplicity, the accompanying condensed consolidated financial statements have been shown as ending on calendar quarter end dates as of and for all periods presented, unless otherwise indicated.</w:t>
      </w:r>
    </w:p>
    <w:p>
      <w:pPr>
        <w:spacing w:after="0" w:line="187"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Effective at the beginning of our first quarter of fiscal 2020, the quarter ended September 30, 2019, we adopted the requirements of Accounting Standards Update, or ASU, 2016-02, Leases, or Topic 842, issued by the Financial Accounting Standards Board, or FASB.</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gains of $0.4 million in the three months ended September 30, 2019 and net losses of $0.4 million for the three months ended September 30, 2018.</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operating lease liabilities on our condensed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8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7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Topic 842 occurs. Operating lease cost for lease payments is recognized on a straight-line basis over the lease term.</w:t>
      </w:r>
    </w:p>
    <w:p>
      <w:pPr>
        <w:spacing w:after="0" w:line="18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elected, for all classes of underlying assets, not to recognize ROU assets and lease liabilities for leases with a term of twelve months or 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cost for short-term leases is recognized on a straight-line basis over the lease term.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acquired an emerging technology startup company focused on the design of high-speed connectivity products in August 2019. The purchase price primarily included $2.5 million in cash paid at the closing, and up to $6.5 million in contingent consideration which is payable in set amounts upon meeting various milestones on dates from December 2021 through December 2023. As of September 30, 2019, we have accrued $1.3 million of the contingent consideration as that is the portion which is currently estimable and probable. The acquisition was accounted for as an asset purchase and accordingly we expensed $3.7 million of in-process research and development, recorded liabilities of approximately $1.5 million and recorded a long-term deferred tax asset of $0.3 million in the three months ended September 30,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Recently Adopted Accounting Pronouncements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June 30, 2019, we adopted Accounting Standards Codification Topic 842, or ASC 842, Leases, which requires recognition of ROU assets and lease liabilities for most leases on our consolidated balance sheet. We adopted ASC 842 using a modified retrospective transition approach as of the effective date as permitted by ASC 842. As a result, we were not required to adjust our comparative period financial information for effects of the standard or make the new required lease disclosures for the periods before the date of adoption. We elected the package of practical expedients which allows us not to reassess (1) whether existing or expired contracts, as of the adoption date, contain leases, (2) the lease classification for existing leases, and (3) whether existing initial direct costs meet the new definition. We also elected the practical expedient to not separate lease and non-lease components for our leases, and to not recognize ROU assets and liabilities for short-term leases</w:t>
      </w:r>
    </w:p>
    <w:p>
      <w:pPr>
        <w:spacing w:after="0" w:line="178"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standard had a material impact on our condensed consolidated balance sheet but did not have a significant impact on our condensed consolidated statements of income or cash flows. The most significant impact was the recognition of ROU assets and lease liabilities for operating leases.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adoption of this new standard at June 30, 2019, resulted in the following changes:</w:t>
      </w:r>
    </w:p>
    <w:p>
      <w:pPr>
        <w:spacing w:after="0" w:line="10" w:lineRule="exact"/>
        <w:rPr>
          <w:sz w:val="20"/>
          <w:szCs w:val="20"/>
          <w:color w:val="auto"/>
        </w:rPr>
      </w:pPr>
    </w:p>
    <w:p>
      <w:pPr>
        <w:ind w:left="1120" w:hanging="356"/>
        <w:spacing w:after="0"/>
        <w:tabs>
          <w:tab w:leader="none" w:pos="1120" w:val="left"/>
        </w:tabs>
        <w:numPr>
          <w:ilvl w:val="0"/>
          <w:numId w:val="3"/>
        </w:numPr>
        <w:rPr>
          <w:rFonts w:ascii="Arial" w:cs="Arial" w:eastAsia="Arial" w:hAnsi="Arial"/>
          <w:sz w:val="20"/>
          <w:szCs w:val="20"/>
          <w:color w:val="auto"/>
        </w:rPr>
      </w:pPr>
      <w:r>
        <w:rPr>
          <w:rFonts w:ascii="Arial" w:cs="Arial" w:eastAsia="Arial" w:hAnsi="Arial"/>
          <w:sz w:val="18"/>
          <w:szCs w:val="18"/>
          <w:color w:val="auto"/>
        </w:rPr>
        <w:t>assets increased by $27.8 million, primarily representing the recognition of ROU assets for operating leases; and</w:t>
      </w:r>
    </w:p>
    <w:p>
      <w:pPr>
        <w:spacing w:after="0" w:line="15" w:lineRule="exact"/>
        <w:rPr>
          <w:rFonts w:ascii="Arial" w:cs="Arial" w:eastAsia="Arial" w:hAnsi="Arial"/>
          <w:sz w:val="20"/>
          <w:szCs w:val="20"/>
          <w:color w:val="auto"/>
        </w:rPr>
      </w:pPr>
    </w:p>
    <w:p>
      <w:pPr>
        <w:ind w:left="1120" w:hanging="356"/>
        <w:spacing w:after="0" w:line="223" w:lineRule="auto"/>
        <w:tabs>
          <w:tab w:leader="none" w:pos="1120" w:val="left"/>
        </w:tabs>
        <w:numPr>
          <w:ilvl w:val="0"/>
          <w:numId w:val="3"/>
        </w:numPr>
        <w:rPr>
          <w:rFonts w:ascii="Arial" w:cs="Arial" w:eastAsia="Arial" w:hAnsi="Arial"/>
          <w:sz w:val="20"/>
          <w:szCs w:val="20"/>
          <w:color w:val="auto"/>
        </w:rPr>
      </w:pPr>
      <w:r>
        <w:rPr>
          <w:rFonts w:ascii="Arial" w:cs="Arial" w:eastAsia="Arial" w:hAnsi="Arial"/>
          <w:sz w:val="18"/>
          <w:szCs w:val="18"/>
          <w:color w:val="auto"/>
        </w:rPr>
        <w:t>liabilities increased by $28.4 million, primarily representing the recognition of lease liabilities for operating leases.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adopted Accounting Standards Codification Topic 606, or ASC 606, Revenue from Contracts with Customers, at the beginning of our fiscal 2019. Our revenue is primarily generated from the sale of application specific integrated circuit chips, or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7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accounts receivable balance is from contracts with customers and represents our unconditional right to receive consideration from customers. Payments are generally due within three months upon completion of the performance obligation and subsequent invoicing and therefore, do not include significant financing components. To date, there have been no material impairment losses on accounts receivable. There was $1.0 million in contract assets recorded on the condensed consolidated balance sheets as of September 30, 2019 and $0.9 million as of June 30, 2019. Contract assets are presented as part of prepaid expenses and other current assets. Contract liabilities and refund liabilities were $6.4 million and $38.3 million, respectively, as of September 30, 2019, and $4.5 million and $47.5 million, respectively, as of June 30, 2019. Both contract liabilities and refund liabilities are presented as part of customer obligations in Note 9 Other Accrued Liabilities and Other Long-Term Liabilities. During the three months ended September 30, 2019 and the three months ended September 30, 2018, we recognized $0.2 million and $0.4 million, respectively, in revenue related to contract liabilities outstanding as of the beginning of each such fiscal year.</w:t>
      </w:r>
    </w:p>
    <w:p>
      <w:pPr>
        <w:spacing w:after="0" w:line="18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September 30, 2019,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80" w:type="dxa"/>
            <w:vAlign w:val="bottom"/>
            <w:gridSpan w:val="4"/>
          </w:tcPr>
          <w:p>
            <w:pPr>
              <w:jc w:val="right"/>
              <w:ind w:right="245"/>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8"/>
                <w:szCs w:val="18"/>
                <w:color w:val="auto"/>
                <w:w w:val="91"/>
              </w:rPr>
              <w:t>September 30,</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9"/>
                <w:szCs w:val="19"/>
                <w:color w:val="auto"/>
              </w:rPr>
            </w:pPr>
          </w:p>
        </w:tc>
        <w:tc>
          <w:tcPr>
            <w:tcW w:w="1160" w:type="dxa"/>
            <w:vAlign w:val="bottom"/>
            <w:gridSpan w:val="2"/>
          </w:tcPr>
          <w:p>
            <w:pPr>
              <w:jc w:val="right"/>
              <w:ind w:right="25"/>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10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70"/>
        </w:trPr>
        <w:tc>
          <w:tcPr>
            <w:tcW w:w="39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ind w:right="75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3"/>
                <w:szCs w:val="23"/>
                <w:color w:val="auto"/>
              </w:rPr>
            </w:pPr>
          </w:p>
        </w:tc>
      </w:tr>
      <w:tr>
        <w:trPr>
          <w:trHeight w:val="210"/>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0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9"/>
                <w:szCs w:val="19"/>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0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63"/>
        </w:trPr>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00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0" w:type="dxa"/>
            <w:vAlign w:val="bottom"/>
            <w:tcBorders>
              <w:bottom w:val="single" w:sz="8" w:color="CFF0FC"/>
            </w:tcBorders>
          </w:tcPr>
          <w:p>
            <w:pPr>
              <w:spacing w:after="0"/>
              <w:rPr>
                <w:sz w:val="22"/>
                <w:szCs w:val="22"/>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70"/>
        </w:trPr>
        <w:tc>
          <w:tcPr>
            <w:tcW w:w="3900" w:type="dxa"/>
            <w:vAlign w:val="bottom"/>
          </w:tcPr>
          <w:p>
            <w:pPr>
              <w:ind w:left="24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75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116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23"/>
                <w:szCs w:val="23"/>
                <w:color w:val="auto"/>
              </w:rPr>
            </w:pPr>
          </w:p>
        </w:tc>
      </w:tr>
      <w:tr>
        <w:trPr>
          <w:trHeight w:val="210"/>
        </w:trPr>
        <w:tc>
          <w:tcPr>
            <w:tcW w:w="39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5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deferred stock units, or DSUs, market stock units, or MSUs, performance stock units, or PSUs, and our convertible notes.</w:t>
      </w:r>
    </w:p>
    <w:p>
      <w:pPr>
        <w:spacing w:after="0" w:line="187"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Dilutive net income per share amounts do not include the potential weighted average effect of 1,340,521 and 1,357,565 shares of common stock related to certain share-based awards that were outstanding during the three months ended September 30, 2019 and 2018, respectively. These share-based awards were not included in the computation of diluted net income per share because their effect would have been antidilutive.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2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Our financial assets, measured at fair value on a recurring basis under the fair value hierarchy, consisted of money market funds within level 1 financial assets and totaled $331.0 million and $313.7 million as of September 30, 2019 and June 30, 2019, respectively. These money market funds were included in cash and cash equivalents in our condensed consolidated balance sheets.</w:t>
      </w:r>
    </w:p>
    <w:p>
      <w:pPr>
        <w:spacing w:after="0" w:line="181" w:lineRule="exact"/>
        <w:rPr>
          <w:sz w:val="20"/>
          <w:szCs w:val="20"/>
          <w:color w:val="auto"/>
        </w:rPr>
      </w:pPr>
    </w:p>
    <w:p>
      <w:pPr>
        <w:jc w:val="both"/>
        <w:ind w:right="780" w:firstLine="518"/>
        <w:spacing w:after="0" w:line="342" w:lineRule="auto"/>
        <w:rPr>
          <w:sz w:val="20"/>
          <w:szCs w:val="20"/>
          <w:color w:val="auto"/>
        </w:rPr>
      </w:pPr>
      <w:r>
        <w:rPr>
          <w:rFonts w:ascii="Arial" w:cs="Arial" w:eastAsia="Arial" w:hAnsi="Arial"/>
          <w:sz w:val="16"/>
          <w:szCs w:val="16"/>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w w:val="91"/>
              </w:rPr>
              <w:t>September 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June 30,</w:t>
            </w:r>
          </w:p>
        </w:tc>
      </w:tr>
      <w:tr>
        <w:trPr>
          <w:trHeight w:val="230"/>
        </w:trPr>
        <w:tc>
          <w:tcPr>
            <w:tcW w:w="376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20"/>
                <w:szCs w:val="20"/>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FF0FC"/>
          </w:tcPr>
          <w:p>
            <w:pPr>
              <w:spacing w:after="0"/>
              <w:rPr>
                <w:sz w:val="19"/>
                <w:szCs w:val="19"/>
                <w:color w:val="auto"/>
              </w:rPr>
            </w:pPr>
          </w:p>
        </w:tc>
      </w:tr>
      <w:tr>
        <w:trPr>
          <w:trHeight w:val="230"/>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60" w:type="dxa"/>
            <w:vAlign w:val="bottom"/>
            <w:tcBorders>
              <w:bottom w:val="single" w:sz="8" w:color="CFF0FC"/>
            </w:tcBorders>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life, the gross carrying value and the related accumulated amortization of our acquired intangible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June 30, 2019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tcPr>
          <w:p>
            <w:pPr>
              <w:spacing w:after="0"/>
              <w:rPr>
                <w:sz w:val="14"/>
                <w:szCs w:val="14"/>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2"/>
              </w:rPr>
              <w:t>Weighted Average</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2"/>
              </w:rPr>
              <w:t>September 30, 2019</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June 30, 2019</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06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Gross Carrying</w:t>
            </w:r>
          </w:p>
        </w:tc>
        <w:tc>
          <w:tcPr>
            <w:tcW w:w="220" w:type="dxa"/>
            <w:vAlign w:val="bottom"/>
          </w:tcPr>
          <w:p>
            <w:pPr>
              <w:spacing w:after="0"/>
              <w:rPr>
                <w:sz w:val="11"/>
                <w:szCs w:val="11"/>
                <w:color w:val="auto"/>
              </w:rPr>
            </w:pPr>
          </w:p>
        </w:tc>
        <w:tc>
          <w:tcPr>
            <w:tcW w:w="1080" w:type="dxa"/>
            <w:vAlign w:val="bottom"/>
            <w:gridSpan w:val="3"/>
          </w:tcPr>
          <w:p>
            <w:pPr>
              <w:jc w:val="right"/>
              <w:ind w:right="240"/>
              <w:spacing w:after="0" w:line="137"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1"/>
                <w:szCs w:val="11"/>
                <w:color w:val="auto"/>
              </w:rPr>
            </w:pPr>
          </w:p>
        </w:tc>
        <w:tc>
          <w:tcPr>
            <w:tcW w:w="9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Net Carrying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4"/>
              <w:spacing w:after="0" w:line="137" w:lineRule="exact"/>
              <w:rPr>
                <w:sz w:val="20"/>
                <w:szCs w:val="20"/>
                <w:color w:val="auto"/>
              </w:rPr>
            </w:pPr>
            <w:r>
              <w:rPr>
                <w:rFonts w:ascii="Arial" w:cs="Arial" w:eastAsia="Arial" w:hAnsi="Arial"/>
                <w:sz w:val="14"/>
                <w:szCs w:val="14"/>
                <w:color w:val="auto"/>
                <w:w w:val="91"/>
              </w:rPr>
              <w:t>Gross Carrying</w:t>
            </w:r>
          </w:p>
        </w:tc>
        <w:tc>
          <w:tcPr>
            <w:tcW w:w="220" w:type="dxa"/>
            <w:vAlign w:val="bottom"/>
          </w:tcPr>
          <w:p>
            <w:pPr>
              <w:spacing w:after="0"/>
              <w:rPr>
                <w:sz w:val="11"/>
                <w:szCs w:val="11"/>
                <w:color w:val="auto"/>
              </w:rPr>
            </w:pPr>
          </w:p>
        </w:tc>
        <w:tc>
          <w:tcPr>
            <w:tcW w:w="1160" w:type="dxa"/>
            <w:vAlign w:val="bottom"/>
            <w:gridSpan w:val="3"/>
          </w:tcPr>
          <w:p>
            <w:pPr>
              <w:jc w:val="right"/>
              <w:ind w:right="320"/>
              <w:spacing w:after="0" w:line="137"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1"/>
                <w:szCs w:val="11"/>
                <w:color w:val="auto"/>
              </w:rPr>
            </w:pPr>
          </w:p>
        </w:tc>
        <w:tc>
          <w:tcPr>
            <w:tcW w:w="860" w:type="dxa"/>
            <w:vAlign w:val="bottom"/>
          </w:tcPr>
          <w:p>
            <w:pPr>
              <w:jc w:val="right"/>
              <w:ind w:right="34"/>
              <w:spacing w:after="0" w:line="137" w:lineRule="exact"/>
              <w:rPr>
                <w:sz w:val="20"/>
                <w:szCs w:val="20"/>
                <w:color w:val="auto"/>
              </w:rPr>
            </w:pPr>
            <w:r>
              <w:rPr>
                <w:rFonts w:ascii="Arial" w:cs="Arial" w:eastAsia="Arial" w:hAnsi="Arial"/>
                <w:sz w:val="14"/>
                <w:szCs w:val="14"/>
                <w:color w:val="auto"/>
                <w:w w:val="91"/>
              </w:rPr>
              <w:t>Net 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Life in Years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Audio and video</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Fingerprint authentication</w:t>
            </w: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applicable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Patents</w:t>
            </w: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154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60"/>
              <w:spacing w:after="0"/>
              <w:rPr>
                <w:sz w:val="20"/>
                <w:szCs w:val="20"/>
                <w:color w:val="auto"/>
              </w:rPr>
            </w:pPr>
            <w:r>
              <w:rPr>
                <w:rFonts w:ascii="Arial" w:cs="Arial" w:eastAsia="Arial" w:hAnsi="Arial"/>
                <w:sz w:val="18"/>
                <w:szCs w:val="18"/>
                <w:color w:val="auto"/>
              </w:rPr>
              <w:t>Acquired intangibles,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80"/>
              <w:spacing w:after="0"/>
              <w:rPr>
                <w:sz w:val="20"/>
                <w:szCs w:val="20"/>
                <w:color w:val="auto"/>
              </w:rPr>
            </w:pPr>
            <w:r>
              <w:rPr>
                <w:rFonts w:ascii="Arial" w:cs="Arial" w:eastAsia="Arial" w:hAnsi="Arial"/>
                <w:sz w:val="18"/>
                <w:szCs w:val="18"/>
                <w:color w:val="auto"/>
              </w:rPr>
              <w:t>gross</w:t>
            </w:r>
          </w:p>
        </w:tc>
        <w:tc>
          <w:tcPr>
            <w:tcW w:w="1540" w:type="dxa"/>
            <w:vAlign w:val="bottom"/>
          </w:tcPr>
          <w:p>
            <w:pPr>
              <w:jc w:val="right"/>
              <w:ind w:right="533"/>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398.3</w:t>
            </w:r>
          </w:p>
        </w:tc>
        <w:tc>
          <w:tcPr>
            <w:tcW w:w="5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(271.7)</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445.5</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The total amortization expense for the acquired intangible assets was $18.2 million and $20.0 million for the three months ended September 30, 2019 and 2018, respectively. During the three months ended September 30, 2019 and 2018, $15.3 million and $17.0 million, respectively, of amortization expense was included in our condensed consolidated statements of income in cost of revenue; the remainder was included in acquired intangibles amortization.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fiscal year aggregate amortization expense as of September 30, 2019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There was no change in goodwill during the three months ended September 30,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2026, some of which include options to extend the lease for up to 5 years. For the quarter ended September 30, 2019, the Company recorded approximately $2.3 million of operating lease expense. Our short-term leases are immaterial and we do not have finance leases.</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w w:val="91"/>
              </w:rPr>
              <w:t>As of September 30, 2019, the components of leases and lease costs are as follows (in millions):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1780"/>
              <w:spacing w:after="0"/>
              <w:rPr>
                <w:sz w:val="20"/>
                <w:szCs w:val="20"/>
                <w:color w:val="auto"/>
              </w:rPr>
            </w:pPr>
            <w:r>
              <w:rPr>
                <w:rFonts w:ascii="Arial" w:cs="Arial" w:eastAsia="Arial" w:hAnsi="Arial"/>
                <w:sz w:val="18"/>
                <w:szCs w:val="18"/>
                <w:color w:val="auto"/>
              </w:rPr>
              <w:t>Operating lease liabilities</w:t>
            </w: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ind w:left="178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 (in millions):</w:t>
            </w: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Three Months</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flows</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Supplemental non-cash information related to lease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liabilities arising from obtaining right-of-use assets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the weighted average remaining lease term is 3.8 years, and the weighted average discount rate is 4.21%.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3"/>
          </w:tcPr>
          <w:p>
            <w:pPr>
              <w:ind w:left="520"/>
              <w:spacing w:after="0"/>
              <w:rPr>
                <w:sz w:val="20"/>
                <w:szCs w:val="20"/>
                <w:color w:val="auto"/>
              </w:rPr>
            </w:pPr>
            <w:r>
              <w:rPr>
                <w:rFonts w:ascii="Arial" w:cs="Arial" w:eastAsia="Arial" w:hAnsi="Arial"/>
                <w:sz w:val="18"/>
                <w:szCs w:val="18"/>
                <w:color w:val="auto"/>
                <w:w w:val="97"/>
              </w:rPr>
              <w:t>Future minimum lease payments for the operating lease liabilities are as follows (in millions):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Operating</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Lease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ind w:left="2300"/>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Payments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169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As of the beginning of our fiscal quarter ended September 30, 2019, our aggregate minimum rental commitments for future fiscal years for non-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5"/>
          </w:tcPr>
          <w:p>
            <w:pPr>
              <w:spacing w:after="0"/>
              <w:rPr>
                <w:sz w:val="20"/>
                <w:szCs w:val="20"/>
                <w:color w:val="auto"/>
              </w:rPr>
            </w:pPr>
            <w:r>
              <w:rPr>
                <w:rFonts w:ascii="Arial" w:cs="Arial" w:eastAsia="Arial" w:hAnsi="Arial"/>
                <w:sz w:val="18"/>
                <w:szCs w:val="18"/>
                <w:color w:val="auto"/>
                <w:w w:val="91"/>
              </w:rPr>
              <w:t>cancelable operating leases with initial or remaining terms in excess of one year were as follows (in millions):</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2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Operating</w:t>
            </w: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Lease</w:t>
            </w:r>
          </w:p>
        </w:tc>
      </w:tr>
      <w:tr>
        <w:trPr>
          <w:trHeight w:val="230"/>
        </w:trPr>
        <w:tc>
          <w:tcPr>
            <w:tcW w:w="7740" w:type="dxa"/>
            <w:vAlign w:val="bottom"/>
            <w:gridSpan w:val="3"/>
          </w:tcPr>
          <w:p>
            <w:pPr>
              <w:ind w:left="2300"/>
              <w:spacing w:after="0"/>
              <w:rPr>
                <w:sz w:val="20"/>
                <w:szCs w:val="20"/>
                <w:color w:val="auto"/>
              </w:rPr>
            </w:pPr>
            <w:r>
              <w:rPr>
                <w:rFonts w:ascii="Arial" w:cs="Arial" w:eastAsia="Arial" w:hAnsi="Arial"/>
                <w:sz w:val="18"/>
                <w:szCs w:val="18"/>
                <w:color w:val="auto"/>
              </w:rPr>
              <w:t>Fiscal Year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Payments</w:t>
            </w:r>
          </w:p>
        </w:tc>
      </w:tr>
      <w:tr>
        <w:trPr>
          <w:trHeight w:val="223"/>
        </w:trPr>
        <w:tc>
          <w:tcPr>
            <w:tcW w:w="230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23"/>
        </w:trPr>
        <w:tc>
          <w:tcPr>
            <w:tcW w:w="7740" w:type="dxa"/>
            <w:vAlign w:val="bottom"/>
            <w:gridSpan w:val="3"/>
          </w:tcPr>
          <w:p>
            <w:pPr>
              <w:ind w:left="2300"/>
              <w:spacing w:after="0"/>
              <w:rPr>
                <w:sz w:val="20"/>
                <w:szCs w:val="20"/>
                <w:color w:val="auto"/>
              </w:rPr>
            </w:pPr>
            <w:r>
              <w:rPr>
                <w:rFonts w:ascii="Arial" w:cs="Arial" w:eastAsia="Arial" w:hAnsi="Arial"/>
                <w:sz w:val="18"/>
                <w:szCs w:val="18"/>
                <w:color w:val="auto"/>
              </w:rPr>
              <w:t>Total future minimum operating lease payments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Accrued Liabilities and Other Long-Term Liabilities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Inventory obligations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Warranty</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Other long-term liabilities consisted of the following (in millions):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Indemnifications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93"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252525"/>
        </w:rPr>
        <w:t>The contractual interest expense and amortization of discount on the Notes for the three months ended September 30, 2019,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90"/>
              </w:rPr>
              <w:t>Three Months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46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9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w:t>
            </w:r>
          </w:p>
        </w:tc>
        <w:tc>
          <w:tcPr>
            <w:tcW w:w="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jc w:val="right"/>
              <w:ind w:right="87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right="340" w:firstLine="518"/>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September 30, 2019 were $5.2 million and $47.0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60" w:firstLine="518"/>
        <w:spacing w:after="0" w:line="272" w:lineRule="auto"/>
        <w:rPr>
          <w:sz w:val="20"/>
          <w:szCs w:val="20"/>
          <w:color w:val="auto"/>
        </w:rPr>
      </w:pPr>
      <w:r>
        <w:rPr>
          <w:rFonts w:ascii="Arial" w:cs="Arial" w:eastAsia="Arial" w:hAnsi="Arial"/>
          <w:sz w:val="17"/>
          <w:szCs w:val="17"/>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prior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September 30, 2019, there was no balance outstanding under the revolving credit facility.</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relating to the revolving credit facility will be amortized over 60 months.</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approved by the Administrative Agent, which is currently anticipated to be Secured Overnight Financing Rate, or SOFR.</w:t>
      </w:r>
    </w:p>
    <w:p>
      <w:pPr>
        <w:spacing w:after="0" w:line="16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fiscal quarter, we were in compliance with the restrictive covenants.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210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September 30,</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top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19"/>
                <w:szCs w:val="19"/>
                <w:color w:val="auto"/>
              </w:rPr>
            </w:pPr>
          </w:p>
        </w:tc>
      </w:tr>
      <w:tr>
        <w:trPr>
          <w:trHeight w:val="263"/>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11.2</w:t>
            </w:r>
          </w:p>
        </w:tc>
        <w:tc>
          <w:tcPr>
            <w:tcW w:w="1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16.7</w:t>
            </w:r>
          </w:p>
        </w:tc>
        <w:tc>
          <w:tcPr>
            <w:tcW w:w="60" w:type="dxa"/>
            <w:vAlign w:val="bottom"/>
            <w:tcBorders>
              <w:bottom w:val="single" w:sz="8" w:color="CFF0FC"/>
            </w:tcBorders>
          </w:tcPr>
          <w:p>
            <w:pPr>
              <w:spacing w:after="0"/>
              <w:rPr>
                <w:sz w:val="22"/>
                <w:szCs w:val="22"/>
                <w:color w:val="auto"/>
              </w:rPr>
            </w:pPr>
          </w:p>
        </w:tc>
      </w:tr>
      <w:tr>
        <w:trPr>
          <w:trHeight w:val="210"/>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78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Stock option activity were as follows: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(68,057)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1,048,572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60.88</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40" w:type="dxa"/>
            <w:vAlign w:val="bottom"/>
            <w:gridSpan w:val="2"/>
            <w:vMerge w:val="restart"/>
          </w:tcPr>
          <w:p>
            <w:pPr>
              <w:ind w:left="620"/>
              <w:spacing w:after="0"/>
              <w:rPr>
                <w:sz w:val="20"/>
                <w:szCs w:val="20"/>
                <w:color w:val="auto"/>
              </w:rPr>
            </w:pPr>
            <w:r>
              <w:rPr>
                <w:rFonts w:ascii="Arial" w:cs="Arial" w:eastAsia="Arial" w:hAnsi="Arial"/>
                <w:sz w:val="18"/>
                <w:szCs w:val="18"/>
                <w:color w:val="auto"/>
              </w:rPr>
              <w:t>Exercisable at September 30, 2019</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61.01</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aggregate intrinsic value was determined using the closing price of our common stock on September 27, 2019 of $39.62 and excludes the impact of stock options that were not in-the-money.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DSU activity were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DSU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1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1,878,853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200,417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(183,256)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(106,072)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1,789,942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27, 2019 of $39.62.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shares delivered, 42,740 shares valued at $1.5 million were withheld to meet statutory tax withholding requirements.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Amended and Restated 2010 Incentive Compensation Plan provides for the grant of MSU awards to our employees, consultants, and directors and our 2019 Inducement Equity Plan provides for the grant of MSU awards to certain of our employees. An MSU is a promise to deliver shares of our common stock at a future date based on the achievement of market-based performance requirements in accordance with the terms of the MSU grant agreement.</w:t>
      </w:r>
    </w:p>
    <w:p>
      <w:pPr>
        <w:spacing w:after="0" w:line="14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granted MSUs to our executive officers and other management members,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 + ([Synaptics TSR — {SPSISC Index TSR or SOX Index TSR}] x 2))</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MSUs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September 30, 2019, MSU activity and balances as of September 30, 2019 was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210,732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185,982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(30,928)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Balance as of September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365,786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27, 2019 of $39.62.</w:t>
      </w:r>
    </w:p>
    <w:p>
      <w:pPr>
        <w:spacing w:after="0" w:line="225"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straight-line basis. The unrecognized share-based compensation cost of our outstanding MSUs was approximately $14.5 million as of September 30, 2019, which will be recognized over a weighted average period of approximately 1.6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8" w:name="page19"/>
    <w:bookmarkEnd w:id="18"/>
    <w:p>
      <w:pPr>
        <w:ind w:right="80" w:firstLine="518"/>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September 30, 2019, PSU activity and balances as of September 30, 2019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PSU</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r>
      <w:tr>
        <w:trPr>
          <w:trHeight w:val="230"/>
        </w:trPr>
        <w:tc>
          <w:tcPr>
            <w:tcW w:w="54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30"/>
        </w:trPr>
        <w:tc>
          <w:tcPr>
            <w:tcW w:w="54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(in millions)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192,618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(29,095)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27, 2019 of $39.62.</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$1.3 million as of September 30, 2019, which will be recognized over a weighted average period of approximately 0.8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employee stock purchase plan purchases during the three-month period ended September 30,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87"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The benefit for income taxes of $4.9 million and $0.3 million for the three months ended September 30, 2019 and 2018, respectively, represented estimated federal, foreign, and state income taxes. The effective tax rate for the three months ended September 30, 2019 diverged from the combined U.S. federal and state statutory tax rate primarily because of foreign deemed-paid taxes, foreign income taxed at higher tax rates, and global intangible low-taxed income, or GILTI, partially offset by the benefit of research credits and foreign tax credits. The effective tax rate for the three months ended September 30, 2018, diverged from the combined U.S. federal and state statutory tax rate, primarily because of the benefit of research credits, foreign tax credits, foreign-derived intangible income deduction, excess share-based compensation deductions, release of reserves related to uncertain tax positions and foreign income taxed at lower tax rates, partially offset by foreign withholding taxes, nondeductible amortization, the impact of accounting for qualified stock options, and GILTI.</w:t>
      </w:r>
    </w:p>
    <w:p>
      <w:pPr>
        <w:spacing w:after="0" w:line="192"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total liability for gross unrecognized tax benefits related to uncertain tax positions increased $1.2 million during the three months ended September 30, 2019, to $20.1 million from $18.9 million at June 30, 2019,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30, 2019 were $1.7 million; this balance decreased by $0.2 million compared to June 30, 2019.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$2.5 million.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jc w:val="both"/>
        <w:ind w:firstLine="518"/>
        <w:spacing w:after="0" w:line="259" w:lineRule="auto"/>
        <w:rPr>
          <w:sz w:val="20"/>
          <w:szCs w:val="20"/>
          <w:color w:val="auto"/>
        </w:rPr>
      </w:pPr>
      <w:r>
        <w:rPr>
          <w:rFonts w:ascii="Arial" w:cs="Arial" w:eastAsia="Arial" w:hAnsi="Arial"/>
          <w:sz w:val="18"/>
          <w:szCs w:val="18"/>
          <w:color w:val="auto"/>
        </w:rPr>
        <w:t>In June 2019, the U.S. Ninth Circuit Court of Appeals reversed the 2015 decision of the U.S. Tax Court in Altera Corp. v. Commissioner which found that the Treasury regulations addressing the treatment of stock-based compensation in a cost-sharing arrangement with a related party were invalid. As our tax filing position is consistent with the Treasury regulations, no adjustment to our financial statements is required. However, due to the uncertainties with respect to the ultimate resolution, we will continue to monitor developments in this case.</w:t>
      </w:r>
    </w:p>
    <w:p>
      <w:pPr>
        <w:spacing w:after="0" w:line="18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major tax jurisdictions are the United States, Hong Kong SAR, and Japan. From fiscal 2013 onward, we remain subject to examination by one or more of these jurisdictions. In August 2018, we received the revenue agent’s report resolving the fiscal 2014 and fiscal 2015 examination by the Internal Revenue Service with no material impact on our condensed consolidated financial statements. Our case was reviewed by the Joint Committee on Taxation, which concluded in September 2019 with no further impact to our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or IoT, product market. We sell our products to original equipment manufacturers, or OEMs, and to contract manufacturers that provide manufacturing services to OEMs.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0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86"/>
              </w:rPr>
              <w:t>September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Borders>
              <w:bottom w:val="single" w:sz="8" w:color="CFF0FC"/>
            </w:tcBorders>
          </w:tcPr>
          <w:p>
            <w:pPr>
              <w:spacing w:after="0"/>
              <w:rPr>
                <w:sz w:val="19"/>
                <w:szCs w:val="19"/>
                <w:color w:val="auto"/>
              </w:rPr>
            </w:pPr>
          </w:p>
        </w:tc>
        <w:tc>
          <w:tcPr>
            <w:tcW w:w="2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176.8</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227.8</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Taiwan</w:t>
            </w:r>
          </w:p>
        </w:tc>
        <w:tc>
          <w:tcPr>
            <w:tcW w:w="2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r>
      <w:tr>
        <w:trPr>
          <w:trHeight w:val="230"/>
        </w:trPr>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339.9</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417.6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300" w:type="dxa"/>
            <w:vAlign w:val="bottom"/>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w w:val="86"/>
              </w:rPr>
              <w:t>September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0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5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184.3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262.7</w:t>
            </w:r>
          </w:p>
        </w:tc>
        <w:tc>
          <w:tcPr>
            <w:tcW w:w="8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5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FF0FC"/>
          </w:tcPr>
          <w:p>
            <w:pPr>
              <w:spacing w:after="0"/>
              <w:rPr>
                <w:sz w:val="19"/>
                <w:szCs w:val="19"/>
                <w:color w:val="auto"/>
              </w:rPr>
            </w:pPr>
          </w:p>
        </w:tc>
      </w:tr>
      <w:tr>
        <w:trPr>
          <w:trHeight w:val="223"/>
        </w:trPr>
        <w:tc>
          <w:tcPr>
            <w:tcW w:w="3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339.9</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417.6</w:t>
            </w:r>
          </w:p>
        </w:tc>
        <w:tc>
          <w:tcPr>
            <w:tcW w:w="8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78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60" w:type="dxa"/>
            <w:vAlign w:val="bottom"/>
            <w:gridSpan w:val="4"/>
          </w:tcPr>
          <w:p>
            <w:pPr>
              <w:jc w:val="center"/>
              <w:ind w:right="920"/>
              <w:spacing w:after="0"/>
              <w:rPr>
                <w:sz w:val="20"/>
                <w:szCs w:val="20"/>
                <w:color w:val="auto"/>
              </w:rPr>
            </w:pPr>
            <w:r>
              <w:rPr>
                <w:rFonts w:ascii="Arial" w:cs="Arial" w:eastAsia="Arial" w:hAnsi="Arial"/>
                <w:sz w:val="18"/>
                <w:szCs w:val="18"/>
                <w:color w:val="auto"/>
                <w:w w:val="88"/>
              </w:rPr>
              <w:t>September 30,</w:t>
            </w: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2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89"/>
              </w:rPr>
              <w:t>2019</w:t>
            </w:r>
          </w:p>
        </w:tc>
        <w:tc>
          <w:tcPr>
            <w:tcW w:w="1880" w:type="dxa"/>
            <w:vAlign w:val="bottom"/>
            <w:tcBorders>
              <w:top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820" w:type="dxa"/>
            <w:vAlign w:val="bottom"/>
            <w:tcBorders>
              <w:top w:val="single" w:sz="8" w:color="auto"/>
            </w:tcBorders>
            <w:shd w:val="clear" w:color="auto" w:fill="CFF0FC"/>
          </w:tcPr>
          <w:p>
            <w:pPr>
              <w:jc w:val="center"/>
              <w:ind w:left="330"/>
              <w:spacing w:after="0"/>
              <w:rPr>
                <w:sz w:val="20"/>
                <w:szCs w:val="20"/>
                <w:color w:val="auto"/>
              </w:rPr>
            </w:pPr>
            <w:r>
              <w:rPr>
                <w:rFonts w:ascii="Arial" w:cs="Arial" w:eastAsia="Arial" w:hAnsi="Arial"/>
                <w:sz w:val="18"/>
                <w:szCs w:val="18"/>
                <w:color w:val="auto"/>
                <w:w w:val="88"/>
              </w:rPr>
              <w:t>12%</w:t>
            </w: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820" w:type="dxa"/>
            <w:vAlign w:val="bottom"/>
          </w:tcPr>
          <w:p>
            <w:pPr>
              <w:jc w:val="center"/>
              <w:ind w:left="330"/>
              <w:spacing w:after="0"/>
              <w:rPr>
                <w:sz w:val="20"/>
                <w:szCs w:val="20"/>
                <w:color w:val="auto"/>
              </w:rPr>
            </w:pPr>
            <w:r>
              <w:rPr>
                <w:rFonts w:ascii="Arial" w:cs="Arial" w:eastAsia="Arial" w:hAnsi="Arial"/>
                <w:sz w:val="18"/>
                <w:szCs w:val="18"/>
                <w:color w:val="auto"/>
                <w:w w:val="88"/>
              </w:rPr>
              <w:t>12%</w:t>
            </w:r>
          </w:p>
        </w:tc>
        <w:tc>
          <w:tcPr>
            <w:tcW w:w="1880" w:type="dxa"/>
            <w:vAlign w:val="bottom"/>
            <w:gridSpan w:val="3"/>
          </w:tcPr>
          <w:p>
            <w:pPr>
              <w:jc w:val="center"/>
              <w:ind w:left="5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82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FF0FC"/>
          </w:tcPr>
          <w:p>
            <w:pPr>
              <w:jc w:val="center"/>
              <w:ind w:left="510"/>
              <w:spacing w:after="0"/>
              <w:rPr>
                <w:sz w:val="20"/>
                <w:szCs w:val="20"/>
                <w:color w:val="auto"/>
              </w:rPr>
            </w:pPr>
            <w:r>
              <w:rPr>
                <w:rFonts w:ascii="Arial" w:cs="Arial" w:eastAsia="Arial" w:hAnsi="Arial"/>
                <w:sz w:val="18"/>
                <w:szCs w:val="18"/>
                <w:color w:val="auto"/>
                <w:w w:val="88"/>
              </w:rPr>
              <w:t>17%</w:t>
            </w:r>
          </w:p>
        </w:tc>
        <w:tc>
          <w:tcPr>
            <w:tcW w:w="80" w:type="dxa"/>
            <w:vAlign w:val="bottom"/>
            <w:shd w:val="clear" w:color="auto" w:fill="CFF0FC"/>
          </w:tcPr>
          <w:p>
            <w:pPr>
              <w:spacing w:after="0"/>
              <w:rPr>
                <w:sz w:val="19"/>
                <w:szCs w:val="19"/>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660" w:firstLine="518"/>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September 30,</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June 30,</w:t>
            </w:r>
          </w:p>
        </w:tc>
      </w:tr>
      <w:tr>
        <w:trPr>
          <w:trHeight w:val="230"/>
        </w:trPr>
        <w:tc>
          <w:tcPr>
            <w:tcW w:w="1720" w:type="dxa"/>
            <w:vAlign w:val="bottom"/>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A</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19%</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25%</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16%</w:t>
            </w:r>
          </w:p>
        </w:tc>
        <w:tc>
          <w:tcPr>
            <w:tcW w:w="80" w:type="dxa"/>
            <w:vAlign w:val="bottom"/>
            <w:shd w:val="clear" w:color="auto" w:fill="CFF0FC"/>
          </w:tcPr>
          <w:p>
            <w:pPr>
              <w:spacing w:after="0"/>
              <w:rPr>
                <w:sz w:val="19"/>
                <w:szCs w:val="19"/>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12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comprehensive income generally consists of net income plus the effect of unrealized gains and losses on our investments, primarily due to temporary changes in market value of certain of our auction rate securities, or ARS, investments. In addition, we recognize the noncredit portion of other-than-temporary impairment on debt securities in other comprehensive income. We recognize foreign currency remeasurement adjustments and foreign currency transaction gains and losses in our condensed consolidated statements of income as the U.S. dollar is the functional currency of our foreign entities.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The costs for this restructuring activity primarily related to severance costs for a reduction in headcount and related costs. These activities were complete as of June 30, 2019. In June 2019, we committed to and initiated a restructuring action intended to reduce our operating cost structure further. The costs for this restructuring action primarily related to severance costs for a reduction in headcount. Restructuring costs related to these fiscal 2019 restructuring activities were recorded to the restructuring costs line item within our consolidated statements of income. We expect to complete activities relating to the June 2019 restructuring action in the second quarter of fiscal 2020.</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restructuring liability for the fiscal 2019 initiated activity during fiscal 2019 and the three months ended September 30, 2019 were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Employee Severance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and Benefits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Cash payments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Accruals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2300"/>
              <w:spacing w:after="0"/>
              <w:rPr>
                <w:sz w:val="20"/>
                <w:szCs w:val="20"/>
                <w:color w:val="auto"/>
              </w:rPr>
            </w:pPr>
            <w:r>
              <w:rPr>
                <w:rFonts w:ascii="Arial" w:cs="Arial" w:eastAsia="Arial" w:hAnsi="Arial"/>
                <w:sz w:val="18"/>
                <w:szCs w:val="18"/>
                <w:color w:val="auto"/>
              </w:rPr>
              <w:t>Balance as of September 30, 2019</w:t>
            </w: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vMerge w:val="restart"/>
          </w:tcPr>
          <w:p>
            <w:pPr>
              <w:jc w:val="right"/>
              <w:ind w:right="77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14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ind w:right="20" w:firstLine="518"/>
        <w:spacing w:after="0" w:line="268" w:lineRule="auto"/>
        <w:rPr>
          <w:sz w:val="20"/>
          <w:szCs w:val="20"/>
          <w:color w:val="auto"/>
        </w:rPr>
      </w:pPr>
      <w:r>
        <w:rPr>
          <w:rFonts w:ascii="Arial" w:cs="Arial" w:eastAsia="Arial" w:hAnsi="Arial"/>
          <w:sz w:val="17"/>
          <w:szCs w:val="17"/>
          <w:color w:val="auto"/>
        </w:rPr>
        <w:t>This Quarterly Report on Form 10-Q for the quarter ended September 28, 2019 (this “Report”) contains forward-looking statements that are subject to the safe harbors created under the Securities Act of 1933, as amended (the “Securities Act”), and the Securities Exchange Act of 1934, as amended (the “Exchange Act”). For ease of presentation, this Report shows reporting periods ending on calendar quarter end dates as of and for all periods presented, unless otherwise indicated.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of our Annual Report on Form 10-K for the fiscal year ended June 29, 2019,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products which include smart devices with voice, speech and video solutions, and other select electronic devices, including devices in automobiles, with our custom human interface solutions. The solutions we deliver either contain or consist of our touch-, display driver-, fingerprint authentication-based-, voice and speech-, or </w:t>
      </w:r>
      <w:r>
        <w:rPr>
          <w:rFonts w:ascii="Arial" w:cs="Arial" w:eastAsia="Arial" w:hAnsi="Arial"/>
          <w:sz w:val="17"/>
          <w:szCs w:val="17"/>
          <w:color w:val="333333"/>
        </w:rPr>
        <w:t>video-</w:t>
      </w:r>
      <w:r>
        <w:rPr>
          <w:rFonts w:ascii="Arial" w:cs="Arial" w:eastAsia="Arial" w:hAnsi="Arial"/>
          <w:sz w:val="17"/>
          <w:szCs w:val="17"/>
          <w:color w:val="auto"/>
        </w:rPr>
        <w:t>semiconductor solutions, which include our chip, customer-specific firmware, and software.</w:t>
      </w:r>
    </w:p>
    <w:p>
      <w:pPr>
        <w:spacing w:after="0" w:line="178"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Many of our customers have manufacturing operations in China, and many of our OEM customers have established design centers in Asia. With our expanding global presence, including offices in China, Hong Kong, India, Japan, Korea, Switzerland, Taiwan, and the United States, we are well positioned to provide local sales, operational, and engineering support services to our existing customers, as well as potential new customers, on a global basis.</w:t>
      </w:r>
    </w:p>
    <w:p>
      <w:pPr>
        <w:spacing w:after="0" w:line="14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60" w:firstLine="518"/>
        <w:spacing w:after="0" w:line="276" w:lineRule="auto"/>
        <w:rPr>
          <w:sz w:val="20"/>
          <w:szCs w:val="20"/>
          <w:color w:val="auto"/>
        </w:rPr>
      </w:pPr>
      <w:r>
        <w:rPr>
          <w:rFonts w:ascii="Arial" w:cs="Arial" w:eastAsia="Arial" w:hAnsi="Arial"/>
          <w:sz w:val="17"/>
          <w:szCs w:val="17"/>
          <w:color w:val="auto"/>
        </w:rPr>
        <w:t xml:space="preserve">Our research and development expenses include costs for supplies and materials related to product development, as well as the engineering costs incurred to design ASICs and human interface solutions for OEM customers prior to and after our OEMs’ commitment to incorporate those solutions into their products. In addition, we </w:t>
      </w:r>
      <w:r>
        <w:rPr>
          <w:rFonts w:ascii="Arial" w:cs="Arial" w:eastAsia="Arial" w:hAnsi="Arial"/>
          <w:sz w:val="17"/>
          <w:szCs w:val="17"/>
          <w:color w:val="252525"/>
        </w:rPr>
        <w:t>expense in-process research and development projects acquired as asset acquisitions, which have not yet reached technological</w:t>
      </w:r>
      <w:r>
        <w:rPr>
          <w:rFonts w:ascii="Arial" w:cs="Arial" w:eastAsia="Arial" w:hAnsi="Arial"/>
          <w:sz w:val="17"/>
          <w:szCs w:val="17"/>
          <w:color w:val="auto"/>
        </w:rPr>
        <w:t xml:space="preserve"> </w:t>
      </w:r>
      <w:r>
        <w:rPr>
          <w:rFonts w:ascii="Arial" w:cs="Arial" w:eastAsia="Arial" w:hAnsi="Arial"/>
          <w:sz w:val="17"/>
          <w:szCs w:val="17"/>
          <w:color w:val="252525"/>
        </w:rPr>
        <w:t xml:space="preserve">feasibility, and which have no alternative future use. </w:t>
      </w:r>
      <w:r>
        <w:rPr>
          <w:rFonts w:ascii="Arial" w:cs="Arial" w:eastAsia="Arial" w:hAnsi="Arial"/>
          <w:sz w:val="17"/>
          <w:szCs w:val="17"/>
          <w:color w:val="000000"/>
        </w:rPr>
        <w:t>We continue to commit to the technological and design innovation required to maintain our position in</w:t>
      </w:r>
      <w:r>
        <w:rPr>
          <w:rFonts w:ascii="Arial" w:cs="Arial" w:eastAsia="Arial" w:hAnsi="Arial"/>
          <w:sz w:val="17"/>
          <w:szCs w:val="17"/>
          <w:color w:val="252525"/>
        </w:rPr>
        <w:t xml:space="preserve"> </w:t>
      </w:r>
      <w:r>
        <w:rPr>
          <w:rFonts w:ascii="Arial" w:cs="Arial" w:eastAsia="Arial" w:hAnsi="Arial"/>
          <w:sz w:val="17"/>
          <w:szCs w:val="17"/>
          <w:color w:val="000000"/>
        </w:rPr>
        <w:t>our existing markets, and to adapt our existing technologies or develop new technologies for new markets.</w:t>
      </w:r>
    </w:p>
    <w:p>
      <w:pPr>
        <w:spacing w:after="0" w:line="173"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0"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24"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Interest and other expense, net, primarily reflects interest expense on our convertible notes as well as the amortization of debt issuance costs and discount on our convertible notes, partially offset by interest income earned on our cash and cash equivalents as well as impairment recovery on investments.</w:t>
      </w:r>
    </w:p>
    <w:p>
      <w:pPr>
        <w:spacing w:after="0" w:line="12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September 30, 2019, compared with our critical accounting policies and estimates disclosed in Management’s Discussion and Analysis of Financial Condition and Results of Operations included in our Annual Report on Form 10-K for the fiscal year ended June 29,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September 30,</w:t>
            </w:r>
          </w:p>
        </w:tc>
        <w:tc>
          <w:tcPr>
            <w:tcW w:w="1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b w:val="1"/>
                <w:bCs w:val="1"/>
                <w:color w:val="auto"/>
              </w:rPr>
              <w:t>$ Change</w:t>
            </w:r>
          </w:p>
        </w:tc>
        <w:tc>
          <w:tcPr>
            <w:tcW w:w="2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500" w:type="dxa"/>
            <w:vAlign w:val="bottom"/>
            <w:gridSpan w:val="2"/>
            <w:shd w:val="clear" w:color="auto" w:fill="CFF0FC"/>
          </w:tcPr>
          <w:p>
            <w:pPr>
              <w:jc w:val="right"/>
              <w:ind w:right="657"/>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184.3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(78.4)</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67.8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(0.8)</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6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466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339.9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(77.7)</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6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line="20" w:lineRule="exact"/>
              <w:rPr>
                <w:sz w:val="1"/>
                <w:szCs w:val="1"/>
                <w:color w:val="auto"/>
              </w:rPr>
            </w:pPr>
          </w:p>
        </w:tc>
      </w:tr>
      <w:tr>
        <w:trPr>
          <w:trHeight w:val="213"/>
        </w:trPr>
        <w:tc>
          <w:tcPr>
            <w:tcW w:w="466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126.2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(14.7)</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(6.4)</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(1.7)</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Operating income</w:t>
            </w:r>
          </w:p>
        </w:tc>
        <w:tc>
          <w:tcPr>
            <w:tcW w:w="6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line="20" w:lineRule="exact"/>
              <w:rPr>
                <w:sz w:val="1"/>
                <w:szCs w:val="1"/>
                <w:color w:val="auto"/>
              </w:rPr>
            </w:pPr>
          </w:p>
        </w:tc>
      </w:tr>
      <w:tr>
        <w:trPr>
          <w:trHeight w:val="213"/>
        </w:trPr>
        <w:tc>
          <w:tcPr>
            <w:tcW w:w="466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Interest and other expense, net</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(1.7)</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Income/(loss) before provision/(benefit) for income taxes</w:t>
            </w:r>
          </w:p>
        </w:tc>
        <w:tc>
          <w:tcPr>
            <w:tcW w:w="6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line="20" w:lineRule="exact"/>
              <w:rPr>
                <w:sz w:val="1"/>
                <w:szCs w:val="1"/>
                <w:color w:val="auto"/>
              </w:rPr>
            </w:pPr>
          </w:p>
        </w:tc>
      </w:tr>
      <w:tr>
        <w:trPr>
          <w:trHeight w:val="213"/>
        </w:trPr>
        <w:tc>
          <w:tcPr>
            <w:tcW w:w="466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Provision/(benefit) for income taxes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(4.6)</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(1533.3%)</w:t>
            </w: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6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466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6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280" w:firstLine="518"/>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25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54.3%</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62.9%</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7460" w:type="dxa"/>
            <w:vAlign w:val="bottom"/>
            <w:gridSpan w:val="2"/>
          </w:tcPr>
          <w:p>
            <w:pPr>
              <w:spacing w:after="0"/>
              <w:rPr>
                <w:sz w:val="20"/>
                <w:szCs w:val="20"/>
                <w:color w:val="auto"/>
              </w:rPr>
            </w:pPr>
            <w:r>
              <w:rPr>
                <w:rFonts w:ascii="Arial" w:cs="Arial" w:eastAsia="Arial" w:hAnsi="Arial"/>
                <w:sz w:val="16"/>
                <w:szCs w:val="16"/>
                <w:color w:val="auto"/>
              </w:rPr>
              <w:t>PC product applications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19.9%</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16.4%</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25.8%</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20.7%</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207"/>
        </w:trPr>
        <w:tc>
          <w:tcPr>
            <w:tcW w:w="658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8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100.0%</w:t>
            </w:r>
          </w:p>
        </w:tc>
        <w:tc>
          <w:tcPr>
            <w:tcW w:w="8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100.0%</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37.1%</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33.7%</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6"/>
                <w:szCs w:val="16"/>
                <w:color w:val="auto"/>
              </w:rPr>
              <w:t>Operating expenses:</w:t>
            </w: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25.3%</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7460" w:type="dxa"/>
            <w:vAlign w:val="bottom"/>
            <w:gridSpan w:val="2"/>
          </w:tcPr>
          <w:p>
            <w:pPr>
              <w:ind w:left="260"/>
              <w:spacing w:after="0"/>
              <w:rPr>
                <w:sz w:val="20"/>
                <w:szCs w:val="20"/>
                <w:color w:val="auto"/>
              </w:rPr>
            </w:pPr>
            <w:r>
              <w:rPr>
                <w:rFonts w:ascii="Arial" w:cs="Arial" w:eastAsia="Arial" w:hAnsi="Arial"/>
                <w:sz w:val="16"/>
                <w:szCs w:val="16"/>
                <w:color w:val="auto"/>
              </w:rPr>
              <w:t>Selling, general, and administrative</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8.1%</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8.1%</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7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0.9%</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0.7%</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line="20" w:lineRule="exact"/>
              <w:rPr>
                <w:sz w:val="1"/>
                <w:szCs w:val="1"/>
                <w:color w:val="auto"/>
              </w:rPr>
            </w:pPr>
          </w:p>
        </w:tc>
      </w:tr>
      <w:tr>
        <w:trPr>
          <w:trHeight w:val="213"/>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income</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0.9%</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Interest and other expense, net</w:t>
            </w:r>
          </w:p>
        </w:tc>
        <w:tc>
          <w:tcPr>
            <w:tcW w:w="8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8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213"/>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Income/(loss) before provision/(benefit) for income taxes</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0.9%</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60" w:type="dxa"/>
            <w:vAlign w:val="bottom"/>
            <w:gridSpan w:val="2"/>
          </w:tcPr>
          <w:p>
            <w:pPr>
              <w:spacing w:after="0"/>
              <w:rPr>
                <w:sz w:val="20"/>
                <w:szCs w:val="20"/>
                <w:color w:val="auto"/>
              </w:rPr>
            </w:pPr>
            <w:r>
              <w:rPr>
                <w:rFonts w:ascii="Arial" w:cs="Arial" w:eastAsia="Arial" w:hAnsi="Arial"/>
                <w:sz w:val="16"/>
                <w:szCs w:val="16"/>
                <w:color w:val="auto"/>
              </w:rPr>
              <w:t>Provision/(benefit) for income taxes</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8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8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line="20" w:lineRule="exact"/>
              <w:rPr>
                <w:sz w:val="1"/>
                <w:szCs w:val="1"/>
                <w:color w:val="auto"/>
              </w:rPr>
            </w:pPr>
          </w:p>
        </w:tc>
      </w:tr>
      <w:tr>
        <w:trPr>
          <w:trHeight w:val="207"/>
        </w:trPr>
        <w:tc>
          <w:tcPr>
            <w:tcW w:w="65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8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8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Net revenue was $339.9 million for the three months ended September 30, 2019, compared with $417.6 million for the three months ended September 30, 2018, a decrease of $77.7 million, or 18.6%. Of this net revenue, $184.3 million, or 54.3%, was from Mobile product applications, $87.8 million, or</w:t>
      </w:r>
    </w:p>
    <w:p>
      <w:pPr>
        <w:ind w:right="120"/>
        <w:spacing w:after="0" w:line="290" w:lineRule="auto"/>
        <w:rPr>
          <w:sz w:val="20"/>
          <w:szCs w:val="20"/>
          <w:color w:val="auto"/>
        </w:rPr>
      </w:pPr>
      <w:r>
        <w:rPr>
          <w:rFonts w:ascii="Arial" w:cs="Arial" w:eastAsia="Arial" w:hAnsi="Arial"/>
          <w:sz w:val="16"/>
          <w:szCs w:val="16"/>
          <w:color w:val="auto"/>
        </w:rPr>
        <w:t>25.8%, was from IoT product applications, and $67.8 million, or 19.9%, was from PC product applications. The decrease in net revenue for the three months ended September 30, 2019 was primarily attributable to a decrease in net revenue from Mobile product applications and PC product applications, partially offset by an increase in net revenue from IoT product applications. Net revenue from Mobile product applications decreased as a result of a decline in units sold (which decreased 31.0%), partially offset by higher average selling prices for Mobile product applications. Net revenue from PC product applications decreased due to a decline in units sold for PC product applications, partially offset by higher average selling prices. Net revenue from IoT product applications increased as a result of a higher average selling prices for IoT product applications, partially offset by a decline in units sold.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Gross margin as a percentage of net revenue was 37.1%, or $126.2 million, for the three months ended September 30, 2019, compared with 33.7%, or $140.9 million, for the three months ended September 30, 2018. The 340 basis point increase in gross margin for the three months ended September 30, 2019, was primarily due to a favorable product mix.</w:t>
      </w:r>
    </w:p>
    <w:p>
      <w:pPr>
        <w:spacing w:after="0" w:line="18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We continually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decreased $4.0 million to $86.0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compared with the three months ended September 30, 2018. The decrease in research and development expenses primarily reflected a net $2.6 million decrease in personnel-related costs which was due to a decrease in average headcount for the three months ended September 30, 2019, as compared to the three months ended September 30, 2018, as a result of restructuring activities to reduce operating costs; a $2.4 million decrease in infrastructure costs related to facilities; and a $1.8 million decrease in supplies and project specific costs, partially offset by acquired in-process research and development of $3.7 million. See Note 1 Basis of Presentation included in the condensed consolidated financial statements contained elsewhere in this Report. The decrease in personnel-related costs was partially offset by $2.5 million of retention program costs with key engineering and management employees designed to ensure operational continuity and support as we transition the company through senior level management and product focus changes.</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$6.4 million to $27.5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compared with the three months ended September 30, 2018. The decrease in selling, general, and administrative expenses primarily reflected a net $6.5 million decrease in personnel-related costs which was primarily due to a reduction in headcount as a result of restructuring activities to reduce operating costs. The decrease in personnel-related costs was partially offset by $1.3 million of retention program costs with key management employees designed to ensure operational continuity and support as we transition the company through senior level management and product focus changes.</w:t>
      </w:r>
    </w:p>
    <w:p>
      <w:pPr>
        <w:spacing w:after="0" w:line="193"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included in the condensed consolidated financial statements contained elsewhere in this Report.</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of $6.6 million in the three months ended September 30, 2019 reflect severance costs for restructuring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ongoing operating costs which commenced in the fourth quarter of fiscal 2019. The restructuring activities are expected to be complete in the second quarter of fiscal 2020. See Note 16 Restructuring Activities included in the condensed consolidated financial statements contained elsewhere in this Report.</w:t>
      </w:r>
    </w:p>
    <w:p>
      <w:pPr>
        <w:spacing w:after="0" w:line="187" w:lineRule="exact"/>
        <w:rPr>
          <w:sz w:val="20"/>
          <w:szCs w:val="20"/>
          <w:color w:val="auto"/>
        </w:rPr>
      </w:pPr>
    </w:p>
    <w:p>
      <w:pPr>
        <w:jc w:val="both"/>
        <w:ind w:right="340" w:firstLine="518"/>
        <w:spacing w:after="0" w:line="302" w:lineRule="auto"/>
        <w:rPr>
          <w:sz w:val="20"/>
          <w:szCs w:val="20"/>
          <w:color w:val="auto"/>
        </w:rPr>
      </w:pPr>
      <w:r>
        <w:rPr>
          <w:rFonts w:ascii="Arial" w:cs="Arial" w:eastAsia="Arial" w:hAnsi="Arial"/>
          <w:sz w:val="16"/>
          <w:szCs w:val="16"/>
          <w:i w:val="1"/>
          <w:iCs w:val="1"/>
          <w:color w:val="auto"/>
        </w:rPr>
        <w:t>Interest and Other Expense, Net</w:t>
      </w:r>
      <w:r>
        <w:rPr>
          <w:rFonts w:ascii="Arial" w:cs="Arial" w:eastAsia="Arial" w:hAnsi="Arial"/>
          <w:sz w:val="16"/>
          <w:szCs w:val="16"/>
          <w:color w:val="auto"/>
        </w:rPr>
        <w:t>. Interest and other expense, net primarily includes the amortization of debt discount and issuance costs,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on our debt, partially offset by interest income earned on our cash and cash equivalents as well as impairment recovery on investments. The $1.7 million increase in interest and other expense, net to $3.6 million for the three months ended September 30, 2019, as compared to the three months ended September 30, 2018, was primarily due to a $2.8 million impairment recovery on investments recorded in the first quarter of fiscal 2019.</w:t>
      </w:r>
    </w:p>
    <w:p>
      <w:pPr>
        <w:spacing w:after="0" w:line="15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We account for income taxes under the asset and liability method. The provision for income taxes recorded in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is recorded by applying the estimated annual effective tax rate to year-to-date income before provision for income taxes, excluding the effects of significant unusual or infrequently occurring discrete items. The tax effects of discrete items are recorded in the same period that the related discrete items are reported and results in a difference between the actual effective tax rate and the estimated annual effective tax rate.</w:t>
      </w:r>
    </w:p>
    <w:p>
      <w:pPr>
        <w:spacing w:after="0" w:line="17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benefit for income taxes of $4.9 million and $0.3 million for the three months ended September 30, 2019 and 2018, respectively, represented estimated federal, foreign, and state income taxes. The effective tax rate for the three months ended September 30, 2019 diverged from the combined U.S. federal and state statutory tax rate primarily because of foreign deemed-paid taxes, foreign income taxed at higher tax rates, and GILTI, partially offset by the benefit of research credits and foreign tax credits. The effective tax rate for the three months ended September 30, 2018, diverged from the combined U.S. federal and state statutory tax rate, primarily because of the benefit of research credits, foreign tax credits, foreign-derived intangible income deduction, excess share-based compensation deductions, release of reserves related to uncertain tax positions and foreign income taxed at lower tax rates, partially offset by foreign withholding taxes, nondeductible amortization, the impact of accounting for qualified stock options, and GILTI.</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June 2019, the U.S. Ninth Circuit Court of Appeals reversed the 2015 decision of the U.S. Tax Court in Altera Corp. v. Commissioner which found that the Treasury regulations addressing the treatment of stock-based compensation in a cost-sharing arrangement with a related party were invalid. As our tax filing position is consistent with the Treasury regulations, no adjustment to our financial statements is required. However, due to the uncertainties with respect to the ultimate resolution, we will continue to monitor developments in this case.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Our cash and cash equivalents were $350.8 million as of September 30, 2019, compared with $327.8 million as of June 30, 2019, an increase of $23.0 million. The increase primarily reflected $47.3 million of net cash provided by operating activities, partially offset by $17.0 million used to repurchase 555,663 shares of our common stock, $5.0 million used for the purchase of property and equipment and $2.5 million used for an asset acquisition completed in August 2019. At this time,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September 30, 2019, $133.0 million of cash and cash equivalents was held by our foreign subsidiaries. If these funds are needed for our operations in the United States, we would be required to accrue and pay U.S. taxes to repatriate these funds.</w:t>
      </w:r>
    </w:p>
    <w:p>
      <w:pPr>
        <w:spacing w:after="0" w:line="17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Operating activities during the three months ended September 30, 2019 generated $47.3 million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$4.6 million net cash generated during the three months ended September 30, 2018. For the three months ended September 30, 2019, the primary operating activities were adjustments for non-cash charges of $43.0 million and a net change in operating assets and liabilities of $0.3 million. The net change in operating assets and liabilities was primarily attributable to a $20.5 million decrease in inventory, partially offset by a $9.4 million decrease in income taxes payable and a $9.2 million decrease in other accrued liabilities. From June 30, 2019 to September 30, 2019, our days sales outstanding decreased from 70 days to 61 days due to a larger percentage of the quarter’s net revenue occurring late in the June 30, 2019 quarter compared with a smaller percentage of the quarter’s net revenue occurring late in the September 30, 2019 quarter. Our annual inventory turns increased from five to six.</w:t>
      </w:r>
    </w:p>
    <w:p>
      <w:pPr>
        <w:spacing w:after="0" w:line="1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during the three months ended September 30, 2019 consisted of $5.0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and $2.5 million used for an asset acquisition completed in August 2019.</w:t>
      </w:r>
    </w:p>
    <w:p>
      <w:pPr>
        <w:spacing w:after="0" w:line="170"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used in financing activities for the three months ended September 30, 2019 was $16.8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$38.2 million provided by financing activities for the three months ended September 30, 2018. Net cash used in financing activities for the three months ended September 30, 2019 was primarily related to $17.0 million used to repurchase 555,663 shares of our common stock.</w:t>
      </w:r>
    </w:p>
    <w:p>
      <w:pPr>
        <w:spacing w:after="0" w:line="14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 xml:space="preserve">Common Stock Repurchase Program. </w:t>
      </w:r>
      <w:r>
        <w:rPr>
          <w:rFonts w:ascii="Arial" w:cs="Arial" w:eastAsia="Arial" w:hAnsi="Arial"/>
          <w:sz w:val="16"/>
          <w:szCs w:val="16"/>
          <w:color w:val="auto"/>
        </w:rPr>
        <w:t>As of September 30, 2019, our board has cumulatively authorized $1.4 billion for our common stock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which will expire in July 2021.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September 30, 2019, we purchased 31,489,876 shares of our common stock in the open market for an aggregate cost of $1.2 billion. During the three months ended September 30, 2019, we repurchased 555,663 shares of our common stock for a total cost of $17.0 million. As of September 30, 2019, the remaining available authorization under our common stock repurchase program was $190.6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retire our outstanding bank debt, and provide additional cash resources to fund the acquisition of Conexant Systems, LLC and the assets of Marvell Technology Group, Ltd.’s multimedia solutions business.</w:t>
      </w:r>
    </w:p>
    <w:p>
      <w:pPr>
        <w:spacing w:after="0" w:line="179"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252525"/>
        </w:rPr>
        <w:t>The Notes bear interest at a rate of 0.50% per year. Interest has accrued since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6" w:name="page27"/>
    <w:bookmarkEnd w:id="26"/>
    <w:p>
      <w:pPr>
        <w:ind w:right="640" w:firstLine="518"/>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820" w:firstLine="518"/>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We have a $200.0 million revolving credit facility, which includes a $20 million sublimit for letters of credit and a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sublimit for swingline loans. Under the terms of the revolving credit facility, or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September 30, 2019, there was no balance outstanding under the revolving credit facility.</w:t>
      </w:r>
    </w:p>
    <w:p>
      <w:pPr>
        <w:spacing w:after="0" w:line="173"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are amortizing over 60 months.</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Under our credit facility, when the LIBOR index is discontinued, we will switch to a comparable or successor rate as approved by the Administrative Agent, which is currently anticipated to be SOFR.</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both"/>
        <w:ind w:right="220" w:firstLine="518"/>
        <w:spacing w:after="0" w:line="286" w:lineRule="auto"/>
        <w:rPr>
          <w:sz w:val="20"/>
          <w:szCs w:val="20"/>
          <w:color w:val="auto"/>
        </w:rPr>
      </w:pPr>
      <w:r>
        <w:rPr>
          <w:rFonts w:ascii="Arial" w:cs="Arial" w:eastAsia="Arial" w:hAnsi="Arial"/>
          <w:sz w:val="17"/>
          <w:szCs w:val="17"/>
          <w:i w:val="1"/>
          <w:iCs w:val="1"/>
          <w:color w:val="auto"/>
        </w:rPr>
        <w:t xml:space="preserve">$100 Million Shelf Registration. </w:t>
      </w:r>
      <w:r>
        <w:rPr>
          <w:rFonts w:ascii="Arial" w:cs="Arial" w:eastAsia="Arial" w:hAnsi="Arial"/>
          <w:sz w:val="17"/>
          <w:szCs w:val="17"/>
          <w:color w:val="auto"/>
        </w:rPr>
        <w:t>We have registered an aggregate of $100.0 million of common stock and preferred stock for issuance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acquisitions, which shares will generally be freely tradeable after their issuance under the Securities Act unless held by an affiliate of the Company, in which case such shares will be subject to the volume and manner of sale restrictions of Rule 144 of the Securities Act.</w:t>
      </w:r>
    </w:p>
    <w:p>
      <w:pPr>
        <w:spacing w:after="0" w:line="166"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We believe our existing cash and cash equivalents, anticipated cash flows from operating activities, and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under our revolving credit facility will be sufficient to meet our working capital and other cash requirements for at least the next 12 months, and our debt service obligations.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September 30, 2019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Fiscal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Fiscal</w:t>
            </w: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Fiscal</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2021</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2022</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2023</w:t>
            </w:r>
          </w:p>
        </w:tc>
        <w:tc>
          <w:tcPr>
            <w:tcW w:w="1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Year 2024</w:t>
            </w:r>
          </w:p>
        </w:tc>
        <w:tc>
          <w:tcPr>
            <w:tcW w:w="2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Thereafter</w:t>
            </w:r>
          </w:p>
        </w:tc>
        <w:tc>
          <w:tcPr>
            <w:tcW w:w="12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r>
      <w:tr>
        <w:trPr>
          <w:trHeight w:val="215"/>
        </w:trPr>
        <w:tc>
          <w:tcPr>
            <w:tcW w:w="2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obligations and</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15"/>
                <w:szCs w:val="15"/>
                <w:color w:val="auto"/>
              </w:rPr>
              <w:t>(2)</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20"/>
                <w:szCs w:val="20"/>
                <w:color w:val="auto"/>
              </w:rPr>
            </w:pPr>
          </w:p>
        </w:tc>
      </w:tr>
      <w:tr>
        <w:trPr>
          <w:trHeight w:val="230"/>
        </w:trPr>
        <w:tc>
          <w:tcPr>
            <w:tcW w:w="2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FF0FC"/>
            </w:tcBorders>
          </w:tcPr>
          <w:p>
            <w:pPr>
              <w:spacing w:after="0"/>
              <w:rPr>
                <w:sz w:val="19"/>
                <w:szCs w:val="19"/>
                <w:color w:val="auto"/>
              </w:rPr>
            </w:pPr>
          </w:p>
        </w:tc>
      </w:tr>
      <w:tr>
        <w:trPr>
          <w:trHeight w:val="223"/>
        </w:trPr>
        <w:tc>
          <w:tcPr>
            <w:tcW w:w="28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49" w:lineRule="exact"/>
        <w:rPr>
          <w:rFonts w:ascii="Arial" w:cs="Arial" w:eastAsia="Arial" w:hAnsi="Arial"/>
          <w:sz w:val="18"/>
          <w:szCs w:val="18"/>
          <w:color w:val="auto"/>
        </w:rPr>
      </w:pPr>
    </w:p>
    <w:p>
      <w:pPr>
        <w:ind w:left="520" w:right="660" w:hanging="512"/>
        <w:spacing w:after="0" w:line="27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20" w:right="38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tax amount for the transition tax liability associated with our deemed repatriation of accumulated foreign earnings as a result of the enactment of the Tax Cuts and Jobs Act into law on December 22, 2017.</w:t>
      </w:r>
    </w:p>
    <w:p>
      <w:pPr>
        <w:spacing w:after="0" w:line="170"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The amounts in the table above exclude unrecognized tax benefits of $20.1 million. As of September 30, 2019, we were unable to make a reasonably reliable estimate of when cash settlement with a taxing authority may occur in connection with our gross unrecognized tax benefit.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As of September 30, 2019, our market risk related to interest rates on our cash and cash equivalents, and foreign currency exchange risks has not changed materially from the risks disclosed in Item 7A of our Annual Report on Form 10-K for the fiscal year ended June 29, 2019.</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adopted Accounting Standards Codification, or ASC, Topic 842, Leases, on the first day of the first quarter of fiscal 2020, or June 30, 2019. As a result, we have enhanced our processes and controls to address the new lease standard. Other than that, there were no changes in our internal control over financial reporting (as defined in Rules 13a-15(f) and 15d-15(f) under the Exchange Act) that occurred during the three months ended September 30, 2019 that have materially affected, or are reasonably likely to materially affect, our internal control over financial reporting.</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252525"/>
        </w:rPr>
        <w:t>There are no material changes to the Company’s risk factors set forth in Part I, Item 1A, “Risk Factors,” of our Annual Report on Form 10-K for the fiscal year ended June 29, 2019.</w:t>
      </w:r>
    </w:p>
    <w:p>
      <w:pPr>
        <w:spacing w:after="0" w:line="35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jc w:val="both"/>
        <w:ind w:right="80" w:firstLine="518"/>
        <w:spacing w:after="0" w:line="264" w:lineRule="auto"/>
        <w:rPr>
          <w:sz w:val="20"/>
          <w:szCs w:val="20"/>
          <w:color w:val="auto"/>
        </w:rPr>
      </w:pPr>
      <w:r>
        <w:rPr>
          <w:rFonts w:ascii="Arial" w:cs="Arial" w:eastAsia="Arial" w:hAnsi="Arial"/>
          <w:sz w:val="18"/>
          <w:szCs w:val="18"/>
          <w:color w:val="auto"/>
        </w:rPr>
        <w:t>Our Board of Directors has cumulatively authorized $1.4 billion for our common stock repurchase program, which expires at the end of July 2021. As of September 30, 2019, the remaining amount authorized for the repurchase of our common stock was $190.6 million. During the three-month period ended September 30, 2019, repurchases under our common stock repurchase program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Maximum Dollar</w:t>
            </w:r>
          </w:p>
        </w:tc>
      </w:t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Number of Shares</w:t>
            </w:r>
          </w:p>
        </w:tc>
        <w:tc>
          <w:tcPr>
            <w:tcW w:w="14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Value of Shares</w:t>
            </w:r>
          </w:p>
        </w:tc>
      </w:t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Average</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that May Be</w:t>
            </w:r>
          </w:p>
        </w:tc>
      </w:t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left="170"/>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Price</w:t>
            </w: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 Part of</w:t>
            </w:r>
          </w:p>
        </w:tc>
        <w:tc>
          <w:tcPr>
            <w:tcW w:w="14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Purchased</w:t>
            </w:r>
          </w:p>
        </w:tc>
      </w:t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left="170"/>
              <w:spacing w:after="0"/>
              <w:rPr>
                <w:sz w:val="20"/>
                <w:szCs w:val="20"/>
                <w:color w:val="auto"/>
              </w:rPr>
            </w:pPr>
            <w:r>
              <w:rPr>
                <w:rFonts w:ascii="Arial" w:cs="Arial" w:eastAsia="Arial" w:hAnsi="Arial"/>
                <w:sz w:val="18"/>
                <w:szCs w:val="18"/>
                <w:color w:val="auto"/>
                <w:w w:val="93"/>
              </w:rPr>
              <w:t>Number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Paid</w:t>
            </w: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Publicly</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 the Future</w:t>
            </w:r>
          </w:p>
        </w:tc>
      </w:tr>
      <w:tr>
        <w:trPr>
          <w:trHeight w:val="230"/>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left="170"/>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color w:val="auto"/>
                <w:w w:val="84"/>
              </w:rPr>
              <w:t>per</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Announced</w:t>
            </w:r>
          </w:p>
        </w:tc>
        <w:tc>
          <w:tcPr>
            <w:tcW w:w="140" w:type="dxa"/>
            <w:vAlign w:val="bottom"/>
          </w:tcPr>
          <w:p>
            <w:pPr>
              <w:spacing w:after="0"/>
              <w:rPr>
                <w:sz w:val="19"/>
                <w:szCs w:val="19"/>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Under the</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180" w:type="dxa"/>
            <w:vAlign w:val="bottom"/>
          </w:tcPr>
          <w:p>
            <w:pPr>
              <w:jc w:val="center"/>
              <w:ind w:left="150"/>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Share</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Program</w:t>
            </w:r>
          </w:p>
        </w:tc>
        <w:tc>
          <w:tcPr>
            <w:tcW w:w="14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Program</w:t>
            </w:r>
          </w:p>
        </w:tc>
      </w:tr>
      <w:tr>
        <w:trPr>
          <w:trHeight w:val="223"/>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June 30, 2019 - July 27, 2019</w:t>
            </w:r>
          </w:p>
        </w:tc>
        <w:tc>
          <w:tcPr>
            <w:tcW w:w="1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555,663</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28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555,663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190,605,676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July 28, 2019 - August 24, 2019</w:t>
            </w:r>
          </w:p>
        </w:tc>
        <w:tc>
          <w:tcPr>
            <w:tcW w:w="1180" w:type="dxa"/>
            <w:vAlign w:val="bottom"/>
          </w:tcPr>
          <w:p>
            <w:pPr>
              <w:spacing w:after="0"/>
              <w:rPr>
                <w:sz w:val="19"/>
                <w:szCs w:val="19"/>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190,605,676</w:t>
            </w:r>
          </w:p>
        </w:tc>
        <w:tc>
          <w:tcPr>
            <w:tcW w:w="100" w:type="dxa"/>
            <w:vAlign w:val="bottom"/>
          </w:tcPr>
          <w:p>
            <w:pPr>
              <w:spacing w:after="0"/>
              <w:rPr>
                <w:sz w:val="19"/>
                <w:szCs w:val="19"/>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25, 2019 - September 28, 2019</w:t>
            </w:r>
          </w:p>
        </w:tc>
        <w:tc>
          <w:tcPr>
            <w:tcW w:w="1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190,605,676</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555,663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4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67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Employment Offer Letter, dated August 1, 2019 between the registrant and Michael Hurlston</w:t>
              </w:r>
            </w:hyperlink>
          </w:p>
        </w:tc>
        <w:tc>
          <w:tcPr>
            <w:tcW w:w="3400" w:type="dxa"/>
            <w:vAlign w:val="bottom"/>
          </w:tcPr>
          <w:p>
            <w:pPr>
              <w:spacing w:after="0"/>
              <w:rPr>
                <w:sz w:val="17"/>
                <w:szCs w:val="17"/>
                <w:color w:val="auto"/>
              </w:rPr>
            </w:pPr>
          </w:p>
        </w:tc>
      </w:tr>
      <w:tr>
        <w:trPr>
          <w:trHeight w:val="318"/>
        </w:trPr>
        <w:tc>
          <w:tcPr>
            <w:tcW w:w="440" w:type="dxa"/>
            <w:vAlign w:val="bottom"/>
          </w:tcPr>
          <w:p>
            <w:pPr>
              <w:ind w:left="100"/>
              <w:spacing w:after="0"/>
              <w:rPr>
                <w:sz w:val="20"/>
                <w:szCs w:val="20"/>
                <w:color w:val="auto"/>
              </w:rPr>
            </w:pPr>
            <w:r>
              <w:rPr>
                <w:rFonts w:ascii="Arial" w:cs="Arial" w:eastAsia="Arial" w:hAnsi="Arial"/>
                <w:sz w:val="18"/>
                <w:szCs w:val="18"/>
                <w:color w:val="auto"/>
                <w:w w:val="91"/>
              </w:rPr>
              <w:t>10.2</w:t>
            </w:r>
          </w:p>
        </w:tc>
        <w:tc>
          <w:tcPr>
            <w:tcW w:w="680" w:type="dxa"/>
            <w:vAlign w:val="bottom"/>
          </w:tcPr>
          <w:p>
            <w:pPr>
              <w:ind w:left="20"/>
              <w:spacing w:after="0"/>
              <w:rPr>
                <w:sz w:val="20"/>
                <w:szCs w:val="20"/>
                <w:color w:val="auto"/>
              </w:rPr>
            </w:pPr>
            <w:r>
              <w:rPr>
                <w:rFonts w:ascii="Arial" w:cs="Arial" w:eastAsia="Arial" w:hAnsi="Arial"/>
                <w:sz w:val="18"/>
                <w:szCs w:val="18"/>
                <w:color w:val="auto"/>
              </w:rPr>
              <w:t>(a)*</w:t>
            </w:r>
          </w:p>
        </w:tc>
        <w:tc>
          <w:tcPr>
            <w:tcW w:w="4120" w:type="dxa"/>
            <w:vAlign w:val="bottom"/>
            <w:tcBorders>
              <w:bottom w:val="single" w:sz="8" w:color="0000EE"/>
            </w:tcBorders>
            <w:gridSpan w:val="5"/>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Synaptics Incorporated 2019 Inducement Equity Plan (1)</w:t>
              </w:r>
            </w:hyperlink>
          </w:p>
        </w:tc>
        <w:tc>
          <w:tcPr>
            <w:tcW w:w="6000" w:type="dxa"/>
            <w:vAlign w:val="bottom"/>
            <w:gridSpan w:val="5"/>
          </w:tcPr>
          <w:p>
            <w:pPr>
              <w:spacing w:after="0"/>
              <w:rPr>
                <w:sz w:val="24"/>
                <w:szCs w:val="24"/>
                <w:color w:val="auto"/>
              </w:rPr>
            </w:pPr>
          </w:p>
        </w:tc>
      </w:tr>
      <w:tr>
        <w:trPr>
          <w:trHeight w:val="318"/>
        </w:trPr>
        <w:tc>
          <w:tcPr>
            <w:tcW w:w="440" w:type="dxa"/>
            <w:vAlign w:val="bottom"/>
          </w:tcPr>
          <w:p>
            <w:pPr>
              <w:ind w:left="100"/>
              <w:spacing w:after="0"/>
              <w:rPr>
                <w:sz w:val="20"/>
                <w:szCs w:val="20"/>
                <w:color w:val="auto"/>
              </w:rPr>
            </w:pPr>
            <w:r>
              <w:rPr>
                <w:rFonts w:ascii="Arial" w:cs="Arial" w:eastAsia="Arial" w:hAnsi="Arial"/>
                <w:sz w:val="18"/>
                <w:szCs w:val="18"/>
                <w:color w:val="auto"/>
                <w:w w:val="91"/>
              </w:rPr>
              <w:t>10.2</w:t>
            </w:r>
          </w:p>
        </w:tc>
        <w:tc>
          <w:tcPr>
            <w:tcW w:w="680" w:type="dxa"/>
            <w:vAlign w:val="bottom"/>
          </w:tcPr>
          <w:p>
            <w:pPr>
              <w:ind w:left="20"/>
              <w:spacing w:after="0"/>
              <w:rPr>
                <w:sz w:val="20"/>
                <w:szCs w:val="20"/>
                <w:color w:val="auto"/>
              </w:rPr>
            </w:pPr>
            <w:r>
              <w:rPr>
                <w:rFonts w:ascii="Arial" w:cs="Arial" w:eastAsia="Arial" w:hAnsi="Arial"/>
                <w:sz w:val="18"/>
                <w:szCs w:val="18"/>
                <w:color w:val="auto"/>
              </w:rPr>
              <w:t>(b)*</w:t>
            </w:r>
          </w:p>
        </w:tc>
        <w:tc>
          <w:tcPr>
            <w:tcW w:w="10120" w:type="dxa"/>
            <w:vAlign w:val="bottom"/>
            <w:gridSpan w:val="10"/>
          </w:tcPr>
          <w:p>
            <w:pPr>
              <w:spacing w:after="0"/>
              <w:rPr>
                <w:rFonts w:ascii="Arial" w:cs="Arial" w:eastAsia="Arial" w:hAnsi="Arial"/>
                <w:sz w:val="18"/>
                <w:szCs w:val="18"/>
                <w:color w:val="0000EE"/>
              </w:rPr>
            </w:pPr>
            <w:hyperlink r:id="rId52">
              <w:r>
                <w:rPr>
                  <w:rFonts w:ascii="Arial" w:cs="Arial" w:eastAsia="Arial" w:hAnsi="Arial"/>
                  <w:sz w:val="18"/>
                  <w:szCs w:val="18"/>
                  <w:color w:val="0000EE"/>
                </w:rPr>
                <w:t>Form of Restricted Stock Unit Inducement Award Agreement (1)</w:t>
              </w:r>
            </w:hyperlink>
          </w:p>
        </w:tc>
      </w:tr>
      <w:tr>
        <w:trPr>
          <w:trHeight w:val="318"/>
        </w:trPr>
        <w:tc>
          <w:tcPr>
            <w:tcW w:w="440" w:type="dxa"/>
            <w:vAlign w:val="bottom"/>
          </w:tcPr>
          <w:p>
            <w:pPr>
              <w:ind w:left="100"/>
              <w:spacing w:after="0"/>
              <w:rPr>
                <w:sz w:val="20"/>
                <w:szCs w:val="20"/>
                <w:color w:val="auto"/>
              </w:rPr>
            </w:pPr>
            <w:r>
              <w:rPr>
                <w:rFonts w:ascii="Arial" w:cs="Arial" w:eastAsia="Arial" w:hAnsi="Arial"/>
                <w:sz w:val="18"/>
                <w:szCs w:val="18"/>
                <w:color w:val="auto"/>
                <w:w w:val="91"/>
              </w:rPr>
              <w:t>10.2</w:t>
            </w: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4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Form of Market Stock Unit Inducement Award Agreement (1)</w:t>
              </w:r>
            </w:hyperlink>
          </w:p>
        </w:tc>
        <w:tc>
          <w:tcPr>
            <w:tcW w:w="200" w:type="dxa"/>
            <w:vAlign w:val="bottom"/>
            <w:tcBorders>
              <w:top w:val="single" w:sz="8" w:color="0000EE"/>
            </w:tcBorders>
          </w:tcPr>
          <w:p>
            <w:pPr>
              <w:spacing w:after="0"/>
              <w:rPr>
                <w:sz w:val="24"/>
                <w:szCs w:val="24"/>
                <w:color w:val="auto"/>
              </w:rPr>
            </w:pPr>
          </w:p>
        </w:tc>
        <w:tc>
          <w:tcPr>
            <w:tcW w:w="5420" w:type="dxa"/>
            <w:vAlign w:val="bottom"/>
            <w:gridSpan w:val="3"/>
          </w:tcPr>
          <w:p>
            <w:pPr>
              <w:spacing w:after="0"/>
              <w:rPr>
                <w:sz w:val="24"/>
                <w:szCs w:val="24"/>
                <w:color w:val="auto"/>
              </w:rPr>
            </w:pPr>
          </w:p>
        </w:tc>
      </w:tr>
      <w:tr>
        <w:trPr>
          <w:trHeight w:val="318"/>
        </w:trPr>
        <w:tc>
          <w:tcPr>
            <w:tcW w:w="440" w:type="dxa"/>
            <w:vAlign w:val="bottom"/>
          </w:tcPr>
          <w:p>
            <w:pPr>
              <w:ind w:left="100"/>
              <w:spacing w:after="0"/>
              <w:rPr>
                <w:sz w:val="20"/>
                <w:szCs w:val="20"/>
                <w:color w:val="auto"/>
              </w:rPr>
            </w:pPr>
            <w:r>
              <w:rPr>
                <w:rFonts w:ascii="Arial" w:cs="Arial" w:eastAsia="Arial" w:hAnsi="Arial"/>
                <w:sz w:val="18"/>
                <w:szCs w:val="18"/>
                <w:color w:val="auto"/>
                <w:w w:val="91"/>
              </w:rPr>
              <w:t>10.2</w:t>
            </w:r>
          </w:p>
        </w:tc>
        <w:tc>
          <w:tcPr>
            <w:tcW w:w="680" w:type="dxa"/>
            <w:vAlign w:val="bottom"/>
          </w:tcPr>
          <w:p>
            <w:pPr>
              <w:ind w:left="20"/>
              <w:spacing w:after="0"/>
              <w:rPr>
                <w:sz w:val="20"/>
                <w:szCs w:val="20"/>
                <w:color w:val="auto"/>
              </w:rPr>
            </w:pPr>
            <w:r>
              <w:rPr>
                <w:rFonts w:ascii="Arial" w:cs="Arial" w:eastAsia="Arial" w:hAnsi="Arial"/>
                <w:sz w:val="18"/>
                <w:szCs w:val="18"/>
                <w:color w:val="auto"/>
              </w:rPr>
              <w:t>(d)*</w:t>
            </w:r>
          </w:p>
        </w:tc>
        <w:tc>
          <w:tcPr>
            <w:tcW w:w="4900" w:type="dxa"/>
            <w:vAlign w:val="bottom"/>
            <w:tcBorders>
              <w:bottom w:val="single" w:sz="8" w:color="0000EE"/>
            </w:tcBorders>
            <w:gridSpan w:val="8"/>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Form of Performance Stock Unit Inducement Award Agreement (1)</w:t>
              </w:r>
            </w:hyperlink>
          </w:p>
        </w:tc>
        <w:tc>
          <w:tcPr>
            <w:tcW w:w="5220" w:type="dxa"/>
            <w:vAlign w:val="bottom"/>
            <w:gridSpan w:val="2"/>
          </w:tcPr>
          <w:p>
            <w:pPr>
              <w:spacing w:after="0"/>
              <w:rPr>
                <w:sz w:val="24"/>
                <w:szCs w:val="24"/>
                <w:color w:val="auto"/>
              </w:rPr>
            </w:pPr>
          </w:p>
        </w:tc>
      </w:tr>
      <w:tr>
        <w:trPr>
          <w:trHeight w:val="318"/>
        </w:trPr>
        <w:tc>
          <w:tcPr>
            <w:tcW w:w="440" w:type="dxa"/>
            <w:vAlign w:val="bottom"/>
          </w:tcPr>
          <w:p>
            <w:pPr>
              <w:ind w:left="100"/>
              <w:spacing w:after="0"/>
              <w:rPr>
                <w:sz w:val="20"/>
                <w:szCs w:val="20"/>
                <w:color w:val="auto"/>
              </w:rPr>
            </w:pPr>
            <w:r>
              <w:rPr>
                <w:rFonts w:ascii="Arial" w:cs="Arial" w:eastAsia="Arial" w:hAnsi="Arial"/>
                <w:sz w:val="18"/>
                <w:szCs w:val="18"/>
                <w:color w:val="auto"/>
                <w:w w:val="91"/>
              </w:rPr>
              <w:t>31.1</w:t>
            </w:r>
          </w:p>
        </w:tc>
        <w:tc>
          <w:tcPr>
            <w:tcW w:w="68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Chief Executive Officer</w:t>
              </w:r>
            </w:hyperlink>
          </w:p>
        </w:tc>
      </w:tr>
      <w:tr>
        <w:trPr>
          <w:trHeight w:val="318"/>
        </w:trPr>
        <w:tc>
          <w:tcPr>
            <w:tcW w:w="440" w:type="dxa"/>
            <w:vAlign w:val="bottom"/>
          </w:tcPr>
          <w:p>
            <w:pPr>
              <w:ind w:left="100"/>
              <w:spacing w:after="0"/>
              <w:rPr>
                <w:sz w:val="20"/>
                <w:szCs w:val="20"/>
                <w:color w:val="auto"/>
              </w:rPr>
            </w:pPr>
            <w:r>
              <w:rPr>
                <w:rFonts w:ascii="Arial" w:cs="Arial" w:eastAsia="Arial" w:hAnsi="Arial"/>
                <w:sz w:val="18"/>
                <w:szCs w:val="18"/>
                <w:color w:val="auto"/>
                <w:w w:val="91"/>
              </w:rPr>
              <w:t>31.2</w:t>
            </w:r>
          </w:p>
        </w:tc>
        <w:tc>
          <w:tcPr>
            <w:tcW w:w="680" w:type="dxa"/>
            <w:vAlign w:val="bottom"/>
          </w:tcPr>
          <w:p>
            <w:pPr>
              <w:spacing w:after="0"/>
              <w:rPr>
                <w:sz w:val="24"/>
                <w:szCs w:val="24"/>
                <w:color w:val="auto"/>
              </w:rPr>
            </w:pPr>
          </w:p>
        </w:tc>
        <w:tc>
          <w:tcPr>
            <w:tcW w:w="28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Certification of Chief Financial Officer</w:t>
              </w:r>
            </w:hyperlink>
          </w:p>
        </w:tc>
        <w:tc>
          <w:tcPr>
            <w:tcW w:w="40" w:type="dxa"/>
            <w:vAlign w:val="bottom"/>
            <w:tcBorders>
              <w:top w:val="single" w:sz="8" w:color="0000EE"/>
            </w:tcBorders>
          </w:tcPr>
          <w:p>
            <w:pPr>
              <w:spacing w:after="0"/>
              <w:rPr>
                <w:sz w:val="24"/>
                <w:szCs w:val="24"/>
                <w:color w:val="auto"/>
              </w:rPr>
            </w:pPr>
          </w:p>
        </w:tc>
        <w:tc>
          <w:tcPr>
            <w:tcW w:w="7240" w:type="dxa"/>
            <w:vAlign w:val="bottom"/>
            <w:gridSpan w:val="8"/>
          </w:tcPr>
          <w:p>
            <w:pPr>
              <w:spacing w:after="0"/>
              <w:rPr>
                <w:sz w:val="24"/>
                <w:szCs w:val="24"/>
                <w:color w:val="auto"/>
              </w:rPr>
            </w:pPr>
          </w:p>
        </w:tc>
      </w:tr>
      <w:tr>
        <w:trPr>
          <w:trHeight w:val="318"/>
        </w:trPr>
        <w:tc>
          <w:tcPr>
            <w:tcW w:w="11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8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Section 1350 Certification of Chief Executive Officer</w:t>
              </w:r>
            </w:hyperlink>
          </w:p>
        </w:tc>
        <w:tc>
          <w:tcPr>
            <w:tcW w:w="6240" w:type="dxa"/>
            <w:vAlign w:val="bottom"/>
            <w:gridSpan w:val="6"/>
          </w:tcPr>
          <w:p>
            <w:pPr>
              <w:spacing w:after="0"/>
              <w:rPr>
                <w:sz w:val="24"/>
                <w:szCs w:val="24"/>
                <w:color w:val="auto"/>
              </w:rPr>
            </w:pPr>
          </w:p>
        </w:tc>
      </w:tr>
      <w:tr>
        <w:trPr>
          <w:trHeight w:val="318"/>
        </w:trPr>
        <w:tc>
          <w:tcPr>
            <w:tcW w:w="11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0120" w:type="dxa"/>
            <w:vAlign w:val="bottom"/>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Section 1350 Certification of Chief Financial Officer</w:t>
              </w:r>
            </w:hyperlink>
          </w:p>
        </w:tc>
      </w:tr>
      <w:tr>
        <w:trPr>
          <w:trHeight w:val="20"/>
        </w:trPr>
        <w:tc>
          <w:tcPr>
            <w:tcW w:w="1120" w:type="dxa"/>
            <w:vAlign w:val="bottom"/>
            <w:gridSpan w:val="2"/>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r>
      <w:tr>
        <w:trPr>
          <w:trHeight w:val="344"/>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0"/>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the Inline XBRL document</w:t>
            </w: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1120" w:hanging="1112"/>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449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S-8 as filed with the Securities and Exchange Commission on August 16, 2019.</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contract with management or compensatory plan or arrangement.</w:t>
      </w:r>
    </w:p>
    <w:p>
      <w:pPr>
        <w:spacing w:after="0" w:line="50"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20" w:type="dxa"/>
            <w:vAlign w:val="bottom"/>
            <w:gridSpan w:val="2"/>
          </w:tcPr>
          <w:p>
            <w:pPr>
              <w:ind w:left="3080"/>
              <w:spacing w:after="0"/>
              <w:rPr>
                <w:sz w:val="20"/>
                <w:szCs w:val="20"/>
                <w:color w:val="auto"/>
              </w:rPr>
            </w:pPr>
            <w:r>
              <w:rPr>
                <w:rFonts w:ascii="Arial" w:cs="Arial" w:eastAsia="Arial" w:hAnsi="Arial"/>
                <w:sz w:val="18"/>
                <w:szCs w:val="18"/>
                <w:b w:val="1"/>
                <w:bCs w:val="1"/>
                <w:color w:val="auto"/>
              </w:rPr>
              <w:t>SYNAPTICS INCORPORATED</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November 7, 2019</w:t>
            </w:r>
          </w:p>
        </w:tc>
        <w:tc>
          <w:tcPr>
            <w:tcW w:w="3760" w:type="dxa"/>
            <w:vAlign w:val="bottom"/>
          </w:tcPr>
          <w:p>
            <w:pPr>
              <w:ind w:left="30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r>
      <w:tr>
        <w:trPr>
          <w:trHeight w:val="195"/>
        </w:trPr>
        <w:tc>
          <w:tcPr>
            <w:tcW w:w="3720" w:type="dxa"/>
            <w:vAlign w:val="bottom"/>
          </w:tcPr>
          <w:p>
            <w:pPr>
              <w:spacing w:after="0"/>
              <w:rPr>
                <w:sz w:val="16"/>
                <w:szCs w:val="16"/>
                <w:color w:val="auto"/>
              </w:rPr>
            </w:pPr>
          </w:p>
        </w:tc>
        <w:tc>
          <w:tcPr>
            <w:tcW w:w="3760" w:type="dxa"/>
            <w:vAlign w:val="bottom"/>
          </w:tcPr>
          <w:p>
            <w:pPr>
              <w:ind w:left="308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720" w:type="dxa"/>
            <w:vAlign w:val="bottom"/>
          </w:tcPr>
          <w:p>
            <w:pPr>
              <w:spacing w:after="0"/>
              <w:rPr>
                <w:sz w:val="20"/>
                <w:szCs w:val="20"/>
                <w:color w:val="auto"/>
              </w:rPr>
            </w:pPr>
          </w:p>
        </w:tc>
        <w:tc>
          <w:tcPr>
            <w:tcW w:w="3760" w:type="dxa"/>
            <w:vAlign w:val="bottom"/>
          </w:tcPr>
          <w:p>
            <w:pPr>
              <w:ind w:left="308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720" w:type="dxa"/>
            <w:vAlign w:val="bottom"/>
          </w:tcPr>
          <w:p>
            <w:pPr>
              <w:spacing w:after="0"/>
              <w:rPr>
                <w:sz w:val="20"/>
                <w:szCs w:val="20"/>
                <w:color w:val="auto"/>
              </w:rPr>
            </w:pPr>
            <w:r>
              <w:rPr>
                <w:rFonts w:ascii="Arial" w:cs="Arial" w:eastAsia="Arial" w:hAnsi="Arial"/>
                <w:sz w:val="18"/>
                <w:szCs w:val="18"/>
                <w:color w:val="auto"/>
              </w:rPr>
              <w:t>Date: November 7, 2019</w:t>
            </w:r>
          </w:p>
        </w:tc>
        <w:tc>
          <w:tcPr>
            <w:tcW w:w="3760" w:type="dxa"/>
            <w:vAlign w:val="bottom"/>
          </w:tcPr>
          <w:p>
            <w:pPr>
              <w:ind w:left="30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 Butler</w:t>
            </w:r>
          </w:p>
        </w:tc>
      </w:tr>
      <w:tr>
        <w:trPr>
          <w:trHeight w:val="195"/>
        </w:trPr>
        <w:tc>
          <w:tcPr>
            <w:tcW w:w="3720" w:type="dxa"/>
            <w:vAlign w:val="bottom"/>
          </w:tcPr>
          <w:p>
            <w:pPr>
              <w:spacing w:after="0"/>
              <w:rPr>
                <w:sz w:val="16"/>
                <w:szCs w:val="16"/>
                <w:color w:val="auto"/>
              </w:rPr>
            </w:pPr>
          </w:p>
        </w:tc>
        <w:tc>
          <w:tcPr>
            <w:tcW w:w="3760" w:type="dxa"/>
            <w:vAlign w:val="bottom"/>
          </w:tcPr>
          <w:p>
            <w:pPr>
              <w:ind w:left="308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Dean Butler</w:t>
            </w:r>
          </w:p>
        </w:tc>
      </w:tr>
      <w:tr>
        <w:trPr>
          <w:trHeight w:val="230"/>
        </w:trPr>
        <w:tc>
          <w:tcPr>
            <w:tcW w:w="3720" w:type="dxa"/>
            <w:vAlign w:val="bottom"/>
          </w:tcPr>
          <w:p>
            <w:pPr>
              <w:spacing w:after="0"/>
              <w:rPr>
                <w:sz w:val="20"/>
                <w:szCs w:val="20"/>
                <w:color w:val="auto"/>
              </w:rPr>
            </w:pPr>
          </w:p>
        </w:tc>
        <w:tc>
          <w:tcPr>
            <w:tcW w:w="3760" w:type="dxa"/>
            <w:vAlign w:val="bottom"/>
          </w:tcPr>
          <w:p>
            <w:pPr>
              <w:ind w:left="308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November 7, 2019</w:t>
            </w:r>
          </w:p>
        </w:tc>
        <w:tc>
          <w:tcPr>
            <w:tcW w:w="3760" w:type="dxa"/>
            <w:vAlign w:val="bottom"/>
          </w:tcPr>
          <w:p>
            <w:pPr>
              <w:ind w:left="30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95"/>
        </w:trPr>
        <w:tc>
          <w:tcPr>
            <w:tcW w:w="3720" w:type="dxa"/>
            <w:vAlign w:val="bottom"/>
          </w:tcPr>
          <w:p>
            <w:pPr>
              <w:spacing w:after="0"/>
              <w:rPr>
                <w:sz w:val="16"/>
                <w:szCs w:val="16"/>
                <w:color w:val="auto"/>
              </w:rPr>
            </w:pPr>
          </w:p>
        </w:tc>
        <w:tc>
          <w:tcPr>
            <w:tcW w:w="3760" w:type="dxa"/>
            <w:vAlign w:val="bottom"/>
          </w:tcPr>
          <w:p>
            <w:pPr>
              <w:ind w:left="308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Kermit Nolan</w:t>
            </w:r>
          </w:p>
        </w:tc>
      </w:tr>
      <w:tr>
        <w:trPr>
          <w:trHeight w:val="216"/>
        </w:trPr>
        <w:tc>
          <w:tcPr>
            <w:tcW w:w="3720" w:type="dxa"/>
            <w:vAlign w:val="bottom"/>
          </w:tcPr>
          <w:p>
            <w:pPr>
              <w:spacing w:after="0"/>
              <w:rPr>
                <w:sz w:val="18"/>
                <w:szCs w:val="18"/>
                <w:color w:val="auto"/>
              </w:rPr>
            </w:pPr>
          </w:p>
        </w:tc>
        <w:tc>
          <w:tcPr>
            <w:tcW w:w="3760" w:type="dxa"/>
            <w:vAlign w:val="bottom"/>
          </w:tcPr>
          <w:p>
            <w:pPr>
              <w:ind w:left="308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Corporate Vice President and Chief Accounting</w:t>
            </w:r>
          </w:p>
        </w:tc>
      </w:tr>
      <w:tr>
        <w:trPr>
          <w:trHeight w:val="230"/>
        </w:trPr>
        <w:tc>
          <w:tcPr>
            <w:tcW w:w="3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720" w:type="dxa"/>
            <w:vAlign w:val="bottom"/>
          </w:tcPr>
          <w:p>
            <w:pPr>
              <w:spacing w:after="0"/>
              <w:rPr>
                <w:sz w:val="24"/>
                <w:szCs w:val="24"/>
                <w:color w:val="auto"/>
              </w:rPr>
            </w:pPr>
          </w:p>
        </w:tc>
        <w:tc>
          <w:tcPr>
            <w:tcW w:w="3760" w:type="dxa"/>
            <w:vAlign w:val="bottom"/>
          </w:tcPr>
          <w:p>
            <w:pPr>
              <w:ind w:left="1900"/>
              <w:spacing w:after="0"/>
              <w:rPr>
                <w:sz w:val="20"/>
                <w:szCs w:val="20"/>
                <w:color w:val="auto"/>
              </w:rPr>
            </w:pPr>
            <w:r>
              <w:rPr>
                <w:rFonts w:ascii="Arial" w:cs="Arial" w:eastAsia="Arial" w:hAnsi="Arial"/>
                <w:sz w:val="18"/>
                <w:szCs w:val="18"/>
                <w:color w:val="auto"/>
              </w:rPr>
              <w:t>32</w:t>
            </w:r>
          </w:p>
        </w:tc>
        <w:tc>
          <w:tcPr>
            <w:tcW w:w="3960" w:type="dxa"/>
            <w:vAlign w:val="bottom"/>
          </w:tcPr>
          <w:p>
            <w:pPr>
              <w:spacing w:after="0"/>
              <w:rPr>
                <w:sz w:val="24"/>
                <w:szCs w:val="24"/>
                <w:color w:val="auto"/>
              </w:rPr>
            </w:pPr>
          </w:p>
        </w:tc>
      </w:tr>
    </w:tbl>
    <w:p>
      <w:pPr>
        <w:sectPr>
          <w:pgSz w:w="11900" w:h="16838" w:orient="portrait"/>
          <w:cols w:equalWidth="0" w:num="1">
            <w:col w:w="11440"/>
          </w:cols>
          <w:pgMar w:left="240" w:top="121" w:right="219" w:bottom="1440" w:gutter="0" w:footer="0" w:header="0"/>
        </w:sectPr>
      </w:pPr>
    </w:p>
    <w:bookmarkStart w:id="32" w:name="page33"/>
    <w:bookmarkEnd w:id="32"/>
    <w:p>
      <w:pPr>
        <w:ind w:left="10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1646555" cy="53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46555" cy="531495"/>
                    </a:xfrm>
                    <a:prstGeom prst="rect">
                      <a:avLst/>
                    </a:prstGeom>
                    <a:noFill/>
                  </pic:spPr>
                </pic:pic>
              </a:graphicData>
            </a:graphic>
          </wp:anchor>
        </w:drawing>
        <w:t>EXHIBIT 10.1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August 1, 2019 - OFFER LETTER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Michael Hurlston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Dear Michael,</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 am pleased to offer you the position of President and Chief Executive Officer of Synaptics Incorporated (“Synaptics”), reporting to the Board of Directors of Synaptics (the “Board”). In addition, the Board will appoint you as a Director of Synaptics. Your expected start date for the position and appointment as Director is to be determined but must be no later than October 1, 2019. You will receive a monthly salary of $58,333.33 that will be paid on the 15</w:t>
      </w:r>
      <w:r>
        <w:rPr>
          <w:rFonts w:ascii="Arial" w:cs="Arial" w:eastAsia="Arial" w:hAnsi="Arial"/>
          <w:sz w:val="16"/>
          <w:szCs w:val="16"/>
          <w:color w:val="auto"/>
        </w:rPr>
        <w:t>th</w:t>
      </w:r>
      <w:r>
        <w:rPr>
          <w:rFonts w:ascii="Arial" w:cs="Arial" w:eastAsia="Arial" w:hAnsi="Arial"/>
          <w:sz w:val="20"/>
          <w:szCs w:val="20"/>
          <w:color w:val="auto"/>
        </w:rPr>
        <w:t xml:space="preserve"> and last day of each month (corresponding to an annual salary of $700,000). You will not receive additional compensation for your service as a Director of Synaptics.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are eligible to receive an annual incentive target of 130% of your base salary for each Synaptics fiscal year. Any annual incentive payable in Synaptics’ fiscal year 2020 will be prorated to the beginning of that fiscal year. Payment of the incentive will be based first on company-wide performance.</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You will be eligible to participate in Synaptics’ management equity incentive program. For Synaptics’ 2020 fiscal year, subject to the approval of the Board, you will receive an amount of Deferred Stock Units (“RSUs”) corresponding to a $1,500,000 equity value, an amount of Deferred Stock Award for Market Stock Units (“MSUs”) corresponding to a $1,500,000 equity value, and an amount of Performance Stock Units (“PSUs”) corresponding to a $1,500,000 equity value. Your RSUs will vest as follows: 1/3 of the RSUs shall vest on October 31, 2020, 1/3 on October 31, 2021, and 1/3 on October 31, 2022. Your MSUs will vest as follows: 1/3 of the MSUs shall vest on September 30, 2020, 1/3 on September 30, 2021, and 1/3 on September 30, 2022. Your PSUs will vest as follows: 1/3 of the PSUs shall vest on October 31, 2020, 1/3 on October 31, 2021, and 1/3 on October 31, 2022.</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foregoing equity award, subject to the approval of the Board, you will receive an Initial Equity Award of an amount of RSUs corresponding to a $2,000,000 equity value and an amount of MSUs corresponding to a $5,000,000 equity value. Your RSUs and MSUs will vest as follows: 1/4 of each such RSU and MSU grants will vest on the date that is one year from your employment start date, and 1/4 will vest each year thereafter on the anniversary of your employment start date such that your two awards will be fully vested on the fourth anniversary of your employment start date.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to the Initial Equity Award, subject to the approval of the Board, on November 9, 2019, you will receive an Inducement Equity Award of an amount of RSUs corresponding to a $5,000,000 equity value and an amount of MSUs corresponding to a $1,000,000 equity value. The terms of the Inducement Equity Award will be the same as the Initial Equity Award, except that the Inducement Equity Award will fully vest in the event that you are terminated without Good Cause or you resign with Good Reason, as those terms are defined in the Synaptics Severance Policy for Principal Executive Officers. The Inducement Equity Award will be withdrawn in the event that the merger between Finisar Corporation and II-VI Incorporated has not closed prior to November 9, 2019, or if you receive the closing incentive payment due to you in connection with the merger.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 xml:space="preserve">Synaptics Incorporated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1251 McKay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San Jose, CA 95131 USA</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Ph: 408.904.1100 </w:t>
      </w:r>
      <w:r>
        <w:rPr>
          <w:rFonts w:ascii="Arial" w:cs="Arial" w:eastAsia="Arial" w:hAnsi="Arial"/>
          <w:sz w:val="10"/>
          <w:szCs w:val="10"/>
          <w:color w:val="auto"/>
        </w:rPr>
        <w:t>l</w:t>
      </w:r>
      <w:r>
        <w:rPr>
          <w:rFonts w:ascii="Arial" w:cs="Arial" w:eastAsia="Arial" w:hAnsi="Arial"/>
          <w:sz w:val="14"/>
          <w:szCs w:val="14"/>
          <w:color w:val="auto"/>
        </w:rPr>
        <w:t xml:space="preserve"> Fax: 408. 904.1110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FF0000"/>
        </w:rPr>
        <w:t>www.synaptics.com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3" w:name="page34"/>
    <w:bookmarkEnd w:id="33"/>
    <w:p>
      <w:pPr>
        <w:jc w:val="both"/>
        <w:spacing w:after="0" w:line="244" w:lineRule="auto"/>
        <w:rPr>
          <w:sz w:val="20"/>
          <w:szCs w:val="20"/>
          <w:color w:val="auto"/>
        </w:rPr>
      </w:pPr>
      <w:r>
        <w:rPr>
          <w:rFonts w:ascii="Arial" w:cs="Arial" w:eastAsia="Arial" w:hAnsi="Arial"/>
          <w:sz w:val="20"/>
          <w:szCs w:val="20"/>
          <w:color w:val="auto"/>
        </w:rPr>
        <w:t>For all equity awards, MSU achievement will be based on the Synaptics total shareholder return performance and PSU achievement will be based on Synaptics’ attainment of certain levels of non-GAAP earnings per share, each as determined by the Board. The terms, including vesting schedules and performance periods, of the RSU, MSU and PSU awards are as determined by the Board and are contingent on your execution of grant notices and agreements in forms previously approved by the Board. Vesting of the RSUs, MSUs, and PSUs is contingent on your continued employment with Synaptics.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Upon approval of the Board, you will be designated an “Executive” under the Synaptics Incorporated Change of Control Severance Policy for Principal Executive Officers and a “Covered Executive” under the Synaptics Incorporated Severance Policy for Principal Executive Officers, the current versions of which are attached to this offer letter for your reference. You agree to resign your position as Director of Synaptics as a pre-condition for receiving any severance or other payments or benefits under either Severance Policy.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Your employment with Synaptics is for no specified period and constitutes “at will” employment. As a result, you are free to resign at any time, for any reason, or for no reason. Similarly, Synaptics is free to conclude its employment relationship with you at any time, with or without cause.</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have enclosed our standard Proprietary Information and Invention Assignment Agreement regarding protection of confidential information and assignment of inventions. If you accept this offer, it is required as a condition of your employment that you return a signed copy of that agreement.</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order to accept Synaptics’ offer, please sign and date this letter in the space provided below. This offer is extended with the understanding that your appointment will be announced no later than August 5, 2019, and that you will join Synaptics as soon as practicable but in no event more than 60 days after your appointment is announced. We would therefore appreciate a response no later than August 1, 2019. This letter, along with the agreement relating to proprietary rights between you and Synaptics, sets forth the terms of your employment with Synaptics, and supersedes any prior representations or agreements, whether written or oral. This letter may not be modified or amended except by a written agreement signed by Synaptics and by you.</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Michael, we are really looking forward to your continued contributions to Synaptics and adding your experience and energy to our growing company.</w:t>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 Nelson Chan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Nelson Chan</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Executive Chairman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this 1</w:t>
      </w:r>
      <w:r>
        <w:rPr>
          <w:rFonts w:ascii="Arial" w:cs="Arial" w:eastAsia="Arial" w:hAnsi="Arial"/>
          <w:sz w:val="16"/>
          <w:szCs w:val="16"/>
          <w:color w:val="auto"/>
        </w:rPr>
        <w:t>st</w:t>
      </w:r>
      <w:r>
        <w:rPr>
          <w:rFonts w:ascii="Arial" w:cs="Arial" w:eastAsia="Arial" w:hAnsi="Arial"/>
          <w:sz w:val="20"/>
          <w:szCs w:val="20"/>
          <w:color w:val="auto"/>
        </w:rPr>
        <w:t xml:space="preserve"> day of August, 2019</w:t>
      </w:r>
    </w:p>
    <w:p>
      <w:pPr>
        <w:spacing w:after="0" w:line="200" w:lineRule="exact"/>
        <w:rPr>
          <w:sz w:val="20"/>
          <w:szCs w:val="20"/>
          <w:color w:val="auto"/>
        </w:rPr>
      </w:pP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Michael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2315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Michael Hurlston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Attachments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 xml:space="preserve">Synaptics Incorporated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1251 McKay </w:t>
      </w:r>
      <w:r>
        <w:rPr>
          <w:rFonts w:ascii="Arial" w:cs="Arial" w:eastAsia="Arial" w:hAnsi="Arial"/>
          <w:sz w:val="10"/>
          <w:szCs w:val="10"/>
          <w:u w:val="single" w:color="auto"/>
          <w:color w:val="auto"/>
        </w:rPr>
        <w:t>l</w:t>
      </w:r>
      <w:r>
        <w:rPr>
          <w:rFonts w:ascii="Arial" w:cs="Arial" w:eastAsia="Arial" w:hAnsi="Arial"/>
          <w:sz w:val="14"/>
          <w:szCs w:val="14"/>
          <w:u w:val="single" w:color="auto"/>
          <w:color w:val="auto"/>
        </w:rPr>
        <w:t xml:space="preserve"> San Jose, CA 95131 USA</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Ph: 408.904.1100 </w:t>
      </w:r>
      <w:r>
        <w:rPr>
          <w:rFonts w:ascii="Arial" w:cs="Arial" w:eastAsia="Arial" w:hAnsi="Arial"/>
          <w:sz w:val="10"/>
          <w:szCs w:val="10"/>
          <w:color w:val="auto"/>
        </w:rPr>
        <w:t>l</w:t>
      </w:r>
      <w:r>
        <w:rPr>
          <w:rFonts w:ascii="Arial" w:cs="Arial" w:eastAsia="Arial" w:hAnsi="Arial"/>
          <w:sz w:val="14"/>
          <w:szCs w:val="14"/>
          <w:color w:val="auto"/>
        </w:rPr>
        <w:t xml:space="preserve"> Fax: 408. 904.1110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FF0000"/>
        </w:rPr>
        <w:t>www.synaptics.com</w:t>
      </w:r>
    </w:p>
    <w:p>
      <w:pPr>
        <w:sectPr>
          <w:pgSz w:w="11900" w:h="16838" w:orient="portrait"/>
          <w:cols w:equalWidth="0" w:num="1">
            <w:col w:w="11420"/>
          </w:cols>
          <w:pgMar w:left="240" w:top="56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E. Hurlston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700" w:hanging="174"/>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499"/>
        <w:spacing w:after="0" w:line="264" w:lineRule="auto"/>
        <w:tabs>
          <w:tab w:leader="none" w:pos="11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520" w:firstLine="499"/>
        <w:spacing w:after="0" w:line="342" w:lineRule="auto"/>
        <w:tabs>
          <w:tab w:leader="none" w:pos="11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80" w:firstLine="499"/>
        <w:spacing w:after="0" w:line="264"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20" w:firstLine="499"/>
        <w:spacing w:after="0" w:line="308" w:lineRule="auto"/>
        <w:tabs>
          <w:tab w:leader="none" w:pos="11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499"/>
        <w:spacing w:after="0" w:line="277" w:lineRule="auto"/>
        <w:tabs>
          <w:tab w:leader="none" w:pos="12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 Dean Butler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28, 2019,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Michael E. Hurlston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connection with the Quarterly Report on Form 10-Q of Synaptics Incorporated (the “Company”) for the quarterly period ended September 28, 2019,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Dean Butler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2019</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04"/>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jpe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51" Type="http://schemas.openxmlformats.org/officeDocument/2006/relationships/hyperlink" Target="http://www.sec.gov/Archives/edgar/data/817720/000119312519223462/d790437dex1031a.htm" TargetMode="External"/><Relationship Id="rId52" Type="http://schemas.openxmlformats.org/officeDocument/2006/relationships/hyperlink" Target="http://www.sec.gov/Archives/edgar/data/817720/000119312519223462/d790437dex1031b.htm" TargetMode="External"/><Relationship Id="rId53" Type="http://schemas.openxmlformats.org/officeDocument/2006/relationships/hyperlink" Target="http://www.sec.gov/Archives/edgar/data/817720/000119312519223462/d790437dex1031c.htm" TargetMode="External"/><Relationship Id="rId54" Type="http://schemas.openxmlformats.org/officeDocument/2006/relationships/hyperlink" Target="http://www.sec.gov/Archives/edgar/data/817720/000119312519223462/d790437dex1031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2019-12-28T02:15:20Z</dcterms:created>
  <dcterms:modified xsi:type="dcterms:W3CDTF">2019-12-28T02:15:20Z</dcterms:modified>
</cp:coreProperties>
</file>