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2"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117475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9" w:lineRule="exact"/>
        <w:rPr>
          <w:sz w:val="24"/>
          <w:szCs w:val="24"/>
          <w:color w:val="auto"/>
        </w:rPr>
      </w:pPr>
    </w:p>
    <w:p>
      <w:pPr>
        <w:ind w:left="520" w:right="28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quarterly period ended September 29, 2018</w:t>
      </w:r>
    </w:p>
    <w:p>
      <w:pPr>
        <w:spacing w:after="0" w:line="108" w:lineRule="exact"/>
        <w:rPr>
          <w:sz w:val="24"/>
          <w:szCs w:val="24"/>
          <w:color w:val="auto"/>
        </w:rPr>
      </w:pPr>
    </w:p>
    <w:p>
      <w:pPr>
        <w:ind w:left="520" w:right="26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840"/>
        <w:spacing w:after="0"/>
        <w:tabs>
          <w:tab w:leader="none" w:pos="6780" w:val="left"/>
          <w:tab w:leader="none" w:pos="7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1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000-49602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SYNAPTICS INCORPORATED</w:t>
      </w:r>
    </w:p>
    <w:p>
      <w:pPr>
        <w:spacing w:after="0" w:line="3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00"/>
          </w:cols>
          <w:pgMar w:left="240" w:top="432" w:right="359" w:bottom="1440" w:gutter="0" w:footer="0" w:header="0"/>
        </w:sectPr>
      </w:pPr>
    </w:p>
    <w:p>
      <w:pPr>
        <w:spacing w:after="0" w:line="273"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77-0118518</w:t>
      </w:r>
    </w:p>
    <w:p>
      <w:pPr>
        <w:spacing w:after="0" w:line="31" w:lineRule="exact"/>
        <w:rPr>
          <w:sz w:val="24"/>
          <w:szCs w:val="24"/>
          <w:color w:val="auto"/>
        </w:rPr>
      </w:pPr>
    </w:p>
    <w:p>
      <w:pPr>
        <w:sectPr>
          <w:pgSz w:w="11900" w:h="16838" w:orient="portrait"/>
          <w:cols w:equalWidth="0" w:num="2">
            <w:col w:w="7480" w:space="720"/>
            <w:col w:w="3100"/>
          </w:cols>
          <w:pgMar w:left="240" w:top="432" w:right="359" w:bottom="1440" w:gutter="0" w:footer="0" w:header="0"/>
          <w:type w:val="continuous"/>
        </w:sectPr>
      </w:pPr>
    </w:p>
    <w:p>
      <w:pPr>
        <w:spacing w:after="0" w:line="12"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9" w:lineRule="exact"/>
        <w:rPr>
          <w:sz w:val="24"/>
          <w:szCs w:val="24"/>
          <w:color w:val="auto"/>
        </w:rPr>
      </w:pPr>
    </w:p>
    <w:p>
      <w:pPr>
        <w:sectPr>
          <w:pgSz w:w="11900" w:h="16838" w:orient="portrait"/>
          <w:cols w:equalWidth="0" w:num="2">
            <w:col w:w="7340" w:space="720"/>
            <w:col w:w="3240"/>
          </w:cols>
          <w:pgMar w:left="240" w:top="432"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1251 McKay Drive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San Jose, California 95131</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9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(408) 904-1100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105410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00"/>
          </w:cols>
          <w:pgMar w:left="240" w:top="432" w:right="359" w:bottom="1440" w:gutter="0" w:footer="0" w:header="0"/>
          <w:type w:val="continuous"/>
        </w:sectPr>
      </w:pPr>
    </w:p>
    <w:p>
      <w:pPr>
        <w:spacing w:after="0" w:line="273"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4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74"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78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at November 2, 2018: 34,618,700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459740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32" w:right="3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SYNAPTICS INCORPORATED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SEPTEMBER 29, 2018</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940" w:type="dxa"/>
            <w:vAlign w:val="bottom"/>
            <w:gridSpan w:val="16"/>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40" w:type="dxa"/>
            <w:vAlign w:val="bottom"/>
            <w:gridSpan w:val="16"/>
            <w:vMerge w:val="continue"/>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43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 (Unaudited):</w:t>
              </w:r>
            </w:hyperlink>
          </w:p>
        </w:tc>
        <w:tc>
          <w:tcPr>
            <w:tcW w:w="5400" w:type="dxa"/>
            <w:vAlign w:val="bottom"/>
            <w:gridSpan w:val="8"/>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Sheets—September 30, 2018 and June 30, 2018</w:t>
              </w:r>
            </w:hyperlink>
          </w:p>
        </w:tc>
        <w:tc>
          <w:tcPr>
            <w:tcW w:w="3800" w:type="dxa"/>
            <w:vAlign w:val="bottom"/>
            <w:gridSpan w:val="5"/>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72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Operations—Three Months Ended September 30, 2018 and 2017</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Income/(Loss)—Three Months Ended September 30, 2018 and 2017</w:t>
              </w:r>
            </w:hyperlink>
          </w:p>
        </w:tc>
        <w:tc>
          <w:tcPr>
            <w:tcW w:w="7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Flows—Three Months Ended September 30, 2018 and 2017</w:t>
              </w:r>
            </w:hyperlink>
          </w:p>
        </w:tc>
        <w:tc>
          <w:tcPr>
            <w:tcW w:w="2100" w:type="dxa"/>
            <w:vAlign w:val="bottom"/>
            <w:gridSpan w:val="2"/>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720" w:type="dxa"/>
            <w:vAlign w:val="bottom"/>
            <w:gridSpan w:val="9"/>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720" w:type="dxa"/>
            <w:vAlign w:val="bottom"/>
            <w:gridSpan w:val="1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8"/>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260" w:type="dxa"/>
            <w:vAlign w:val="bottom"/>
            <w:gridSpan w:val="4"/>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Controls and Procedures</w:t>
              </w:r>
            </w:hyperlink>
          </w:p>
        </w:tc>
        <w:tc>
          <w:tcPr>
            <w:tcW w:w="7940" w:type="dxa"/>
            <w:vAlign w:val="bottom"/>
            <w:gridSpan w:val="10"/>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1094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Part II. Other Information</w:t>
              </w:r>
            </w:hyperlink>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9720" w:type="dxa"/>
            <w:vAlign w:val="bottom"/>
            <w:gridSpan w:val="1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Unregistered Sales of Equity Securities and Use of Proceeds</w:t>
              </w:r>
            </w:hyperlink>
          </w:p>
        </w:tc>
        <w:tc>
          <w:tcPr>
            <w:tcW w:w="5360" w:type="dxa"/>
            <w:vAlign w:val="bottom"/>
            <w:gridSpan w:val="7"/>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122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9720" w:type="dxa"/>
            <w:vAlign w:val="bottom"/>
            <w:gridSpan w:val="1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1220" w:type="dxa"/>
            <w:vAlign w:val="bottom"/>
            <w:gridSpan w:val="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784"/>
        </w:trPr>
        <w:tc>
          <w:tcPr>
            <w:tcW w:w="760" w:type="dxa"/>
            <w:vAlign w:val="bottom"/>
            <w:tcBorders>
              <w:top w:val="single" w:sz="8" w:color="0000EE"/>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par value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2260" w:type="dxa"/>
            <w:vAlign w:val="bottom"/>
            <w:tcBorders>
              <w:bottom w:val="single" w:sz="8" w:color="CFF0FC"/>
            </w:tcBorders>
          </w:tcPr>
          <w:p>
            <w:pPr>
              <w:spacing w:after="0"/>
              <w:rPr>
                <w:sz w:val="20"/>
                <w:szCs w:val="20"/>
                <w:color w:val="auto"/>
              </w:rPr>
            </w:pPr>
          </w:p>
        </w:tc>
        <w:tc>
          <w:tcPr>
            <w:tcW w:w="56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r>
      <w:tr>
        <w:trPr>
          <w:trHeight w:val="223"/>
        </w:trPr>
        <w:tc>
          <w:tcPr>
            <w:tcW w:w="2260" w:type="dxa"/>
            <w:vAlign w:val="bottom"/>
            <w:shd w:val="clear" w:color="auto" w:fill="CFF0FC"/>
          </w:tcPr>
          <w:p>
            <w:pPr>
              <w:spacing w:after="0"/>
              <w:rPr>
                <w:sz w:val="19"/>
                <w:szCs w:val="19"/>
                <w:color w:val="auto"/>
              </w:rPr>
            </w:pPr>
          </w:p>
        </w:tc>
        <w:tc>
          <w:tcPr>
            <w:tcW w:w="5600" w:type="dxa"/>
            <w:vAlign w:val="bottom"/>
            <w:shd w:val="clear" w:color="auto" w:fill="CFF0FC"/>
          </w:tcPr>
          <w:p>
            <w:pPr>
              <w:jc w:val="center"/>
              <w:ind w:right="2350"/>
              <w:spacing w:after="0"/>
              <w:rPr>
                <w:sz w:val="20"/>
                <w:szCs w:val="20"/>
                <w:color w:val="auto"/>
              </w:rPr>
            </w:pPr>
            <w:r>
              <w:rPr>
                <w:rFonts w:ascii="Arial" w:cs="Arial" w:eastAsia="Arial" w:hAnsi="Arial"/>
                <w:sz w:val="18"/>
                <w:szCs w:val="18"/>
                <w:b w:val="1"/>
                <w:bCs w:val="1"/>
                <w:color w:val="auto"/>
                <w:w w:val="94"/>
              </w:rPr>
              <w:t>ASSETS</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Current Assets:</w:t>
            </w:r>
          </w:p>
        </w:tc>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Cash and cash equivalents</w:t>
            </w:r>
          </w:p>
        </w:tc>
        <w:tc>
          <w:tcPr>
            <w:tcW w:w="5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263.3</w:t>
            </w: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301.0</w:t>
            </w:r>
          </w:p>
        </w:tc>
        <w:tc>
          <w:tcPr>
            <w:tcW w:w="120" w:type="dxa"/>
            <w:vAlign w:val="bottom"/>
            <w:shd w:val="clear" w:color="auto" w:fill="CFF0FC"/>
          </w:tcPr>
          <w:p>
            <w:pPr>
              <w:spacing w:after="0"/>
              <w:rPr>
                <w:sz w:val="19"/>
                <w:szCs w:val="19"/>
                <w:color w:val="auto"/>
              </w:rPr>
            </w:pPr>
          </w:p>
        </w:tc>
      </w:tr>
      <w:tr>
        <w:trPr>
          <w:trHeight w:val="215"/>
        </w:trPr>
        <w:tc>
          <w:tcPr>
            <w:tcW w:w="8020" w:type="dxa"/>
            <w:vAlign w:val="bottom"/>
            <w:gridSpan w:val="3"/>
          </w:tcPr>
          <w:p>
            <w:pPr>
              <w:ind w:left="260"/>
              <w:spacing w:after="0"/>
              <w:rPr>
                <w:sz w:val="20"/>
                <w:szCs w:val="20"/>
                <w:color w:val="auto"/>
              </w:rPr>
            </w:pPr>
            <w:r>
              <w:rPr>
                <w:rFonts w:ascii="Arial" w:cs="Arial" w:eastAsia="Arial" w:hAnsi="Arial"/>
                <w:sz w:val="18"/>
                <w:szCs w:val="18"/>
                <w:color w:val="auto"/>
              </w:rPr>
              <w:t>Accounts receivable, net of allowances of $2.0 and $1.8 at September 30, 2018 and</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020" w:type="dxa"/>
            <w:vAlign w:val="bottom"/>
            <w:gridSpan w:val="3"/>
          </w:tcPr>
          <w:p>
            <w:pPr>
              <w:ind w:left="380"/>
              <w:spacing w:after="0"/>
              <w:rPr>
                <w:sz w:val="20"/>
                <w:szCs w:val="20"/>
                <w:color w:val="auto"/>
              </w:rPr>
            </w:pPr>
            <w:r>
              <w:rPr>
                <w:rFonts w:ascii="Arial" w:cs="Arial" w:eastAsia="Arial" w:hAnsi="Arial"/>
                <w:sz w:val="18"/>
                <w:szCs w:val="18"/>
                <w:color w:val="auto"/>
              </w:rPr>
              <w:t>June 30, 2018, respectively</w:t>
            </w:r>
          </w:p>
        </w:tc>
        <w:tc>
          <w:tcPr>
            <w:tcW w:w="1420" w:type="dxa"/>
            <w:vAlign w:val="bottom"/>
          </w:tcPr>
          <w:p>
            <w:pPr>
              <w:jc w:val="right"/>
              <w:spacing w:after="0"/>
              <w:rPr>
                <w:sz w:val="20"/>
                <w:szCs w:val="20"/>
                <w:color w:val="auto"/>
              </w:rPr>
            </w:pPr>
            <w:r>
              <w:rPr>
                <w:rFonts w:ascii="Arial" w:cs="Arial" w:eastAsia="Arial" w:hAnsi="Arial"/>
                <w:sz w:val="18"/>
                <w:szCs w:val="18"/>
                <w:color w:val="auto"/>
              </w:rPr>
              <w:t>332.6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289.1</w:t>
            </w:r>
          </w:p>
        </w:tc>
        <w:tc>
          <w:tcPr>
            <w:tcW w:w="120" w:type="dxa"/>
            <w:vAlign w:val="bottom"/>
          </w:tcPr>
          <w:p>
            <w:pPr>
              <w:spacing w:after="0"/>
              <w:rPr>
                <w:sz w:val="20"/>
                <w:szCs w:val="20"/>
                <w:color w:val="auto"/>
              </w:rPr>
            </w:pPr>
          </w:p>
        </w:tc>
      </w:tr>
      <w:tr>
        <w:trPr>
          <w:trHeight w:val="230"/>
        </w:trPr>
        <w:tc>
          <w:tcPr>
            <w:tcW w:w="2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5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FF0FC"/>
          </w:tcPr>
          <w:p>
            <w:pPr>
              <w:spacing w:after="0"/>
              <w:rPr>
                <w:sz w:val="19"/>
                <w:szCs w:val="19"/>
                <w:color w:val="auto"/>
              </w:rPr>
            </w:pPr>
          </w:p>
        </w:tc>
      </w:tr>
      <w:tr>
        <w:trPr>
          <w:trHeight w:val="230"/>
        </w:trPr>
        <w:tc>
          <w:tcPr>
            <w:tcW w:w="8020" w:type="dxa"/>
            <w:vAlign w:val="bottom"/>
            <w:gridSpan w:val="3"/>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20" w:type="dxa"/>
            <w:vAlign w:val="bottom"/>
          </w:tcPr>
          <w:p>
            <w:pPr>
              <w:jc w:val="right"/>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r>
      <w:tr>
        <w:trPr>
          <w:trHeight w:val="223"/>
        </w:trPr>
        <w:tc>
          <w:tcPr>
            <w:tcW w:w="22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56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739.5</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8020" w:type="dxa"/>
            <w:vAlign w:val="bottom"/>
            <w:gridSpan w:val="3"/>
          </w:tcPr>
          <w:p>
            <w:pPr>
              <w:spacing w:after="0"/>
              <w:rPr>
                <w:sz w:val="20"/>
                <w:szCs w:val="20"/>
                <w:color w:val="auto"/>
              </w:rPr>
            </w:pPr>
            <w:r>
              <w:rPr>
                <w:rFonts w:ascii="Arial" w:cs="Arial" w:eastAsia="Arial" w:hAnsi="Arial"/>
                <w:sz w:val="18"/>
                <w:szCs w:val="18"/>
                <w:color w:val="auto"/>
              </w:rPr>
              <w:t>Property and equipment at cost, net of accumulated depreciation of $129.5</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020" w:type="dxa"/>
            <w:vAlign w:val="bottom"/>
            <w:gridSpan w:val="3"/>
          </w:tcPr>
          <w:p>
            <w:pPr>
              <w:ind w:left="140"/>
              <w:spacing w:after="0"/>
              <w:rPr>
                <w:sz w:val="20"/>
                <w:szCs w:val="20"/>
                <w:color w:val="auto"/>
              </w:rPr>
            </w:pPr>
            <w:r>
              <w:rPr>
                <w:rFonts w:ascii="Arial" w:cs="Arial" w:eastAsia="Arial" w:hAnsi="Arial"/>
                <w:sz w:val="18"/>
                <w:szCs w:val="18"/>
                <w:color w:val="auto"/>
              </w:rPr>
              <w:t>and $127.4 at September 30, 2018 and June 30, 2018, respectively</w:t>
            </w:r>
          </w:p>
        </w:tc>
        <w:tc>
          <w:tcPr>
            <w:tcW w:w="1420" w:type="dxa"/>
            <w:vAlign w:val="bottom"/>
          </w:tcPr>
          <w:p>
            <w:pPr>
              <w:jc w:val="right"/>
              <w:spacing w:after="0"/>
              <w:rPr>
                <w:sz w:val="20"/>
                <w:szCs w:val="20"/>
                <w:color w:val="auto"/>
              </w:rPr>
            </w:pPr>
            <w:r>
              <w:rPr>
                <w:rFonts w:ascii="Arial" w:cs="Arial" w:eastAsia="Arial" w:hAnsi="Arial"/>
                <w:sz w:val="18"/>
                <w:szCs w:val="18"/>
                <w:color w:val="auto"/>
              </w:rPr>
              <w:t>110.9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20"/>
                <w:szCs w:val="20"/>
                <w:color w:val="auto"/>
              </w:rPr>
            </w:pPr>
          </w:p>
        </w:tc>
      </w:tr>
      <w:tr>
        <w:trPr>
          <w:trHeight w:val="230"/>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5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120" w:type="dxa"/>
            <w:vAlign w:val="bottom"/>
            <w:shd w:val="clear" w:color="auto" w:fill="CFF0FC"/>
          </w:tcPr>
          <w:p>
            <w:pPr>
              <w:spacing w:after="0"/>
              <w:rPr>
                <w:sz w:val="19"/>
                <w:szCs w:val="19"/>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Acquired intangibles, net</w:t>
            </w:r>
          </w:p>
        </w:tc>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199.2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219.2</w:t>
            </w:r>
          </w:p>
        </w:tc>
        <w:tc>
          <w:tcPr>
            <w:tcW w:w="120" w:type="dxa"/>
            <w:vAlign w:val="bottom"/>
          </w:tcPr>
          <w:p>
            <w:pPr>
              <w:spacing w:after="0"/>
              <w:rPr>
                <w:sz w:val="19"/>
                <w:szCs w:val="19"/>
                <w:color w:val="auto"/>
              </w:rPr>
            </w:pPr>
          </w:p>
        </w:tc>
      </w:tr>
      <w:tr>
        <w:trPr>
          <w:trHeight w:val="230"/>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Non-current other assets</w:t>
            </w:r>
          </w:p>
        </w:tc>
        <w:tc>
          <w:tcPr>
            <w:tcW w:w="56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FF0FC"/>
          </w:tcPr>
          <w:p>
            <w:pPr>
              <w:spacing w:after="0"/>
              <w:rPr>
                <w:sz w:val="19"/>
                <w:szCs w:val="19"/>
                <w:color w:val="auto"/>
              </w:rPr>
            </w:pPr>
          </w:p>
        </w:tc>
      </w:tr>
      <w:tr>
        <w:trPr>
          <w:trHeight w:val="263"/>
        </w:trPr>
        <w:tc>
          <w:tcPr>
            <w:tcW w:w="2260" w:type="dxa"/>
            <w:vAlign w:val="bottom"/>
            <w:tcBorders>
              <w:bottom w:val="single" w:sz="8" w:color="CFF0FC"/>
            </w:tcBorders>
          </w:tcPr>
          <w:p>
            <w:pPr>
              <w:spacing w:after="0"/>
              <w:rPr>
                <w:sz w:val="22"/>
                <w:szCs w:val="22"/>
                <w:color w:val="auto"/>
              </w:rPr>
            </w:pPr>
          </w:p>
        </w:tc>
        <w:tc>
          <w:tcPr>
            <w:tcW w:w="56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1,524.8</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1,499.8</w:t>
            </w:r>
          </w:p>
        </w:tc>
        <w:tc>
          <w:tcPr>
            <w:tcW w:w="120" w:type="dxa"/>
            <w:vAlign w:val="bottom"/>
            <w:tcBorders>
              <w:bottom w:val="single" w:sz="8" w:color="CFF0FC"/>
            </w:tcBorders>
          </w:tcPr>
          <w:p>
            <w:pPr>
              <w:spacing w:after="0"/>
              <w:rPr>
                <w:sz w:val="22"/>
                <w:szCs w:val="22"/>
                <w:color w:val="auto"/>
              </w:rPr>
            </w:pPr>
          </w:p>
        </w:tc>
      </w:tr>
      <w:tr>
        <w:trPr>
          <w:trHeight w:val="210"/>
        </w:trPr>
        <w:tc>
          <w:tcPr>
            <w:tcW w:w="7860" w:type="dxa"/>
            <w:vAlign w:val="bottom"/>
            <w:gridSpan w:val="2"/>
            <w:shd w:val="clear" w:color="auto" w:fill="CFF0FC"/>
          </w:tcPr>
          <w:p>
            <w:pPr>
              <w:jc w:val="center"/>
              <w:ind w:right="9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Current Liabilities:</w:t>
            </w:r>
          </w:p>
        </w:tc>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5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w:t>
            </w: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120" w:type="dxa"/>
            <w:vAlign w:val="bottom"/>
            <w:shd w:val="clear" w:color="auto" w:fill="CFF0FC"/>
          </w:tcPr>
          <w:p>
            <w:pPr>
              <w:spacing w:after="0"/>
              <w:rPr>
                <w:sz w:val="19"/>
                <w:szCs w:val="19"/>
                <w:color w:val="auto"/>
              </w:rPr>
            </w:pPr>
          </w:p>
        </w:tc>
      </w:tr>
      <w:tr>
        <w:trPr>
          <w:trHeight w:val="230"/>
        </w:trPr>
        <w:tc>
          <w:tcPr>
            <w:tcW w:w="226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r>
      <w:tr>
        <w:trPr>
          <w:trHeight w:val="230"/>
        </w:trPr>
        <w:tc>
          <w:tcPr>
            <w:tcW w:w="2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5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FF0FC"/>
          </w:tcPr>
          <w:p>
            <w:pPr>
              <w:spacing w:after="0"/>
              <w:rPr>
                <w:sz w:val="19"/>
                <w:szCs w:val="19"/>
                <w:color w:val="auto"/>
              </w:rPr>
            </w:pPr>
          </w:p>
        </w:tc>
      </w:tr>
      <w:tr>
        <w:trPr>
          <w:trHeight w:val="230"/>
        </w:trPr>
        <w:tc>
          <w:tcPr>
            <w:tcW w:w="8020" w:type="dxa"/>
            <w:vAlign w:val="bottom"/>
            <w:gridSpan w:val="3"/>
          </w:tcPr>
          <w:p>
            <w:pPr>
              <w:ind w:left="260"/>
              <w:spacing w:after="0"/>
              <w:rPr>
                <w:sz w:val="20"/>
                <w:szCs w:val="20"/>
                <w:color w:val="auto"/>
              </w:rPr>
            </w:pPr>
            <w:r>
              <w:rPr>
                <w:rFonts w:ascii="Arial" w:cs="Arial" w:eastAsia="Arial" w:hAnsi="Arial"/>
                <w:sz w:val="18"/>
                <w:szCs w:val="18"/>
                <w:color w:val="auto"/>
              </w:rPr>
              <w:t>Acquisition-related liabilities</w:t>
            </w:r>
          </w:p>
        </w:tc>
        <w:tc>
          <w:tcPr>
            <w:tcW w:w="142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r>
      <w:tr>
        <w:trPr>
          <w:trHeight w:val="230"/>
        </w:trPr>
        <w:tc>
          <w:tcPr>
            <w:tcW w:w="2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accrued liabilities</w:t>
            </w:r>
          </w:p>
        </w:tc>
        <w:tc>
          <w:tcPr>
            <w:tcW w:w="56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FF0FC"/>
          </w:tcPr>
          <w:p>
            <w:pPr>
              <w:spacing w:after="0"/>
              <w:rPr>
                <w:sz w:val="19"/>
                <w:szCs w:val="19"/>
                <w:color w:val="auto"/>
              </w:rPr>
            </w:pPr>
          </w:p>
        </w:tc>
      </w:tr>
      <w:tr>
        <w:trPr>
          <w:trHeight w:val="223"/>
        </w:trPr>
        <w:tc>
          <w:tcPr>
            <w:tcW w:w="2260" w:type="dxa"/>
            <w:vAlign w:val="bottom"/>
          </w:tcPr>
          <w:p>
            <w:pPr>
              <w:ind w:left="500"/>
              <w:spacing w:after="0"/>
              <w:rPr>
                <w:sz w:val="20"/>
                <w:szCs w:val="20"/>
                <w:color w:val="auto"/>
              </w:rPr>
            </w:pPr>
            <w:r>
              <w:rPr>
                <w:rFonts w:ascii="Arial" w:cs="Arial" w:eastAsia="Arial" w:hAnsi="Arial"/>
                <w:sz w:val="18"/>
                <w:szCs w:val="18"/>
                <w:color w:val="auto"/>
                <w:w w:val="99"/>
              </w:rPr>
              <w:t>Total current liabilities</w:t>
            </w:r>
          </w:p>
        </w:tc>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325.7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19"/>
                <w:szCs w:val="19"/>
                <w:color w:val="auto"/>
              </w:rPr>
            </w:pPr>
          </w:p>
        </w:tc>
      </w:tr>
      <w:tr>
        <w:trPr>
          <w:trHeight w:val="230"/>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 net</w:t>
            </w:r>
          </w:p>
        </w:tc>
        <w:tc>
          <w:tcPr>
            <w:tcW w:w="5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450.7</w:t>
            </w:r>
          </w:p>
        </w:tc>
        <w:tc>
          <w:tcPr>
            <w:tcW w:w="120" w:type="dxa"/>
            <w:vAlign w:val="bottom"/>
            <w:shd w:val="clear" w:color="auto" w:fill="CFF0FC"/>
          </w:tcPr>
          <w:p>
            <w:pPr>
              <w:spacing w:after="0"/>
              <w:rPr>
                <w:sz w:val="19"/>
                <w:szCs w:val="19"/>
                <w:color w:val="auto"/>
              </w:rPr>
            </w:pPr>
          </w:p>
        </w:tc>
      </w:tr>
      <w:tr>
        <w:trPr>
          <w:trHeight w:val="230"/>
        </w:trPr>
        <w:tc>
          <w:tcPr>
            <w:tcW w:w="2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56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FF0FC"/>
            </w:tcBorders>
          </w:tcPr>
          <w:p>
            <w:pPr>
              <w:spacing w:after="0"/>
              <w:rPr>
                <w:sz w:val="19"/>
                <w:szCs w:val="19"/>
                <w:color w:val="auto"/>
              </w:rPr>
            </w:pPr>
          </w:p>
        </w:tc>
      </w:tr>
      <w:tr>
        <w:trPr>
          <w:trHeight w:val="223"/>
        </w:trPr>
        <w:tc>
          <w:tcPr>
            <w:tcW w:w="2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5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770.5</w:t>
            </w:r>
          </w:p>
        </w:tc>
        <w:tc>
          <w:tcPr>
            <w:tcW w:w="120" w:type="dxa"/>
            <w:vAlign w:val="bottom"/>
            <w:shd w:val="clear" w:color="auto" w:fill="CFF0FC"/>
          </w:tcPr>
          <w:p>
            <w:pPr>
              <w:spacing w:after="0"/>
              <w:rPr>
                <w:sz w:val="19"/>
                <w:szCs w:val="19"/>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Stockholders' Equity:</w:t>
            </w:r>
          </w:p>
        </w:tc>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5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8020" w:type="dxa"/>
            <w:vAlign w:val="bottom"/>
            <w:gridSpan w:val="3"/>
          </w:tcPr>
          <w:p>
            <w:pPr>
              <w:ind w:left="260"/>
              <w:spacing w:after="0"/>
              <w:rPr>
                <w:sz w:val="20"/>
                <w:szCs w:val="20"/>
                <w:color w:val="auto"/>
              </w:rPr>
            </w:pPr>
            <w:r>
              <w:rPr>
                <w:rFonts w:ascii="Arial" w:cs="Arial" w:eastAsia="Arial" w:hAnsi="Arial"/>
                <w:sz w:val="18"/>
                <w:szCs w:val="18"/>
                <w:color w:val="auto"/>
              </w:rPr>
              <w:t>$0.001 par value; 120,000,000 shares authorized,</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20" w:type="dxa"/>
            <w:vAlign w:val="bottom"/>
            <w:gridSpan w:val="3"/>
          </w:tcPr>
          <w:p>
            <w:pPr>
              <w:ind w:left="380"/>
              <w:spacing w:after="0"/>
              <w:rPr>
                <w:sz w:val="20"/>
                <w:szCs w:val="20"/>
                <w:color w:val="auto"/>
              </w:rPr>
            </w:pPr>
            <w:r>
              <w:rPr>
                <w:rFonts w:ascii="Arial" w:cs="Arial" w:eastAsia="Arial" w:hAnsi="Arial"/>
                <w:sz w:val="18"/>
                <w:szCs w:val="18"/>
                <w:color w:val="auto"/>
              </w:rPr>
              <w:t>63,030,058 and 62,889,679 shares issued, and 34,527,728 and 35,249,803 shares</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020" w:type="dxa"/>
            <w:vAlign w:val="bottom"/>
            <w:gridSpan w:val="3"/>
          </w:tcPr>
          <w:p>
            <w:pPr>
              <w:ind w:left="380"/>
              <w:spacing w:after="0"/>
              <w:rPr>
                <w:sz w:val="20"/>
                <w:szCs w:val="20"/>
                <w:color w:val="auto"/>
              </w:rPr>
            </w:pPr>
            <w:r>
              <w:rPr>
                <w:rFonts w:ascii="Arial" w:cs="Arial" w:eastAsia="Arial" w:hAnsi="Arial"/>
                <w:sz w:val="18"/>
                <w:szCs w:val="18"/>
                <w:color w:val="auto"/>
              </w:rPr>
              <w:t>outstanding, at September 30, 2018 and June 30, 2018, respectively</w:t>
            </w: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r>
      <w:tr>
        <w:trPr>
          <w:trHeight w:val="230"/>
        </w:trPr>
        <w:tc>
          <w:tcPr>
            <w:tcW w:w="2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5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1,195.2</w:t>
            </w:r>
          </w:p>
        </w:tc>
        <w:tc>
          <w:tcPr>
            <w:tcW w:w="120" w:type="dxa"/>
            <w:vAlign w:val="bottom"/>
            <w:shd w:val="clear" w:color="auto" w:fill="CFF0FC"/>
          </w:tcPr>
          <w:p>
            <w:pPr>
              <w:spacing w:after="0"/>
              <w:rPr>
                <w:sz w:val="19"/>
                <w:szCs w:val="19"/>
                <w:color w:val="auto"/>
              </w:rPr>
            </w:pPr>
          </w:p>
        </w:tc>
      </w:tr>
      <w:tr>
        <w:trPr>
          <w:trHeight w:val="215"/>
        </w:trPr>
        <w:tc>
          <w:tcPr>
            <w:tcW w:w="2260" w:type="dxa"/>
            <w:vAlign w:val="bottom"/>
          </w:tcPr>
          <w:p>
            <w:pPr>
              <w:ind w:left="260"/>
              <w:spacing w:after="0"/>
              <w:rPr>
                <w:sz w:val="20"/>
                <w:szCs w:val="20"/>
                <w:color w:val="auto"/>
              </w:rPr>
            </w:pPr>
            <w:r>
              <w:rPr>
                <w:rFonts w:ascii="Arial" w:cs="Arial" w:eastAsia="Arial" w:hAnsi="Arial"/>
                <w:sz w:val="18"/>
                <w:szCs w:val="18"/>
                <w:color w:val="auto"/>
                <w:w w:val="90"/>
              </w:rPr>
              <w:t>Treasury stock: 28,502,330</w:t>
            </w:r>
          </w:p>
        </w:tc>
        <w:tc>
          <w:tcPr>
            <w:tcW w:w="5760" w:type="dxa"/>
            <w:vAlign w:val="bottom"/>
            <w:gridSpan w:val="2"/>
          </w:tcPr>
          <w:p>
            <w:pPr>
              <w:jc w:val="center"/>
              <w:ind w:right="2490"/>
              <w:spacing w:after="0"/>
              <w:rPr>
                <w:sz w:val="20"/>
                <w:szCs w:val="20"/>
                <w:color w:val="auto"/>
              </w:rPr>
            </w:pPr>
            <w:r>
              <w:rPr>
                <w:rFonts w:ascii="Arial" w:cs="Arial" w:eastAsia="Arial" w:hAnsi="Arial"/>
                <w:sz w:val="18"/>
                <w:szCs w:val="18"/>
                <w:color w:val="auto"/>
                <w:w w:val="89"/>
              </w:rPr>
              <w:t>and 27,639,876 common treasury shares at</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020" w:type="dxa"/>
            <w:vAlign w:val="bottom"/>
            <w:gridSpan w:val="3"/>
          </w:tcPr>
          <w:p>
            <w:pPr>
              <w:ind w:left="380"/>
              <w:spacing w:after="0"/>
              <w:rPr>
                <w:sz w:val="20"/>
                <w:szCs w:val="20"/>
                <w:color w:val="auto"/>
              </w:rPr>
            </w:pPr>
            <w:r>
              <w:rPr>
                <w:rFonts w:ascii="Arial" w:cs="Arial" w:eastAsia="Arial" w:hAnsi="Arial"/>
                <w:sz w:val="18"/>
                <w:szCs w:val="18"/>
                <w:color w:val="auto"/>
              </w:rPr>
              <w:t>September 30, 2018 and June 30, 2018, respectively, at cost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(1,113.3)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(1,073.9)</w:t>
            </w:r>
          </w:p>
        </w:tc>
      </w:tr>
      <w:tr>
        <w:trPr>
          <w:trHeight w:val="230"/>
        </w:trPr>
        <w:tc>
          <w:tcPr>
            <w:tcW w:w="80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r>
      <w:tr>
        <w:trPr>
          <w:trHeight w:val="230"/>
        </w:trPr>
        <w:tc>
          <w:tcPr>
            <w:tcW w:w="2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56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606.4</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729.3</w:t>
            </w:r>
          </w:p>
        </w:tc>
        <w:tc>
          <w:tcPr>
            <w:tcW w:w="120" w:type="dxa"/>
            <w:vAlign w:val="bottom"/>
            <w:shd w:val="clear" w:color="auto" w:fill="CFF0FC"/>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1,499.8</w:t>
            </w:r>
          </w:p>
        </w:tc>
        <w:tc>
          <w:tcPr>
            <w:tcW w:w="12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60" w:type="dxa"/>
            <w:vAlign w:val="bottom"/>
            <w:gridSpan w:val="5"/>
          </w:tcPr>
          <w:p>
            <w:pPr>
              <w:jc w:val="right"/>
              <w:ind w:right="285"/>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565"/>
              <w:spacing w:after="0"/>
              <w:rPr>
                <w:sz w:val="20"/>
                <w:szCs w:val="20"/>
                <w:color w:val="auto"/>
              </w:rPr>
            </w:pPr>
            <w:r>
              <w:rPr>
                <w:rFonts w:ascii="Arial" w:cs="Arial" w:eastAsia="Arial" w:hAnsi="Arial"/>
                <w:sz w:val="18"/>
                <w:szCs w:val="18"/>
                <w:b w:val="1"/>
                <w:bCs w:val="1"/>
                <w:color w:val="auto"/>
                <w:w w:val="95"/>
              </w:rPr>
              <w:t>September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w:t>
            </w:r>
          </w:p>
        </w:tc>
        <w:tc>
          <w:tcPr>
            <w:tcW w:w="12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5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2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12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amortization</w:t>
            </w:r>
          </w:p>
        </w:tc>
        <w:tc>
          <w:tcPr>
            <w:tcW w:w="1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Restructuring costs</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2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ind w:left="500"/>
              <w:spacing w:after="0"/>
              <w:rPr>
                <w:sz w:val="20"/>
                <w:szCs w:val="20"/>
                <w:color w:val="auto"/>
              </w:rPr>
            </w:pPr>
            <w:r>
              <w:rPr>
                <w:rFonts w:ascii="Arial" w:cs="Arial" w:eastAsia="Arial" w:hAnsi="Arial"/>
                <w:sz w:val="18"/>
                <w:szCs w:val="18"/>
                <w:color w:val="auto"/>
              </w:rPr>
              <w:t>Operating income/(loss)</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expense, net</w:t>
            </w:r>
          </w:p>
        </w:tc>
        <w:tc>
          <w:tcPr>
            <w:tcW w:w="1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9"/>
        </w:trPr>
        <w:tc>
          <w:tcPr>
            <w:tcW w:w="6680" w:type="dxa"/>
            <w:vAlign w:val="bottom"/>
          </w:tcPr>
          <w:p>
            <w:pPr>
              <w:ind w:left="500"/>
              <w:spacing w:after="0"/>
              <w:rPr>
                <w:sz w:val="20"/>
                <w:szCs w:val="20"/>
                <w:color w:val="auto"/>
              </w:rPr>
            </w:pPr>
            <w:r>
              <w:rPr>
                <w:rFonts w:ascii="Arial" w:cs="Arial" w:eastAsia="Arial" w:hAnsi="Arial"/>
                <w:sz w:val="18"/>
                <w:szCs w:val="18"/>
                <w:color w:val="auto"/>
              </w:rPr>
              <w:t>Income/(loss) before provision/(benefit) for income taxes and equity</w:t>
            </w:r>
          </w:p>
        </w:tc>
        <w:tc>
          <w:tcPr>
            <w:tcW w:w="1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640"/>
              <w:spacing w:after="0"/>
              <w:rPr>
                <w:sz w:val="20"/>
                <w:szCs w:val="20"/>
                <w:color w:val="auto"/>
              </w:rPr>
            </w:pPr>
            <w:r>
              <w:rPr>
                <w:rFonts w:ascii="Arial" w:cs="Arial" w:eastAsia="Arial" w:hAnsi="Arial"/>
                <w:sz w:val="18"/>
                <w:szCs w:val="18"/>
                <w:color w:val="auto"/>
              </w:rPr>
              <w:t>investment loss</w:t>
            </w: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Provision/(benefit) for income taxes</w:t>
            </w:r>
          </w:p>
        </w:tc>
        <w:tc>
          <w:tcPr>
            <w:tcW w:w="1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Equity investment loss</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income/(loss)</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5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Net income/(loss) per share:</w:t>
            </w:r>
          </w:p>
        </w:tc>
        <w:tc>
          <w:tcPr>
            <w:tcW w:w="1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280" w:type="dxa"/>
            <w:vAlign w:val="bottom"/>
            <w:gridSpan w:val="2"/>
            <w:shd w:val="clear" w:color="auto" w:fill="CFF0FC"/>
          </w:tcPr>
          <w:p>
            <w:pPr>
              <w:jc w:val="right"/>
              <w:ind w:right="8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85"/>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2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FF0FC"/>
            </w:tcBorders>
            <w:vMerge w:val="continue"/>
          </w:tcPr>
          <w:p>
            <w:pPr>
              <w:spacing w:after="0"/>
              <w:rPr>
                <w:sz w:val="21"/>
                <w:szCs w:val="21"/>
                <w:color w:val="auto"/>
              </w:rPr>
            </w:pPr>
          </w:p>
        </w:tc>
        <w:tc>
          <w:tcPr>
            <w:tcW w:w="1260" w:type="dxa"/>
            <w:vAlign w:val="bottom"/>
            <w:tcBorders>
              <w:bottom w:val="single" w:sz="8" w:color="CFF0FC"/>
            </w:tcBorders>
          </w:tcPr>
          <w:p>
            <w:pPr>
              <w:spacing w:after="0"/>
              <w:rPr>
                <w:sz w:val="21"/>
                <w:szCs w:val="21"/>
                <w:color w:val="auto"/>
              </w:rPr>
            </w:pPr>
          </w:p>
        </w:tc>
        <w:tc>
          <w:tcPr>
            <w:tcW w:w="1020" w:type="dxa"/>
            <w:vAlign w:val="bottom"/>
            <w:tcBorders>
              <w:bottom w:val="single" w:sz="8" w:color="auto"/>
            </w:tcBorders>
          </w:tcPr>
          <w:p>
            <w:pPr>
              <w:jc w:val="right"/>
              <w:ind w:right="859"/>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computing net income/(loss) per share:</w:t>
            </w:r>
          </w:p>
        </w:tc>
        <w:tc>
          <w:tcPr>
            <w:tcW w:w="1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260" w:type="dxa"/>
            <w:vAlign w:val="bottom"/>
            <w:tcBorders>
              <w:bottom w:val="single" w:sz="8" w:color="CFF0FC"/>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6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6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2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Three Months Ended</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tcPr>
          <w:p>
            <w:pPr>
              <w:spacing w:after="0"/>
              <w:rPr>
                <w:sz w:val="19"/>
                <w:szCs w:val="19"/>
                <w:color w:val="auto"/>
              </w:rPr>
            </w:pPr>
          </w:p>
        </w:tc>
        <w:tc>
          <w:tcPr>
            <w:tcW w:w="21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Net income/(loss)</w:t>
            </w:r>
          </w:p>
        </w:tc>
        <w:tc>
          <w:tcPr>
            <w:tcW w:w="2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net gain on investment</w:t>
            </w:r>
          </w:p>
        </w:tc>
        <w:tc>
          <w:tcPr>
            <w:tcW w:w="2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Net current period-other comprehensive loss</w:t>
            </w:r>
          </w:p>
        </w:tc>
        <w:tc>
          <w:tcPr>
            <w:tcW w:w="2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2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Comprehensive income/(loss)</w:t>
            </w:r>
          </w:p>
        </w:tc>
        <w:tc>
          <w:tcPr>
            <w:tcW w:w="2140" w:type="dxa"/>
            <w:vAlign w:val="bottom"/>
            <w:vMerge w:val="restart"/>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40" w:type="dxa"/>
            <w:vAlign w:val="bottom"/>
            <w:vMerge w:val="continue"/>
            <w:shd w:val="clear" w:color="auto" w:fill="CFF0FC"/>
          </w:tcPr>
          <w:p>
            <w:pPr>
              <w:spacing w:after="0"/>
              <w:rPr>
                <w:sz w:val="19"/>
                <w:szCs w:val="19"/>
                <w:color w:val="auto"/>
              </w:rPr>
            </w:pPr>
          </w:p>
        </w:tc>
        <w:tc>
          <w:tcPr>
            <w:tcW w:w="2140" w:type="dxa"/>
            <w:vAlign w:val="bottom"/>
            <w:vMerge w:val="continue"/>
            <w:shd w:val="clear" w:color="auto" w:fill="CFF0FC"/>
          </w:tcPr>
          <w:p>
            <w:pPr>
              <w:spacing w:after="0"/>
              <w:rPr>
                <w:sz w:val="19"/>
                <w:szCs w:val="19"/>
                <w:color w:val="auto"/>
              </w:rPr>
            </w:pPr>
          </w:p>
        </w:tc>
        <w:tc>
          <w:tcPr>
            <w:tcW w:w="1060" w:type="dxa"/>
            <w:vAlign w:val="bottom"/>
            <w:shd w:val="clear" w:color="auto" w:fill="CFF0FC"/>
          </w:tcPr>
          <w:p>
            <w:pPr>
              <w:jc w:val="right"/>
              <w:ind w:right="90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21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5"/>
                <w:szCs w:val="15"/>
                <w:b w:val="1"/>
                <w:bCs w:val="1"/>
                <w:color w:val="auto"/>
                <w:w w:val="95"/>
              </w:rPr>
              <w:t>Three Months Ended</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5"/>
                <w:szCs w:val="15"/>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tcBorders>
              <w:bottom w:val="single" w:sz="8" w:color="CFF0FC"/>
            </w:tcBorders>
          </w:tcPr>
          <w:p>
            <w:pPr>
              <w:spacing w:after="0"/>
              <w:rPr>
                <w:sz w:val="14"/>
                <w:szCs w:val="14"/>
                <w:color w:val="auto"/>
              </w:rPr>
            </w:pPr>
          </w:p>
        </w:tc>
        <w:tc>
          <w:tcPr>
            <w:tcW w:w="126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2018</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3"/>
              <w:spacing w:after="0" w:line="169" w:lineRule="exact"/>
              <w:rPr>
                <w:sz w:val="20"/>
                <w:szCs w:val="20"/>
                <w:color w:val="auto"/>
              </w:rPr>
            </w:pPr>
            <w:r>
              <w:rPr>
                <w:rFonts w:ascii="Arial" w:cs="Arial" w:eastAsia="Arial" w:hAnsi="Arial"/>
                <w:sz w:val="15"/>
                <w:szCs w:val="15"/>
                <w:b w:val="1"/>
                <w:bCs w:val="1"/>
                <w:color w:val="auto"/>
                <w:w w:val="95"/>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operating activities</w:t>
            </w:r>
          </w:p>
        </w:tc>
        <w:tc>
          <w:tcPr>
            <w:tcW w:w="1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Net income/(loss)</w:t>
            </w:r>
          </w:p>
        </w:tc>
        <w:tc>
          <w:tcPr>
            <w:tcW w:w="2240" w:type="dxa"/>
            <w:vAlign w:val="bottom"/>
            <w:gridSpan w:val="2"/>
          </w:tcPr>
          <w:p>
            <w:pPr>
              <w:jc w:val="right"/>
              <w:ind w:right="823"/>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3.8</w:t>
            </w:r>
          </w:p>
        </w:tc>
        <w:tc>
          <w:tcPr>
            <w:tcW w:w="160" w:type="dxa"/>
            <w:vAlign w:val="bottom"/>
          </w:tcPr>
          <w:p>
            <w:pPr>
              <w:spacing w:after="0"/>
              <w:rPr>
                <w:sz w:val="15"/>
                <w:szCs w:val="15"/>
                <w:color w:val="auto"/>
              </w:rPr>
            </w:pPr>
          </w:p>
        </w:tc>
        <w:tc>
          <w:tcPr>
            <w:tcW w:w="72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(26.5)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income/(loss) to net cash provided by operating activities:</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Share-based compensation costs</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16.7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Depreciation and amortization</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Acquired intangibles amortization</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20.0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Deferred taxes</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(5.6)</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Amortization of convertible debt discount and issuance costs</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Amortization of debt issuance costs</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Impairment recovery on investments</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(2.8)</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Arbitration settlement</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(1.9)</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Equity investment loss</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0.4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5"/>
                <w:szCs w:val="15"/>
                <w:color w:val="auto"/>
              </w:rPr>
              <w:t>Foreign currency remeasurement (gain)/loss</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240"/>
              <w:spacing w:after="0"/>
              <w:rPr>
                <w:sz w:val="20"/>
                <w:szCs w:val="20"/>
                <w:color w:val="auto"/>
              </w:rPr>
            </w:pPr>
            <w:r>
              <w:rPr>
                <w:rFonts w:ascii="Arial" w:cs="Arial" w:eastAsia="Arial" w:hAnsi="Arial"/>
                <w:sz w:val="15"/>
                <w:szCs w:val="15"/>
                <w:color w:val="auto"/>
              </w:rPr>
              <w:t>Changes in operating assets and liabilities, net of acquisitions:</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5"/>
                <w:szCs w:val="15"/>
                <w:color w:val="auto"/>
              </w:rPr>
              <w:t>Accounts receivable, net</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(38.3)</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480"/>
              <w:spacing w:after="0"/>
              <w:rPr>
                <w:sz w:val="20"/>
                <w:szCs w:val="20"/>
                <w:color w:val="auto"/>
              </w:rPr>
            </w:pPr>
            <w:r>
              <w:rPr>
                <w:rFonts w:ascii="Arial" w:cs="Arial" w:eastAsia="Arial" w:hAnsi="Arial"/>
                <w:sz w:val="15"/>
                <w:szCs w:val="15"/>
                <w:color w:val="auto"/>
              </w:rPr>
              <w:t>Inventories</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(30.0)</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5"/>
                <w:szCs w:val="15"/>
                <w:color w:val="auto"/>
              </w:rPr>
              <w:t>Prepaid expenses and other current assets</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(13.8)</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480"/>
              <w:spacing w:after="0"/>
              <w:rPr>
                <w:sz w:val="20"/>
                <w:szCs w:val="20"/>
                <w:color w:val="auto"/>
              </w:rPr>
            </w:pPr>
            <w:r>
              <w:rPr>
                <w:rFonts w:ascii="Arial" w:cs="Arial" w:eastAsia="Arial" w:hAnsi="Arial"/>
                <w:sz w:val="15"/>
                <w:szCs w:val="15"/>
                <w:color w:val="auto"/>
              </w:rPr>
              <w:t>Other assets</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5"/>
                <w:szCs w:val="15"/>
                <w:color w:val="auto"/>
              </w:rPr>
              <w:t>Accounts payable</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(28.8)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480"/>
              <w:spacing w:after="0"/>
              <w:rPr>
                <w:sz w:val="20"/>
                <w:szCs w:val="20"/>
                <w:color w:val="auto"/>
              </w:rPr>
            </w:pPr>
            <w:r>
              <w:rPr>
                <w:rFonts w:ascii="Arial" w:cs="Arial" w:eastAsia="Arial" w:hAnsi="Arial"/>
                <w:sz w:val="15"/>
                <w:szCs w:val="15"/>
                <w:color w:val="auto"/>
              </w:rPr>
              <w:t>Accrued compensation</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(13.5)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5"/>
                <w:szCs w:val="15"/>
                <w:color w:val="auto"/>
              </w:rPr>
              <w:t>Income taxes payable</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tcPr>
          <w:p>
            <w:pPr>
              <w:ind w:left="480"/>
              <w:spacing w:after="0"/>
              <w:rPr>
                <w:sz w:val="20"/>
                <w:szCs w:val="20"/>
                <w:color w:val="auto"/>
              </w:rPr>
            </w:pPr>
            <w:r>
              <w:rPr>
                <w:rFonts w:ascii="Arial" w:cs="Arial" w:eastAsia="Arial" w:hAnsi="Arial"/>
                <w:sz w:val="15"/>
                <w:szCs w:val="15"/>
                <w:color w:val="auto"/>
              </w:rPr>
              <w:t>Other accrued liabilities</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16.0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Net cash provided by operating activities</w:t>
            </w:r>
          </w:p>
        </w:tc>
        <w:tc>
          <w:tcPr>
            <w:tcW w:w="1260" w:type="dxa"/>
            <w:vAlign w:val="bottom"/>
            <w:tcBorders>
              <w:top w:val="single" w:sz="8" w:color="CFF0FC"/>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4.6</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39.8</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Cash flows from investing activities</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Acquisition of businesses, net of cash and cash equivalents acquired</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(396.8)</w:t>
            </w: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Proceeds from sales of investments</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Purchases of property and equipment</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(6.8)</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5"/>
                <w:szCs w:val="15"/>
                <w:color w:val="auto"/>
              </w:rPr>
              <w:t>Net cash used in investing activities</w:t>
            </w:r>
          </w:p>
        </w:tc>
        <w:tc>
          <w:tcPr>
            <w:tcW w:w="1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(4.0)</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(408.2)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financing activities</w:t>
            </w:r>
          </w:p>
        </w:tc>
        <w:tc>
          <w:tcPr>
            <w:tcW w:w="1260" w:type="dxa"/>
            <w:vAlign w:val="bottom"/>
            <w:tcBorders>
              <w:top w:val="single" w:sz="8" w:color="CFF0FC"/>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Proceeds from issuance of convertible debt, net of issuance costs</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514.5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Payment of debt</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(220.0)</w:t>
            </w: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Purchases of treasury stock</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(39.4)</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(93.6)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Proceeds from issuance of shares</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color w:val="auto"/>
              </w:rPr>
              <w:t>Payment of debt issuance costs</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Payroll taxes for deferred stock and market stock units</w:t>
            </w:r>
          </w:p>
        </w:tc>
        <w:tc>
          <w:tcPr>
            <w:tcW w:w="1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(0.9)</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5"/>
                <w:szCs w:val="15"/>
                <w:color w:val="auto"/>
              </w:rPr>
              <w:t>Net cash provided by/(used in) financing activities</w:t>
            </w:r>
          </w:p>
        </w:tc>
        <w:tc>
          <w:tcPr>
            <w:tcW w:w="1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(38.2)</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200.4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1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580" w:type="dxa"/>
            <w:vAlign w:val="bottom"/>
            <w:vMerge w:val="continue"/>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(0.1)</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5"/>
                <w:szCs w:val="15"/>
                <w:color w:val="auto"/>
              </w:rPr>
              <w:t>Net decrease in cash and cash equivalents</w:t>
            </w:r>
          </w:p>
        </w:tc>
        <w:tc>
          <w:tcPr>
            <w:tcW w:w="1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(37.7)</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(168.1)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 at beginning of period</w:t>
            </w:r>
          </w:p>
        </w:tc>
        <w:tc>
          <w:tcPr>
            <w:tcW w:w="1260" w:type="dxa"/>
            <w:vAlign w:val="bottom"/>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301.0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367.8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0" w:type="dxa"/>
            <w:vAlign w:val="bottom"/>
            <w:gridSpan w:val="2"/>
          </w:tcPr>
          <w:p>
            <w:pPr>
              <w:spacing w:after="0" w:line="169" w:lineRule="exact"/>
              <w:rPr>
                <w:sz w:val="20"/>
                <w:szCs w:val="20"/>
                <w:color w:val="auto"/>
              </w:rPr>
            </w:pPr>
            <w:r>
              <w:rPr>
                <w:rFonts w:ascii="Arial" w:cs="Arial" w:eastAsia="Arial" w:hAnsi="Arial"/>
                <w:sz w:val="15"/>
                <w:szCs w:val="15"/>
                <w:color w:val="auto"/>
              </w:rPr>
              <w:t>Cash and cash equivalents at end of period</w:t>
            </w:r>
          </w:p>
        </w:tc>
        <w:tc>
          <w:tcPr>
            <w:tcW w:w="2240" w:type="dxa"/>
            <w:vAlign w:val="bottom"/>
            <w:gridSpan w:val="2"/>
          </w:tcPr>
          <w:p>
            <w:pPr>
              <w:jc w:val="right"/>
              <w:ind w:right="823"/>
              <w:spacing w:after="0" w:line="169"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263.3</w:t>
            </w:r>
          </w:p>
        </w:tc>
        <w:tc>
          <w:tcPr>
            <w:tcW w:w="160" w:type="dxa"/>
            <w:vAlign w:val="bottom"/>
          </w:tcPr>
          <w:p>
            <w:pPr>
              <w:spacing w:after="0"/>
              <w:rPr>
                <w:sz w:val="18"/>
                <w:szCs w:val="18"/>
                <w:color w:val="auto"/>
              </w:rPr>
            </w:pPr>
          </w:p>
        </w:tc>
        <w:tc>
          <w:tcPr>
            <w:tcW w:w="720" w:type="dxa"/>
            <w:vAlign w:val="bottom"/>
            <w:gridSpan w:val="2"/>
          </w:tcPr>
          <w:p>
            <w:pPr>
              <w:jc w:val="right"/>
              <w:ind w:right="52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199.7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80" w:type="dxa"/>
            <w:vAlign w:val="bottom"/>
          </w:tcPr>
          <w:p>
            <w:pPr>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Cash paid for taxes</w:t>
            </w:r>
          </w:p>
        </w:tc>
        <w:tc>
          <w:tcPr>
            <w:tcW w:w="2240" w:type="dxa"/>
            <w:vAlign w:val="bottom"/>
            <w:gridSpan w:val="2"/>
            <w:shd w:val="clear" w:color="auto" w:fill="CFF0FC"/>
          </w:tcPr>
          <w:p>
            <w:pPr>
              <w:jc w:val="right"/>
              <w:ind w:right="823"/>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w:t>
            </w:r>
          </w:p>
        </w:tc>
        <w:tc>
          <w:tcPr>
            <w:tcW w:w="1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520"/>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gridSpan w:val="2"/>
          </w:tcPr>
          <w:p>
            <w:pPr>
              <w:spacing w:after="0"/>
              <w:rPr>
                <w:sz w:val="20"/>
                <w:szCs w:val="20"/>
                <w:color w:val="auto"/>
              </w:rPr>
            </w:pPr>
            <w:r>
              <w:rPr>
                <w:rFonts w:ascii="Arial" w:cs="Arial" w:eastAsia="Arial" w:hAnsi="Arial"/>
                <w:sz w:val="15"/>
                <w:szCs w:val="15"/>
                <w:i w:val="1"/>
                <w:iCs w:val="1"/>
                <w:color w:val="auto"/>
              </w:rPr>
              <w:t>Non-cash investing and financing activities:</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Purchases of property and equipment in current liabilities</w:t>
            </w:r>
          </w:p>
        </w:tc>
        <w:tc>
          <w:tcPr>
            <w:tcW w:w="2240" w:type="dxa"/>
            <w:vAlign w:val="bottom"/>
            <w:gridSpan w:val="2"/>
            <w:shd w:val="clear" w:color="auto" w:fill="CFF0FC"/>
          </w:tcPr>
          <w:p>
            <w:pPr>
              <w:jc w:val="right"/>
              <w:ind w:right="823"/>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w:t>
            </w:r>
          </w:p>
        </w:tc>
        <w:tc>
          <w:tcPr>
            <w:tcW w:w="1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520"/>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0" w:type="dxa"/>
            <w:vAlign w:val="bottom"/>
            <w:gridSpan w:val="2"/>
          </w:tcPr>
          <w:p>
            <w:pPr>
              <w:spacing w:after="0"/>
              <w:rPr>
                <w:sz w:val="20"/>
                <w:szCs w:val="20"/>
                <w:color w:val="auto"/>
              </w:rPr>
            </w:pPr>
            <w:r>
              <w:rPr>
                <w:rFonts w:ascii="Arial" w:cs="Arial" w:eastAsia="Arial" w:hAnsi="Arial"/>
                <w:sz w:val="15"/>
                <w:szCs w:val="15"/>
                <w:color w:val="auto"/>
              </w:rPr>
              <w:t>Common stock issued pursuant to acquisition</w:t>
            </w:r>
          </w:p>
        </w:tc>
        <w:tc>
          <w:tcPr>
            <w:tcW w:w="2240" w:type="dxa"/>
            <w:vAlign w:val="bottom"/>
            <w:gridSpan w:val="2"/>
          </w:tcPr>
          <w:p>
            <w:pPr>
              <w:jc w:val="right"/>
              <w:ind w:right="823"/>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left="260" w:right="2740"/>
        <w:spacing w:after="0" w:line="27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pursuant to the rules and regulations of the Securities and Exchange Commission, or the SEC, and U.S.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30, 2018.</w:t>
      </w:r>
    </w:p>
    <w:p>
      <w:pPr>
        <w:spacing w:after="0" w:line="178"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consolidated financial statements include our financial statements and those of our wholly owned subsidiaries. All significant intercompany balances and transactions have been eliminated upon consolidation.</w:t>
      </w:r>
    </w:p>
    <w:p>
      <w:pPr>
        <w:spacing w:after="0" w:line="170"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Our fiscal year is the 52- or 53-week period ending on the last Saturday in June. Our fiscal 2019 is a 52-week period ending June 29, 2019, and our fiscal 2018 was a 53-week period ending on June 30, 2018. The fiscal periods presented in this report are 13-week and 14-week periods for the three months ended September 29, 2018, and September 30, 2017, respectively. For simplicity, the accompanying condensed consolidated financial statements have been shown as ending on calendar quarter end dates as of and for all periods presented, unless otherwise indicated.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and loss contingencies. We base our estimates on historical experience,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 and Foreign Exchange Contracts</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U.S. dollar is our functional and reporting currency. We remeasure our monetary assets and liabilities not denominated in the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Our foreign currency transactions and remeasurement gains and losses are included in selling, general, and administrative expenses in the condensed consolidated statements of operations and resulted in net losses of $0.4 million in the three months ended September 30, 2018 and net losses of $0.3 million in the three months ended September 30, 2017.</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Policy</w:t>
      </w:r>
    </w:p>
    <w:p>
      <w:pPr>
        <w:spacing w:after="0" w:line="131"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In May 2014, the FASB issued an Accounting Standards Update, or ASU, on revenue from contracts with customers, ASU No. 2014-09, Revenue from Contracts with Customers, or Topic 606. This standard update outlines a single comprehensive model for entities to use in accounting for revenue arising from contracts with customers. The guidance is effective for annual reporting periods including interim reporting reports beginning after December 15, 2017.</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 w:name="page8"/>
    <w:bookmarkEnd w:id="7"/>
    <w:p>
      <w:pPr>
        <w:ind w:right="60" w:firstLine="518"/>
        <w:spacing w:after="0" w:line="293" w:lineRule="auto"/>
        <w:rPr>
          <w:sz w:val="20"/>
          <w:szCs w:val="20"/>
          <w:color w:val="auto"/>
        </w:rPr>
      </w:pPr>
      <w:r>
        <w:rPr>
          <w:rFonts w:ascii="Arial" w:cs="Arial" w:eastAsia="Arial" w:hAnsi="Arial"/>
          <w:sz w:val="16"/>
          <w:szCs w:val="16"/>
          <w:color w:val="auto"/>
        </w:rPr>
        <w:t>We adopted Topic 606 on July 1, 2018, the beginning of our fiscal 2019, using the modified retrospective method applied to all contracts not completed as of the adoption date. Results for reporting periods ending after July 1, 2018 are presented under Topic 606, while prior reporting periods are not adjusted and continue to be reported in accordance with our historic accounting under Topic 605. Recognition of revenue has remained substantially unchanged under Topic 606 as that under Topic 605. Hence, there was no adjustment to the opening retained earnings as of July 1, 2018. However, we reclassified certain amounts of incentive items to other accrued liabilities in our condensed consolidated balance sheet as of September 30, 2018, and presented them as part of customer obligations, from the contra accounts receivable upon adoption of Topic 606. Such information is as follows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Arial" w:cs="Arial" w:eastAsia="Arial" w:hAnsi="Arial"/>
                <w:sz w:val="18"/>
                <w:szCs w:val="18"/>
                <w:i w:val="1"/>
                <w:iCs w:val="1"/>
                <w:color w:val="auto"/>
              </w:rPr>
              <w:t>Condensed Consolidated Balance Sheets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89"/>
              </w:rPr>
              <w:t>As of September 30, 2018</w:t>
            </w: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center"/>
              <w:ind w:right="230"/>
              <w:spacing w:after="0"/>
              <w:rPr>
                <w:sz w:val="20"/>
                <w:szCs w:val="20"/>
                <w:color w:val="auto"/>
              </w:rPr>
            </w:pPr>
            <w:r>
              <w:rPr>
                <w:rFonts w:ascii="Arial" w:cs="Arial" w:eastAsia="Arial" w:hAnsi="Arial"/>
                <w:sz w:val="18"/>
                <w:szCs w:val="18"/>
                <w:color w:val="auto"/>
                <w:w w:val="92"/>
              </w:rPr>
              <w:t>Pro forma as if</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As reported under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previous standard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6"/>
              </w:rPr>
              <w:t>new standard</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Adjustments</w:t>
            </w: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was in effect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1,524.8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1,520.0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3920" w:type="dxa"/>
            <w:vAlign w:val="bottom"/>
            <w:gridSpan w:val="2"/>
          </w:tcPr>
          <w:p>
            <w:pPr>
              <w:spacing w:after="0"/>
              <w:rPr>
                <w:sz w:val="20"/>
                <w:szCs w:val="20"/>
                <w:color w:val="auto"/>
              </w:rPr>
            </w:pPr>
            <w:r>
              <w:rPr>
                <w:rFonts w:ascii="Arial" w:cs="Arial" w:eastAsia="Arial" w:hAnsi="Arial"/>
                <w:sz w:val="18"/>
                <w:szCs w:val="18"/>
                <w:i w:val="1"/>
                <w:iCs w:val="1"/>
                <w:color w:val="auto"/>
                <w:w w:val="95"/>
              </w:rPr>
              <w:t>Condensed Consolidated Statement of Cash Flows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7"/>
          </w:tcPr>
          <w:p>
            <w:pPr>
              <w:jc w:val="center"/>
              <w:ind w:left="1550"/>
              <w:spacing w:after="0"/>
              <w:rPr>
                <w:sz w:val="20"/>
                <w:szCs w:val="20"/>
                <w:color w:val="auto"/>
              </w:rPr>
            </w:pPr>
            <w:r>
              <w:rPr>
                <w:rFonts w:ascii="Arial" w:cs="Arial" w:eastAsia="Arial" w:hAnsi="Arial"/>
                <w:sz w:val="18"/>
                <w:szCs w:val="18"/>
                <w:color w:val="auto"/>
                <w:w w:val="89"/>
              </w:rPr>
              <w:t>Three Months Ended September 30, 2018</w:t>
            </w:r>
          </w:p>
        </w:tc>
        <w:tc>
          <w:tcPr>
            <w:tcW w:w="1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center"/>
              <w:ind w:right="230"/>
              <w:spacing w:after="0"/>
              <w:rPr>
                <w:sz w:val="20"/>
                <w:szCs w:val="20"/>
                <w:color w:val="auto"/>
              </w:rPr>
            </w:pPr>
            <w:r>
              <w:rPr>
                <w:rFonts w:ascii="Arial" w:cs="Arial" w:eastAsia="Arial" w:hAnsi="Arial"/>
                <w:sz w:val="18"/>
                <w:szCs w:val="18"/>
                <w:color w:val="auto"/>
                <w:w w:val="92"/>
              </w:rPr>
              <w:t>Pro forma as if</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As reported under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previous standard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new standard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Adjustments</w:t>
            </w:r>
          </w:p>
        </w:tc>
        <w:tc>
          <w:tcPr>
            <w:tcW w:w="280" w:type="dxa"/>
            <w:vAlign w:val="bottom"/>
          </w:tcPr>
          <w:p>
            <w:pPr>
              <w:spacing w:after="0"/>
              <w:rPr>
                <w:sz w:val="20"/>
                <w:szCs w:val="20"/>
                <w:color w:val="auto"/>
              </w:rPr>
            </w:pP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was in effect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5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Our revenue is primarily generated from the sale of ASIC chips, either directly to a customer or to a distributor. Revenues are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 obligation. Non-product revenue is recognized over the same period of time such performance obligations are satisfied. We then select an appropriate method for measuring satisfaction of the performance obligations.</w:t>
      </w:r>
    </w:p>
    <w:p>
      <w:pPr>
        <w:spacing w:after="0" w:line="189"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ind w:right="20" w:firstLine="518"/>
        <w:spacing w:after="0" w:line="269" w:lineRule="auto"/>
        <w:rPr>
          <w:sz w:val="20"/>
          <w:szCs w:val="20"/>
          <w:color w:val="auto"/>
        </w:rPr>
      </w:pPr>
      <w:r>
        <w:rPr>
          <w:rFonts w:ascii="Arial" w:cs="Arial" w:eastAsia="Arial" w:hAnsi="Arial"/>
          <w:sz w:val="17"/>
          <w:szCs w:val="17"/>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Topic 606 and are shown as customer obligations in Note 7 Other Accrued Liabilities.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and recorded as a reduction to revenue with a corresponding reduction to cost of goods sold for the estimated cost of inventory that is expected to be returned. In limited circumstances we enter into volume based tiered pricing arrangements and we estimate total unit volumes under such arrangement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180"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Our accounts receivable balance is from contracts with customers and represents our unconditional right to receive consideration from customers. Payments are generally due within three months upon completion of the performance obligation and subsequent invoicing and, therefore, do not include significant financing components. To date, there have been no material impairment losses on accounts receivable. There were no contract assets (i.e., unbilled accounts receivable, deferred commissions) recorded on the condensed consolidated balance sheets in the periods presented. Contract liabilities were $3.5 million as of September 30, 2018 and $1.1 million as of July 1, 2018. Refund liabilities were $32.7 million as of September 30, 2018 and $31.6 million as of July 1, 2018. Both contract liabilities and refund liabilities are presented as part of customer obligations in Note 7 Other Accrued Liabilities. During the three months ended September 30, 2018, we recognized $0.4 million in revenue related to contract liabilities outstanding as of July 1, 2018.</w:t>
      </w:r>
    </w:p>
    <w:p>
      <w:pPr>
        <w:spacing w:after="0" w:line="167"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We invoice customers for each delivery upon shipment and recognize revenue in accordance with delivery terms. As of September 30, 2018, we did not have any remaining unsatisfied performance obligations with an original duration greater than one year. Accordingly, under the optional exception provided by ASC 606-10-50-14, we do not disclose revenues allocated to future performance obligations of partially completed contracts. We have elected to account for shipping and handling costs as fulfillment costs after the customer obtains control of the goods. We continue to classify shipping and handling costs as a cost of revenue. We have elected to continue to account for collection of all taxes on a net basis.</w:t>
      </w:r>
    </w:p>
    <w:p>
      <w:pPr>
        <w:spacing w:after="0" w:line="173"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in the “selling, general and administrative” expense line item in the condensed consolidated statements of operations) are expensed when the product is shipped because such commissions are owed after shipment.</w:t>
      </w:r>
    </w:p>
    <w:p>
      <w:pPr>
        <w:spacing w:after="0" w:line="18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Revenue from contracts with customers disaggregated by geographic area based on customer location and groups of similar products is presented in Note 12. Segment, Customers, and Geographical Information.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 of basic and diluted net income per share was as follows (in millions,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620" w:type="dxa"/>
            <w:vAlign w:val="bottom"/>
            <w:gridSpan w:val="4"/>
          </w:tcPr>
          <w:p>
            <w:pPr>
              <w:jc w:val="right"/>
              <w:ind w:right="250"/>
              <w:spacing w:after="0"/>
              <w:rPr>
                <w:sz w:val="20"/>
                <w:szCs w:val="20"/>
                <w:color w:val="auto"/>
              </w:rPr>
            </w:pPr>
            <w:r>
              <w:rPr>
                <w:rFonts w:ascii="Arial" w:cs="Arial" w:eastAsia="Arial" w:hAnsi="Arial"/>
                <w:sz w:val="18"/>
                <w:szCs w:val="18"/>
                <w:color w:val="auto"/>
              </w:rPr>
              <w:t>Three Months Ended</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w w:val="91"/>
              </w:rPr>
              <w:t>September 30,</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Numerator:</w:t>
            </w:r>
          </w:p>
        </w:tc>
        <w:tc>
          <w:tcPr>
            <w:tcW w:w="30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Net income/(loss)</w:t>
            </w:r>
          </w:p>
        </w:tc>
        <w:tc>
          <w:tcPr>
            <w:tcW w:w="4020" w:type="dxa"/>
            <w:vAlign w:val="bottom"/>
            <w:gridSpan w:val="2"/>
          </w:tcPr>
          <w:p>
            <w:pPr>
              <w:jc w:val="right"/>
              <w:ind w:right="775"/>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12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30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Shares, basic</w:t>
            </w:r>
          </w:p>
        </w:tc>
        <w:tc>
          <w:tcPr>
            <w:tcW w:w="3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35.1</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dilutive share-based awards</w:t>
            </w:r>
          </w:p>
        </w:tc>
        <w:tc>
          <w:tcPr>
            <w:tcW w:w="30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Shares, diluted</w:t>
            </w:r>
          </w:p>
        </w:tc>
        <w:tc>
          <w:tcPr>
            <w:tcW w:w="308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Borders>
              <w:bottom w:val="single" w:sz="8" w:color="CFF0FC"/>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FF0FC"/>
            </w:tcBorders>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Net income/(loss) per share:</w:t>
            </w:r>
          </w:p>
        </w:tc>
        <w:tc>
          <w:tcPr>
            <w:tcW w:w="3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Basic</w:t>
            </w:r>
          </w:p>
        </w:tc>
        <w:tc>
          <w:tcPr>
            <w:tcW w:w="4020" w:type="dxa"/>
            <w:vAlign w:val="bottom"/>
            <w:gridSpan w:val="2"/>
          </w:tcPr>
          <w:p>
            <w:pPr>
              <w:jc w:val="right"/>
              <w:ind w:right="775"/>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0.11</w:t>
            </w:r>
          </w:p>
        </w:tc>
        <w:tc>
          <w:tcPr>
            <w:tcW w:w="12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(0.79)</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308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77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(0.79)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80" w:type="dxa"/>
            <w:vAlign w:val="bottom"/>
            <w:vMerge w:val="restart"/>
          </w:tcPr>
          <w:p>
            <w:pPr>
              <w:jc w:val="right"/>
              <w:ind w:right="1810"/>
              <w:spacing w:after="0"/>
              <w:rPr>
                <w:sz w:val="20"/>
                <w:szCs w:val="20"/>
                <w:color w:val="auto"/>
              </w:rPr>
            </w:pPr>
            <w:r>
              <w:rPr>
                <w:rFonts w:ascii="Arial" w:cs="Arial" w:eastAsia="Arial" w:hAnsi="Arial"/>
                <w:sz w:val="18"/>
                <w:szCs w:val="18"/>
                <w:color w:val="auto"/>
              </w:rPr>
              <w:t>9</w:t>
            </w: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 w:name="page10"/>
    <w:bookmarkEnd w:id="9"/>
    <w:p>
      <w:pPr>
        <w:jc w:val="both"/>
        <w:ind w:right="20" w:firstLine="518"/>
        <w:spacing w:after="0" w:line="259" w:lineRule="auto"/>
        <w:rPr>
          <w:sz w:val="20"/>
          <w:szCs w:val="20"/>
          <w:color w:val="auto"/>
        </w:rPr>
      </w:pPr>
      <w:r>
        <w:rPr>
          <w:rFonts w:ascii="Arial" w:cs="Arial" w:eastAsia="Arial" w:hAnsi="Arial"/>
          <w:sz w:val="18"/>
          <w:szCs w:val="18"/>
          <w:color w:val="auto"/>
        </w:rPr>
        <w:t>Our basic net income per share amounts for each period presented have been computed using the weighted average number of shares of common stock outstanding over the period measured. Our diluted net income per share amounts for each period presented include the weighted average effect of potentially dilutive shares. We use the “treasury stock” method to determine the dilutive effect of our stock options, deferred stock units, or DSUs, market stock units, or MSUs, performance stock units, or PSUs, and our convertible notes.</w:t>
      </w:r>
    </w:p>
    <w:p>
      <w:pPr>
        <w:spacing w:after="0" w:line="187" w:lineRule="exact"/>
        <w:rPr>
          <w:sz w:val="20"/>
          <w:szCs w:val="20"/>
          <w:color w:val="auto"/>
        </w:rPr>
      </w:pPr>
    </w:p>
    <w:p>
      <w:pPr>
        <w:ind w:right="320" w:firstLine="518"/>
        <w:spacing w:after="0" w:line="286" w:lineRule="auto"/>
        <w:rPr>
          <w:sz w:val="20"/>
          <w:szCs w:val="20"/>
          <w:color w:val="auto"/>
        </w:rPr>
      </w:pPr>
      <w:r>
        <w:rPr>
          <w:rFonts w:ascii="Arial" w:cs="Arial" w:eastAsia="Arial" w:hAnsi="Arial"/>
          <w:sz w:val="17"/>
          <w:szCs w:val="17"/>
          <w:color w:val="auto"/>
        </w:rPr>
        <w:t>Dilutive net income per share amounts do not include the potential weighted average effect of 1,357,565 and 3,291,154 shares of common stock related to certain share-based awards that were outstanding during the three months ended September 30, 2018 and 2017, respectively. These share-based awards were not included in the computation of diluted net income per share because their effect would have been antidilutive.</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Financial assets measured at fair value on a recurring basis by level within the fair value hierarchy, consisted of the following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gridSpan w:val="4"/>
          </w:tcPr>
          <w:p>
            <w:pPr>
              <w:jc w:val="center"/>
              <w:ind w:right="40"/>
              <w:spacing w:after="0"/>
              <w:rPr>
                <w:sz w:val="20"/>
                <w:szCs w:val="20"/>
                <w:color w:val="auto"/>
              </w:rPr>
            </w:pPr>
            <w:r>
              <w:rPr>
                <w:rFonts w:ascii="Arial" w:cs="Arial" w:eastAsia="Arial" w:hAnsi="Arial"/>
                <w:sz w:val="18"/>
                <w:szCs w:val="18"/>
                <w:color w:val="auto"/>
                <w:w w:val="88"/>
              </w:rPr>
              <w:t>September 30,</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center"/>
              <w:ind w:left="16"/>
              <w:spacing w:after="0"/>
              <w:rPr>
                <w:sz w:val="20"/>
                <w:szCs w:val="20"/>
                <w:color w:val="auto"/>
              </w:rPr>
            </w:pPr>
            <w:r>
              <w:rPr>
                <w:rFonts w:ascii="Arial" w:cs="Arial" w:eastAsia="Arial" w:hAnsi="Arial"/>
                <w:sz w:val="18"/>
                <w:szCs w:val="18"/>
                <w:color w:val="auto"/>
                <w:w w:val="86"/>
              </w:rPr>
              <w:t>June 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2018</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w w:val="99"/>
              </w:rPr>
              <w:t>Level 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Level 2</w:t>
            </w:r>
          </w:p>
        </w:tc>
        <w:tc>
          <w:tcPr>
            <w:tcW w:w="780" w:type="dxa"/>
            <w:vAlign w:val="bottom"/>
          </w:tcPr>
          <w:p>
            <w:pPr>
              <w:jc w:val="right"/>
              <w:spacing w:after="0"/>
              <w:rPr>
                <w:sz w:val="20"/>
                <w:szCs w:val="20"/>
                <w:color w:val="auto"/>
              </w:rPr>
            </w:pPr>
            <w:r>
              <w:rPr>
                <w:rFonts w:ascii="Arial" w:cs="Arial" w:eastAsia="Arial" w:hAnsi="Arial"/>
                <w:sz w:val="18"/>
                <w:szCs w:val="18"/>
                <w:color w:val="auto"/>
              </w:rPr>
              <w:t>Level 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Level 1</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99"/>
              </w:rPr>
              <w:t>Level 3</w:t>
            </w:r>
          </w:p>
        </w:tc>
        <w:tc>
          <w:tcPr>
            <w:tcW w:w="100" w:type="dxa"/>
            <w:vAlign w:val="bottom"/>
          </w:tcPr>
          <w:p>
            <w:pPr>
              <w:spacing w:after="0"/>
              <w:rPr>
                <w:sz w:val="19"/>
                <w:szCs w:val="19"/>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244.6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ind w:right="620"/>
              <w:spacing w:after="0"/>
              <w:rPr>
                <w:sz w:val="20"/>
                <w:szCs w:val="20"/>
                <w:color w:val="auto"/>
              </w:rPr>
            </w:pPr>
            <w:r>
              <w:rPr>
                <w:rFonts w:ascii="Arial" w:cs="Arial" w:eastAsia="Arial" w:hAnsi="Arial"/>
                <w:sz w:val="15"/>
                <w:szCs w:val="15"/>
                <w:color w:val="auto"/>
                <w:w w:val="71"/>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275.2</w:t>
            </w:r>
          </w:p>
        </w:tc>
        <w:tc>
          <w:tcPr>
            <w:tcW w:w="220" w:type="dxa"/>
            <w:vAlign w:val="bottom"/>
          </w:tcPr>
          <w:p>
            <w:pPr>
              <w:spacing w:after="0"/>
              <w:rPr>
                <w:sz w:val="19"/>
                <w:szCs w:val="19"/>
                <w:color w:val="auto"/>
              </w:rPr>
            </w:pPr>
          </w:p>
        </w:tc>
        <w:tc>
          <w:tcPr>
            <w:tcW w:w="780" w:type="dxa"/>
            <w:vAlign w:val="bottom"/>
          </w:tcPr>
          <w:p>
            <w:pPr>
              <w:jc w:val="right"/>
              <w:ind w:right="616"/>
              <w:spacing w:after="0"/>
              <w:rPr>
                <w:sz w:val="20"/>
                <w:szCs w:val="20"/>
                <w:color w:val="auto"/>
              </w:rPr>
            </w:pPr>
            <w:r>
              <w:rPr>
                <w:rFonts w:ascii="Arial" w:cs="Arial" w:eastAsia="Arial" w:hAnsi="Arial"/>
                <w:sz w:val="15"/>
                <w:szCs w:val="15"/>
                <w:color w:val="auto"/>
                <w:w w:val="71"/>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Auction rate securities</w:t>
            </w:r>
          </w:p>
        </w:tc>
        <w:tc>
          <w:tcPr>
            <w:tcW w:w="10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23"/>
        </w:trPr>
        <w:tc>
          <w:tcPr>
            <w:tcW w:w="3700" w:type="dxa"/>
            <w:vAlign w:val="bottom"/>
          </w:tcPr>
          <w:p>
            <w:pPr>
              <w:ind w:left="260"/>
              <w:spacing w:after="0"/>
              <w:rPr>
                <w:sz w:val="20"/>
                <w:szCs w:val="20"/>
                <w:color w:val="auto"/>
              </w:rPr>
            </w:pPr>
            <w:r>
              <w:rPr>
                <w:rFonts w:ascii="Arial" w:cs="Arial" w:eastAsia="Arial" w:hAnsi="Arial"/>
                <w:sz w:val="18"/>
                <w:szCs w:val="18"/>
                <w:color w:val="auto"/>
              </w:rPr>
              <w:t>Total available-for-sale securities</w:t>
            </w:r>
          </w:p>
        </w:tc>
        <w:tc>
          <w:tcPr>
            <w:tcW w:w="10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ind w:right="620"/>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616"/>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firstLine="518"/>
        <w:spacing w:after="0" w:line="308" w:lineRule="auto"/>
        <w:rPr>
          <w:sz w:val="20"/>
          <w:szCs w:val="20"/>
          <w:color w:val="auto"/>
        </w:rPr>
      </w:pPr>
      <w:r>
        <w:rPr>
          <w:rFonts w:ascii="Arial" w:cs="Arial" w:eastAsia="Arial" w:hAnsi="Arial"/>
          <w:sz w:val="17"/>
          <w:szCs w:val="17"/>
          <w:color w:val="auto"/>
        </w:rPr>
        <w:t>In our condensed consolidated balance sheets, as of September 30, 2018 and June 30, 2018, money market balances were included in cash and cash equivalents and as of June 30, 2018, auction rate securities, or ARS investments, were included in non-current other assets.</w:t>
      </w:r>
    </w:p>
    <w:p>
      <w:pPr>
        <w:spacing w:after="0" w:line="14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During the three months ended September 30, 2018 we converted our ARS investments to senior surplus notes, under an offering memorandum, which also included a receipt of a small amount of cash and warrants. We sold the senior surplus notes during the three months ended September 30, 2018, resulting in a gain of $2.8 million. There were no transfers in or out of our Level 1, 2, or 3 assets during the three months ended September 30, 2018 and 2017.</w:t>
      </w:r>
    </w:p>
    <w:p>
      <w:pPr>
        <w:spacing w:after="0" w:line="147" w:lineRule="exact"/>
        <w:rPr>
          <w:sz w:val="20"/>
          <w:szCs w:val="20"/>
          <w:color w:val="auto"/>
        </w:rPr>
      </w:pPr>
    </w:p>
    <w:p>
      <w:pPr>
        <w:jc w:val="both"/>
        <w:ind w:right="800" w:firstLine="518"/>
        <w:spacing w:after="0" w:line="342" w:lineRule="auto"/>
        <w:rPr>
          <w:sz w:val="20"/>
          <w:szCs w:val="20"/>
          <w:color w:val="auto"/>
        </w:rPr>
      </w:pPr>
      <w:r>
        <w:rPr>
          <w:rFonts w:ascii="Arial" w:cs="Arial" w:eastAsia="Arial" w:hAnsi="Arial"/>
          <w:sz w:val="16"/>
          <w:szCs w:val="16"/>
          <w:color w:val="auto"/>
        </w:rPr>
        <w:t>The fair values of our accounts receivable and accounts payable approximate their carrying values because of the short-term nature of those instruments. Intangible assets, property and equipment, and goodwill are measured at fair value on a non-recurring basis if impairment is indicated.</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are stated at the lower of cost (first-in, first-out method) or net realizable value and consisted of the following (in millions):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September 30,</w:t>
            </w:r>
          </w:p>
        </w:tc>
        <w:tc>
          <w:tcPr>
            <w:tcW w:w="26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June 30,</w:t>
            </w:r>
          </w:p>
        </w:tc>
      </w:tr>
      <w:tr>
        <w:trPr>
          <w:trHeight w:val="230"/>
        </w:trPr>
        <w:tc>
          <w:tcPr>
            <w:tcW w:w="370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60" w:type="dxa"/>
            <w:vAlign w:val="bottom"/>
            <w:tcBorders>
              <w:bottom w:val="single" w:sz="8" w:color="CFF0FC"/>
            </w:tcBorders>
          </w:tcPr>
          <w:p>
            <w:pPr>
              <w:spacing w:after="0"/>
              <w:rPr>
                <w:sz w:val="20"/>
                <w:szCs w:val="20"/>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FF0FC"/>
          </w:tcPr>
          <w:p>
            <w:pPr>
              <w:spacing w:after="0"/>
              <w:rPr>
                <w:sz w:val="19"/>
                <w:szCs w:val="19"/>
                <w:color w:val="auto"/>
              </w:rPr>
            </w:pPr>
          </w:p>
        </w:tc>
      </w:tr>
      <w:tr>
        <w:trPr>
          <w:trHeight w:val="230"/>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10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60" w:type="dxa"/>
            <w:vAlign w:val="bottom"/>
            <w:tcBorders>
              <w:bottom w:val="single" w:sz="8" w:color="CFF0FC"/>
            </w:tcBorders>
          </w:tcPr>
          <w:p>
            <w:pPr>
              <w:spacing w:after="0"/>
              <w:rPr>
                <w:sz w:val="19"/>
                <w:szCs w:val="19"/>
                <w:color w:val="auto"/>
              </w:rPr>
            </w:pPr>
          </w:p>
        </w:tc>
      </w:tr>
      <w:tr>
        <w:trPr>
          <w:trHeight w:val="223"/>
        </w:trPr>
        <w:tc>
          <w:tcPr>
            <w:tcW w:w="37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6. Acquired Intangibles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life, the gross carrying value and the related accumulated amortization of our acquired intangible assets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June 30, 2018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80" w:type="dxa"/>
            <w:vAlign w:val="bottom"/>
          </w:tcPr>
          <w:p>
            <w:pPr>
              <w:spacing w:after="0"/>
              <w:rPr>
                <w:sz w:val="14"/>
                <w:szCs w:val="14"/>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2"/>
              </w:rPr>
              <w:t>Weighted Average</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w w:val="96"/>
              </w:rPr>
              <w:t>September 30, 2018</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w w:val="90"/>
              </w:rPr>
              <w:t>June 30, 2018</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13"/>
              <w:spacing w:after="0" w:line="137" w:lineRule="exact"/>
              <w:rPr>
                <w:sz w:val="20"/>
                <w:szCs w:val="20"/>
                <w:color w:val="auto"/>
              </w:rPr>
            </w:pPr>
            <w:r>
              <w:rPr>
                <w:rFonts w:ascii="Arial" w:cs="Arial" w:eastAsia="Arial" w:hAnsi="Arial"/>
                <w:sz w:val="14"/>
                <w:szCs w:val="14"/>
                <w:color w:val="auto"/>
                <w:w w:val="93"/>
              </w:rPr>
              <w:t>Gross Carrying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260"/>
              <w:spacing w:after="0" w:line="137" w:lineRule="exact"/>
              <w:rPr>
                <w:sz w:val="20"/>
                <w:szCs w:val="20"/>
                <w:color w:val="auto"/>
              </w:rPr>
            </w:pPr>
            <w:r>
              <w:rPr>
                <w:rFonts w:ascii="Arial" w:cs="Arial" w:eastAsia="Arial" w:hAnsi="Arial"/>
                <w:sz w:val="14"/>
                <w:szCs w:val="14"/>
                <w:color w:val="auto"/>
                <w:w w:val="96"/>
              </w:rPr>
              <w:t>Accumulated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93"/>
              <w:spacing w:after="0" w:line="137" w:lineRule="exact"/>
              <w:rPr>
                <w:sz w:val="20"/>
                <w:szCs w:val="20"/>
                <w:color w:val="auto"/>
              </w:rPr>
            </w:pPr>
            <w:r>
              <w:rPr>
                <w:rFonts w:ascii="Arial" w:cs="Arial" w:eastAsia="Arial" w:hAnsi="Arial"/>
                <w:sz w:val="14"/>
                <w:szCs w:val="14"/>
                <w:color w:val="auto"/>
                <w:w w:val="96"/>
              </w:rPr>
              <w:t>Net Carrying</w:t>
            </w:r>
          </w:p>
        </w:tc>
        <w:tc>
          <w:tcPr>
            <w:tcW w:w="220" w:type="dxa"/>
            <w:vAlign w:val="bottom"/>
          </w:tcPr>
          <w:p>
            <w:pPr>
              <w:spacing w:after="0"/>
              <w:rPr>
                <w:sz w:val="11"/>
                <w:szCs w:val="11"/>
                <w:color w:val="auto"/>
              </w:rPr>
            </w:pPr>
          </w:p>
        </w:tc>
        <w:tc>
          <w:tcPr>
            <w:tcW w:w="1060" w:type="dxa"/>
            <w:vAlign w:val="bottom"/>
            <w:gridSpan w:val="2"/>
          </w:tcPr>
          <w:p>
            <w:pPr>
              <w:jc w:val="right"/>
              <w:ind w:right="12"/>
              <w:spacing w:after="0" w:line="137" w:lineRule="exact"/>
              <w:rPr>
                <w:sz w:val="20"/>
                <w:szCs w:val="20"/>
                <w:color w:val="auto"/>
              </w:rPr>
            </w:pPr>
            <w:r>
              <w:rPr>
                <w:rFonts w:ascii="Arial" w:cs="Arial" w:eastAsia="Arial" w:hAnsi="Arial"/>
                <w:sz w:val="14"/>
                <w:szCs w:val="14"/>
                <w:color w:val="auto"/>
                <w:w w:val="99"/>
              </w:rPr>
              <w:t>Gross Carrying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260"/>
              <w:spacing w:after="0" w:line="137" w:lineRule="exact"/>
              <w:rPr>
                <w:sz w:val="20"/>
                <w:szCs w:val="20"/>
                <w:color w:val="auto"/>
              </w:rPr>
            </w:pPr>
            <w:r>
              <w:rPr>
                <w:rFonts w:ascii="Arial" w:cs="Arial" w:eastAsia="Arial" w:hAnsi="Arial"/>
                <w:sz w:val="14"/>
                <w:szCs w:val="14"/>
                <w:color w:val="auto"/>
                <w:w w:val="96"/>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93"/>
              <w:spacing w:after="0" w:line="137" w:lineRule="exact"/>
              <w:rPr>
                <w:sz w:val="20"/>
                <w:szCs w:val="20"/>
                <w:color w:val="auto"/>
              </w:rPr>
            </w:pPr>
            <w:r>
              <w:rPr>
                <w:rFonts w:ascii="Arial" w:cs="Arial" w:eastAsia="Arial" w:hAnsi="Arial"/>
                <w:sz w:val="14"/>
                <w:szCs w:val="14"/>
                <w:color w:val="auto"/>
                <w:w w:val="96"/>
              </w:rPr>
              <w:t>Net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8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Life in Years</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Amortization</w:t>
            </w: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Value</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Amortization</w:t>
            </w: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Value</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Display driver technology</w:t>
            </w:r>
          </w:p>
        </w:tc>
        <w:tc>
          <w:tcPr>
            <w:tcW w:w="1440" w:type="dxa"/>
            <w:vAlign w:val="bottom"/>
            <w:shd w:val="clear" w:color="auto" w:fill="CFF0FC"/>
          </w:tcPr>
          <w:p>
            <w:pPr>
              <w:ind w:left="66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80" w:type="dxa"/>
            <w:vAlign w:val="bottom"/>
          </w:tcPr>
          <w:p>
            <w:pPr>
              <w:spacing w:after="0"/>
              <w:rPr>
                <w:sz w:val="20"/>
                <w:szCs w:val="20"/>
                <w:color w:val="auto"/>
              </w:rPr>
            </w:pPr>
            <w:r>
              <w:rPr>
                <w:rFonts w:ascii="Arial" w:cs="Arial" w:eastAsia="Arial" w:hAnsi="Arial"/>
                <w:sz w:val="18"/>
                <w:szCs w:val="18"/>
                <w:color w:val="auto"/>
              </w:rPr>
              <w:t>Audio and video</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1440" w:type="dxa"/>
            <w:vAlign w:val="bottom"/>
          </w:tcPr>
          <w:p>
            <w:pPr>
              <w:ind w:left="66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Fingerprint authentication</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technology</w:t>
            </w:r>
          </w:p>
        </w:tc>
        <w:tc>
          <w:tcPr>
            <w:tcW w:w="1440" w:type="dxa"/>
            <w:vAlign w:val="bottom"/>
            <w:shd w:val="clear" w:color="auto" w:fill="CFF0FC"/>
          </w:tcPr>
          <w:p>
            <w:pPr>
              <w:ind w:left="66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(47.2)</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(53.7)</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40" w:type="dxa"/>
            <w:vAlign w:val="bottom"/>
          </w:tcPr>
          <w:p>
            <w:pPr>
              <w:ind w:left="66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Licensed technology</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other</w:t>
            </w:r>
          </w:p>
        </w:tc>
        <w:tc>
          <w:tcPr>
            <w:tcW w:w="1440" w:type="dxa"/>
            <w:vAlign w:val="bottom"/>
            <w:shd w:val="clear" w:color="auto" w:fill="CFF0FC"/>
          </w:tcPr>
          <w:p>
            <w:pPr>
              <w:ind w:left="66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Tradename</w:t>
            </w:r>
          </w:p>
        </w:tc>
        <w:tc>
          <w:tcPr>
            <w:tcW w:w="1440" w:type="dxa"/>
            <w:vAlign w:val="bottom"/>
          </w:tcPr>
          <w:p>
            <w:pPr>
              <w:ind w:left="66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Patents</w:t>
            </w:r>
          </w:p>
        </w:tc>
        <w:tc>
          <w:tcPr>
            <w:tcW w:w="1440" w:type="dxa"/>
            <w:vAlign w:val="bottom"/>
            <w:shd w:val="clear" w:color="auto" w:fill="CFF0FC"/>
          </w:tcPr>
          <w:p>
            <w:pPr>
              <w:ind w:left="66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Backlog</w:t>
            </w:r>
          </w:p>
        </w:tc>
        <w:tc>
          <w:tcPr>
            <w:tcW w:w="1440" w:type="dxa"/>
            <w:vAlign w:val="bottom"/>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development</w:t>
            </w:r>
          </w:p>
        </w:tc>
        <w:tc>
          <w:tcPr>
            <w:tcW w:w="168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2"/>
              </w:rPr>
              <w:t>Not applicable</w:t>
            </w:r>
          </w:p>
        </w:tc>
        <w:tc>
          <w:tcPr>
            <w:tcW w:w="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480" w:type="dxa"/>
            <w:vAlign w:val="bottom"/>
          </w:tcPr>
          <w:p>
            <w:pPr>
              <w:ind w:left="260"/>
              <w:spacing w:after="0"/>
              <w:rPr>
                <w:sz w:val="20"/>
                <w:szCs w:val="20"/>
                <w:color w:val="auto"/>
              </w:rPr>
            </w:pPr>
            <w:r>
              <w:rPr>
                <w:rFonts w:ascii="Arial" w:cs="Arial" w:eastAsia="Arial" w:hAnsi="Arial"/>
                <w:sz w:val="18"/>
                <w:szCs w:val="18"/>
                <w:color w:val="auto"/>
              </w:rPr>
              <w:t>Acquired intangibles,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380"/>
              <w:spacing w:after="0"/>
              <w:rPr>
                <w:sz w:val="20"/>
                <w:szCs w:val="20"/>
                <w:color w:val="auto"/>
              </w:rPr>
            </w:pPr>
            <w:r>
              <w:rPr>
                <w:rFonts w:ascii="Arial" w:cs="Arial" w:eastAsia="Arial" w:hAnsi="Arial"/>
                <w:sz w:val="18"/>
                <w:szCs w:val="18"/>
                <w:color w:val="auto"/>
              </w:rPr>
              <w:t>gross</w:t>
            </w:r>
          </w:p>
        </w:tc>
        <w:tc>
          <w:tcPr>
            <w:tcW w:w="1440" w:type="dxa"/>
            <w:vAlign w:val="bottom"/>
          </w:tcPr>
          <w:p>
            <w:pPr>
              <w:ind w:left="66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(246.3)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199.2</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(236.9)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The total amortization expense for the acquired intangible assets was $20.0 million and $20.1 million for the three months ended September 30, 2018 and 2017, respectively. During the three months ended September 30, 2018 and 2017, $17.0 million and $16.0 million, respectively, of amortization expense was included in our condensed consolidated statements of operations in cost of revenue; the remainder was included in acquired intangibles amortization.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expected annual fiscal year aggregate amortization expense as of September 30, 2018 (in millions):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50.4</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 be determined</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Future amortization</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net tangible and identifiable intangible assets acquired. There were no changes in our goodwill balance for the three months ended September 30, 2018.</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7. Other Accrued Liabilities</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Other accrued liabilities consisted of the following (in millions):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5"/>
        </w:trPr>
        <w:tc>
          <w:tcPr>
            <w:tcW w:w="12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June 30,</w:t>
            </w:r>
          </w:p>
        </w:tc>
      </w:tr>
      <w:tr>
        <w:trPr>
          <w:trHeight w:val="230"/>
        </w:trPr>
        <w:tc>
          <w:tcPr>
            <w:tcW w:w="1200" w:type="dxa"/>
            <w:vAlign w:val="bottom"/>
          </w:tcPr>
          <w:p>
            <w:pPr>
              <w:spacing w:after="0"/>
              <w:rPr>
                <w:sz w:val="20"/>
                <w:szCs w:val="20"/>
                <w:color w:val="auto"/>
              </w:rPr>
            </w:pPr>
          </w:p>
        </w:tc>
        <w:tc>
          <w:tcPr>
            <w:tcW w:w="5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60" w:type="dxa"/>
            <w:vAlign w:val="bottom"/>
            <w:tcBorders>
              <w:bottom w:val="single" w:sz="8" w:color="CFF0FC"/>
            </w:tcBorders>
          </w:tcPr>
          <w:p>
            <w:pPr>
              <w:spacing w:after="0"/>
              <w:rPr>
                <w:sz w:val="20"/>
                <w:szCs w:val="20"/>
                <w:color w:val="auto"/>
              </w:rPr>
            </w:pPr>
          </w:p>
        </w:tc>
      </w:tr>
      <w:tr>
        <w:trPr>
          <w:trHeight w:val="223"/>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Customer Obligations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Inventory obligations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60" w:type="dxa"/>
            <w:vAlign w:val="bottom"/>
            <w:tcBorders>
              <w:bottom w:val="single" w:sz="8" w:color="CFF0FC"/>
            </w:tcBorders>
          </w:tcPr>
          <w:p>
            <w:pPr>
              <w:spacing w:after="0"/>
              <w:rPr>
                <w:sz w:val="19"/>
                <w:szCs w:val="19"/>
                <w:color w:val="auto"/>
              </w:rPr>
            </w:pPr>
          </w:p>
        </w:tc>
      </w:tr>
      <w:tr>
        <w:trPr>
          <w:trHeight w:val="223"/>
        </w:trPr>
        <w:tc>
          <w:tcPr>
            <w:tcW w:w="120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Customer obligations include $3.5 million of contract liabilities and $32.7 million of refund liabilities as of September 30, 2018, as defined under revenue recognition guidance of Topic 606 (see Note 2 Revenue Recognition). We reclassified certain amounts of incentive items to other current liabilities in our condensed consolidated balance sheet as of September 30, 2018 and presented them as part of customer obligations, from the contra accounts receivable upon adoption of Topic 606.</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Indemnifications, </w:t>
      </w:r>
      <w:r>
        <w:rPr>
          <w:rFonts w:ascii="Arial" w:cs="Arial" w:eastAsia="Arial" w:hAnsi="Arial"/>
          <w:sz w:val="16"/>
          <w:szCs w:val="16"/>
          <w:b w:val="1"/>
          <w:bCs w:val="1"/>
          <w:color w:val="auto"/>
        </w:rPr>
        <w:t>Contingencies</w:t>
      </w:r>
      <w:r>
        <w:rPr>
          <w:rFonts w:ascii="Arial" w:cs="Arial" w:eastAsia="Arial" w:hAnsi="Arial"/>
          <w:sz w:val="18"/>
          <w:szCs w:val="18"/>
          <w:b w:val="1"/>
          <w:bCs w:val="1"/>
          <w:color w:val="auto"/>
        </w:rPr>
        <w:t xml:space="preserve"> and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do not have a maximum stated liability. However, historical costs related to these indemnification provisions have not been significant. We have not recorded any liability in our condensed consolidated financial statements for such indemnification obligations.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24" w:lineRule="exact"/>
        <w:rPr>
          <w:sz w:val="20"/>
          <w:szCs w:val="20"/>
          <w:color w:val="auto"/>
        </w:rPr>
      </w:pPr>
    </w:p>
    <w:p>
      <w:pPr>
        <w:ind w:right="500" w:firstLine="518"/>
        <w:spacing w:after="0" w:line="342" w:lineRule="auto"/>
        <w:rPr>
          <w:sz w:val="20"/>
          <w:szCs w:val="20"/>
          <w:color w:val="auto"/>
        </w:rPr>
      </w:pPr>
      <w:r>
        <w:rPr>
          <w:rFonts w:ascii="Arial" w:cs="Arial" w:eastAsia="Arial" w:hAnsi="Arial"/>
          <w:sz w:val="16"/>
          <w:szCs w:val="16"/>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October 2015, Amkor Technology, or Amkor, filed a complaint against us alleging infringement of intellectual property rights and various other claims. In November 2015, we filed an indemnification claim against the former stockholders and option holders of Validity Sensors, Inc., or Validity, to secure our rights under the Agreement and Plan of Reorganization between us and Validity (the “Validity Agreement”). In April 2017, we agreed to settle this case with Amkor on undisclosed terms that include each party licensing and assigning certain intellectual property rights, and cash payments. Settlement costs incurred in connection with this litigation were recorded in our condensed consolidated financial statements in fiscal 2017 and all but an immaterial amount was paid during our fiscal 2017. Pursuant to the Validity Agreement, we offset costs, damages and settlements incurred in connection with our defense and resolution of the complaint with Amkor against the contingent consideration earnout balance of $8.7 million as of June 30, 2018. In September 2018, we entered into a final order settling the indemnification claim against the former stockholders and option holders of Validity under which we retained $1.9 million of the earnout balance and were required to pay the remainder in October 2018. The balance of $6.8 million is a current acquisition-related liability in our condensed consolidated balance sheet as of September 30, 2018.</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Our convertible debt consists of an original $525 million aggregate principal amount of 0.50% convertible senior notes due 2022, or the Notes, which were issued in a private placement transaction. The net proceeds from the Notes, after deducting discounts, were $514.5 million.</w:t>
      </w:r>
    </w:p>
    <w:p>
      <w:pPr>
        <w:spacing w:after="0" w:line="14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252525"/>
        </w:rPr>
        <w:t>The Notes bear interest at a rate of 0.50% per year, which is payable semi-annually in arrears, on June 15 and December 15 of each year.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5"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1" w:lineRule="exact"/>
        <w:rPr>
          <w:sz w:val="20"/>
          <w:szCs w:val="20"/>
          <w:color w:val="auto"/>
        </w:rPr>
      </w:pPr>
    </w:p>
    <w:p>
      <w:pPr>
        <w:ind w:right="820" w:firstLine="518"/>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24"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may not redeem the Notes prior to June 20, 2020. We may redeem for cash all or any portion of the Notes, at our option, on or after June 20, 2020,</w:t>
      </w:r>
      <w:r>
        <w:rPr>
          <w:rFonts w:ascii="Arial" w:cs="Arial" w:eastAsia="Arial" w:hAnsi="Arial"/>
          <w:sz w:val="18"/>
          <w:szCs w:val="18"/>
          <w:color w:val="auto"/>
        </w:rPr>
        <w:t xml:space="preserve"> </w:t>
      </w:r>
      <w:r>
        <w:rPr>
          <w:rFonts w:ascii="Arial" w:cs="Arial" w:eastAsia="Arial" w:hAnsi="Arial"/>
          <w:sz w:val="18"/>
          <w:szCs w:val="18"/>
          <w:color w:val="252525"/>
        </w:rPr>
        <w:t>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9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252525"/>
        </w:rPr>
        <w:t>As of the issuance date of the Notes, we recorded $82.1 million of the principal amount to equity, representing the debt discount for the difference between our estimated nonconvertible debt borrowing rate of 4.39% and the coupon rate of the Notes of 0.50% using a five-year life, which coincides with the term of the Notes. In addition, we allocated the total of $11.1 million of debt issuance costs, consisting of the Initial Purchaser’s discount of $10.5 million and legal, accounting, and printing costs of $579,000, pro rata, to the equity and debt components of the Notes, or $1.9 million and $9.2 million, respectively. The debt discount and the debt issuance costs allocated to the debt component of the Notes are amortized as interest expense using the effective interest method over five years.</w:t>
      </w:r>
    </w:p>
    <w:p>
      <w:pPr>
        <w:spacing w:after="0" w:line="193"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252525"/>
        </w:rPr>
        <w:t>The contractual interest expense and amortization of discount on the Notes for the three months ended September 30, 2018, were as follows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9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w:t>
            </w:r>
          </w:p>
        </w:tc>
      </w:tr>
      <w:tr>
        <w:trPr>
          <w:trHeight w:val="223"/>
        </w:trPr>
        <w:tc>
          <w:tcPr>
            <w:tcW w:w="90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90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FF0FC"/>
          </w:tcPr>
          <w:p>
            <w:pPr>
              <w:spacing w:after="0"/>
              <w:rPr>
                <w:sz w:val="19"/>
                <w:szCs w:val="19"/>
                <w:color w:val="auto"/>
              </w:rPr>
            </w:pPr>
          </w:p>
        </w:tc>
      </w:tr>
      <w:tr>
        <w:trPr>
          <w:trHeight w:val="230"/>
        </w:trPr>
        <w:tc>
          <w:tcPr>
            <w:tcW w:w="9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discount and debt issuance costs</w:t>
            </w: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FF0FC"/>
            </w:tcBorders>
          </w:tcPr>
          <w:p>
            <w:pPr>
              <w:spacing w:after="0"/>
              <w:rPr>
                <w:sz w:val="19"/>
                <w:szCs w:val="19"/>
                <w:color w:val="auto"/>
              </w:rPr>
            </w:pPr>
          </w:p>
        </w:tc>
      </w:tr>
      <w:tr>
        <w:trPr>
          <w:trHeight w:val="223"/>
        </w:trPr>
        <w:tc>
          <w:tcPr>
            <w:tcW w:w="9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unamortized amounts of the debt issuance costs and discount associated with the Notes as of September 30, 2018 were $7.0 million and $62.9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240" w:firstLine="518"/>
        <w:spacing w:after="0" w:line="272" w:lineRule="auto"/>
        <w:rPr>
          <w:sz w:val="20"/>
          <w:szCs w:val="20"/>
          <w:color w:val="auto"/>
        </w:rPr>
      </w:pPr>
      <w:r>
        <w:rPr>
          <w:rFonts w:ascii="Arial" w:cs="Arial" w:eastAsia="Arial" w:hAnsi="Arial"/>
          <w:sz w:val="17"/>
          <w:szCs w:val="17"/>
          <w:color w:val="auto"/>
        </w:rPr>
        <w:t>In September 2017, we entered into an Amendment and Restatement Agreement, or the Agreement, with the lenders that are party thereto, or the Lenders, and Wells Fargo Bank, National Association, as administrative agent for the Lenders. The Agreement terminated our prior term loan arrangement and provides for a revolving credit facility in a principal amount of up to $200 million, which includes a $20 million sublimit for letters of credit and a $20 million sublimit for swingline loans. Under the terms of the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 As of September 30, 2018, there is no balance outstanding under the revolving credit facility.</w:t>
      </w:r>
    </w:p>
    <w:p>
      <w:pPr>
        <w:spacing w:after="0" w:line="17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revolving credit facility is required to be repaid in full on the earlier of (i) September 27, 2022 and (ii) the date 91 days prior to the Maturity Date of the Notes if the Notes have not been refinanced in full by such date. Debt issuance costs of $2.3 million relating to the revolving credit facility will be amortized over 60 months.</w:t>
      </w:r>
    </w:p>
    <w:p>
      <w:pPr>
        <w:spacing w:after="0" w:line="18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Our obligations under the Agreement are guaranteed by the material domestic subsidiaries of our company, subject to certain exceptions (such material subsidiaries, together with our company, collectively, the Credit Parties). The obligations of the Credit Parties under the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 As of September 30, 2018, there is no balance outstanding under the revolving credit facility.</w:t>
      </w:r>
    </w:p>
    <w:p>
      <w:pPr>
        <w:spacing w:after="0" w:line="178"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Under the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3.50 to 1.00 provided that for the four fiscal quarters ending after the date of a material acquisition, such maximum leverage ratio shall be adjusted to 3.75 to 1.00, and thereafter, shall not be more than 3.50 to 1.00.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3.00 to 1.00. As of the end of the quarter, we were in compliance with the restrictive covenants.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Share-based compensation and the related tax benefit recognized in our condensed consolidated statements of operations were as follows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100" w:type="dxa"/>
            <w:vAlign w:val="bottom"/>
            <w:gridSpan w:val="4"/>
          </w:tcPr>
          <w:p>
            <w:pPr>
              <w:jc w:val="right"/>
              <w:ind w:right="3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1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rPr>
              <w:t>September 30,</w:t>
            </w:r>
          </w:p>
        </w:tc>
        <w:tc>
          <w:tcPr>
            <w:tcW w:w="420" w:type="dxa"/>
            <w:vAlign w:val="bottom"/>
            <w:tcBorders>
              <w:bottom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7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1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720" w:type="dxa"/>
            <w:vAlign w:val="bottom"/>
          </w:tcPr>
          <w:p>
            <w:pPr>
              <w:spacing w:after="0"/>
              <w:rPr>
                <w:sz w:val="22"/>
                <w:szCs w:val="22"/>
                <w:color w:val="auto"/>
              </w:rPr>
            </w:pPr>
          </w:p>
        </w:tc>
        <w:tc>
          <w:tcPr>
            <w:tcW w:w="3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61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16.7</w:t>
            </w:r>
          </w:p>
        </w:tc>
        <w:tc>
          <w:tcPr>
            <w:tcW w:w="18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16.5</w:t>
            </w: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Income tax benefit on share-based compensation</w:t>
            </w:r>
          </w:p>
        </w:tc>
        <w:tc>
          <w:tcPr>
            <w:tcW w:w="17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61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40" w:type="dxa"/>
            <w:vAlign w:val="bottom"/>
            <w:vMerge w:val="restart"/>
          </w:tcPr>
          <w:p>
            <w:pPr>
              <w:jc w:val="right"/>
              <w:ind w:right="1290"/>
              <w:spacing w:after="0"/>
              <w:rPr>
                <w:sz w:val="20"/>
                <w:szCs w:val="20"/>
                <w:color w:val="auto"/>
              </w:rPr>
            </w:pPr>
            <w:r>
              <w:rPr>
                <w:rFonts w:ascii="Arial" w:cs="Arial" w:eastAsia="Arial" w:hAnsi="Arial"/>
                <w:sz w:val="18"/>
                <w:szCs w:val="18"/>
                <w:color w:val="auto"/>
              </w:rPr>
              <w:t>14</w:t>
            </w: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72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06" w:right="219" w:bottom="1440" w:gutter="0" w:footer="0" w:header="0"/>
        </w:sectPr>
      </w:pPr>
    </w:p>
    <w:bookmarkStart w:id="14" w:name="page15"/>
    <w:bookmarkEnd w:id="14"/>
    <w:p>
      <w:pPr>
        <w:ind w:right="60" w:firstLine="518"/>
        <w:spacing w:after="0" w:line="264" w:lineRule="auto"/>
        <w:rPr>
          <w:sz w:val="20"/>
          <w:szCs w:val="20"/>
          <w:color w:val="auto"/>
        </w:rPr>
      </w:pPr>
      <w:r>
        <w:rPr>
          <w:rFonts w:ascii="Arial" w:cs="Arial" w:eastAsia="Arial" w:hAnsi="Arial"/>
          <w:sz w:val="18"/>
          <w:szCs w:val="18"/>
          <w:color w:val="auto"/>
        </w:rPr>
        <w:t>Historically, we have issued new shares in connection with our share-based compensation plans, however, treasury shares are also available for issuance. Any additional shares repurchased under our common stock repurchase program will be available for issuance under our share-based compensation plans.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Stock option activity, including stock options granted, exercised, and forfeited, weighted average exercise prices for stock options outstanding and exercisable, and the aggregate intrinsic value were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Weighted</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Option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Awards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Outstanding</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Price</w:t>
            </w:r>
          </w:p>
        </w:tc>
        <w:tc>
          <w:tcPr>
            <w:tcW w:w="8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2018</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1,618,209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57.14</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(73,362)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28.60</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(17,923)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70.09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30, 2018</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1,526,924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58.36</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2018</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58.61</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vMerge w:val="continue"/>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1,348,071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aggregate intrinsic value was determined using the closing price of our common stock on September 28, 2018 of $45.62 and excludes the impact of stock options that were not in-the-money.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activity, including DSUs granted, delivered, and forfeited, and the balance and aggregate intrinsic value of DSUs were as follows: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DSU</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54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1,853,558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110,135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Delivered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(84,433)</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(73,349)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30, 2018</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1,805,911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September 28, 2018 of $45.62.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shares delivered, 17,416 shares valued at $0.9 million were withheld to meet statutory tax withholding requirements.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Stock Units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Amended and Restated 2010 Incentive Compensation Plan provides for the grant of MSU awards to our employees, consultants, and directors. An MSU is a promise to deliver shares of our common stock at a future date based on the achievement of market-based performance requirements in accordance with the terms of the MSU grant agreement.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5" w:name="page16"/>
    <w:bookmarkEnd w:id="15"/>
    <w:p>
      <w:pPr>
        <w:ind w:firstLine="518"/>
        <w:spacing w:after="0" w:line="272" w:lineRule="auto"/>
        <w:rPr>
          <w:sz w:val="20"/>
          <w:szCs w:val="20"/>
          <w:color w:val="auto"/>
        </w:rPr>
      </w:pPr>
      <w:r>
        <w:rPr>
          <w:rFonts w:ascii="Arial" w:cs="Arial" w:eastAsia="Arial" w:hAnsi="Arial"/>
          <w:sz w:val="17"/>
          <w:szCs w:val="17"/>
          <w:color w:val="auto"/>
        </w:rPr>
        <w:t>We have granted MSUs to our executive officers and other management members, which are designed to vest in three tranches with the target quantity for each tranche equal to one-third of the total MSU grant. The first tranche vests based on a one-year performance period; the second tranche vests based on a two-year performance period; and the third tranche vests based on a three-year performance period. Performance is measured based on the achievement of a specified level of total stockholder return, or TSR, relative to the TSR of the S&amp;P Semiconductor Select Industry Index, or SPSISC Index, for grants made beginning in fiscal 2018, and relative to the Philadelphia Semiconductor Index, or SOX Index, for grants made prior to fiscal 2018. The potential payout ranges from 0% to 200% of the grant target quantity and is adjusted on a two-to-one ratio based on our TSR performance relative to the SPSISC Index TSR or SOX Index TSR using the following formula:</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 + ([Synaptics TSR — {SPSISC Index TSR or SOX Index TSR}] x 2))</w:t>
      </w:r>
    </w:p>
    <w:p>
      <w:pPr>
        <w:spacing w:after="0" w:line="225"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The payout for the first tranche and the second tranche will not exceed 100% and the payout for the third tranche will be calculated based on the total target quantity for the entire grant multiplied by the payout factor, based on performance for the three-year performance period, less shares issued for the first tranche and the second tranche.</w:t>
      </w:r>
    </w:p>
    <w:p>
      <w:pPr>
        <w:spacing w:after="0" w:line="18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MSU award.</w:t>
      </w:r>
    </w:p>
    <w:p>
      <w:pPr>
        <w:spacing w:after="0" w:line="18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During the three months ended September 30, 2018, MSU activity, including MSUs granted, delivered, and forfeited, and the balance and aggregate intrinsic value of MSUs as of September 30, 2018 was as follows: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MSU</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54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354,726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Performance adjustment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Delivered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(2,688)</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Balance as of September 30, 2018</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352,038</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value MSUs using the Monte Carlo simulation model on the date of grant and amortize the compensation expense over the three-year performance and service period on a straight-line basis. The unrecognized share-based compensation cost of our outstanding MSUs was approximately $11.8 million as of September 30, 2018, which will be recognized over a weighted average period of approximately 1.3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Amended and Restated 2010 Incentive Compensation Plan provides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181"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We have granted PSUs to our executive officers and other management members, which are designed to vest in three tranches with the target quantity for each tranche equal to one-third of the total PSU grant. The grants have a specific one-year performance period and vesting occurs over three service periods with the final service period ending approximately three years from the grant date. Performance is measured based on the achievement of a specified level of non-GAAP earnings per share. The potential payout ranges from 0% to 200% of the grant target quantity and is adjusted on a linear basis with a payout triggering if our non-GAAP earnings per share equals greater than 65% of the target with a maximum payout achieved at 135% of target.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6" w:name="page17"/>
    <w:bookmarkEnd w:id="16"/>
    <w:p>
      <w:pPr>
        <w:ind w:right="180" w:firstLine="518"/>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PSU grant agreement, assuming the grantee is still an employee, consultant, or director of our company at the end of the applicable service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PSU award.</w:t>
      </w:r>
    </w:p>
    <w:p>
      <w:pPr>
        <w:spacing w:after="0" w:line="18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During the three months ended September 30, 2018, PSU activity, including PSUs granted, delivered, and forfeited, and the balance and aggregate intrinsic value of PSUs as of September 30, 2018 was as follows: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PSU</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54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294,541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Delivered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30, 2018</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291,853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We value PSUs using the aggregate intrinsic value on the date of grant and amortize the compensation expense over the three-year service period on a ratable basis, dependent upon the probability of meeting the performance measures. The unrecognized share-based compensation cost of our outstanding PSUs was approximately $6.0 million as of September 30, 2018, which will be recognized over a weighted average period of approximately 1.2 years.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employee stock purchase plan purchases during the three-month period ended September 30, 2018.</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On December 22, 2017, the U.S. government enacted comprehensive tax legislation, commonly known as the Tax Cuts and Jobs Act of 2017, or the Act, which significantly reforms the Internal Revenue Code of 1986, as amended. The Act contains broad and complex changes to corporate taxation, including, in part, reduction of the U.S. federal corporate tax rate from 35% to 21%, requires companies to pay a one-time transition tax on earnings of certain foreign subsidiaries that were previously considered permanently reinvested, and creates new taxes on certain foreign sourced earnings. As our accounting and tax year is the fiscal period ending on the last Saturday in June, U.S. federal tax law requires that taxpayers with a fiscal year that spans the effective date of a rate change to calculate a blended tax rate based on the pro rata number of days in the fiscal year before and after the effective date. As a result, our U.S. federal tax rate for fiscal 2018 was a days-weighted blended tax rate of 28.17%. For fiscal 2019 and subsequent tax years, our U.S. federal tax rate will be 21%.</w:t>
      </w:r>
    </w:p>
    <w:p>
      <w:pPr>
        <w:spacing w:after="0" w:line="192"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In fiscal 2018, we recognized provisional tax expense of $41.4 million, related to the tax impact of the Act, of which an expense of $44.1 million relates to the one-time transition tax and a benefit of $2.7 million relates to remeasurement of deferred tax at the new tax rate. As of September 30, 2018, we further analyzed these provisions and, as there were no material changes, no adjustment was made to amounts recognized in fiscal 2018.</w:t>
      </w:r>
    </w:p>
    <w:p>
      <w:pPr>
        <w:spacing w:after="0" w:line="166"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As of September 30, 2018, pending any additional technical guidance, the Company has, in many cases, finalized our accounting for the tax impact of the Act. We have completed our analysis regarding the remeasurement of deferred tax at the new rate, limitations on deduction of officer’s compensation, interest deduction, and net operating loss and the repeal of the Alternative Minimum Tax. We are still in the process of finalizing calculations related to the one-time transition tax.</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Global Intangible Low-Tax Income, or GILTI, which is a provision under the Act, imposes a tax on foreign income in excess of a deemed return on tangible assets of foreign corporations. GILTI requires an accounting policy election of either (1) treating taxes due on future U.S. inclusions in taxable income related to GILTI as a current period expense when incurred or (2) factoring such amounts into the Company’s measurement of its deferred taxes. The Company has elected to treat GILTI as a current period expense.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 w:name="page18"/>
    <w:bookmarkEnd w:id="17"/>
    <w:p>
      <w:pPr>
        <w:ind w:firstLine="518"/>
        <w:spacing w:after="0" w:line="259" w:lineRule="auto"/>
        <w:rPr>
          <w:sz w:val="20"/>
          <w:szCs w:val="20"/>
          <w:color w:val="auto"/>
        </w:rPr>
      </w:pPr>
      <w:r>
        <w:rPr>
          <w:rFonts w:ascii="Arial" w:cs="Arial" w:eastAsia="Arial" w:hAnsi="Arial"/>
          <w:sz w:val="18"/>
          <w:szCs w:val="18"/>
          <w:color w:val="auto"/>
        </w:rPr>
        <w:t>The one-time transition tax is based on our post-1986 foreign earnings and profits, or E&amp;P, which we previously excluded from U.S. income taxes due to our position that we would permanently reinvest foreign future earnings. The one-time transition tax is applied at a 15.5% tax rate on cash assets and an 8% tax rate for other specified assets. We recorded a provisional amount for this one-time transition tax liability for our foreign subsidiaries, resulting in an increase in income tax liability of $11.6 million, net of foreign tax credits and research credits.</w:t>
      </w:r>
    </w:p>
    <w:p>
      <w:pPr>
        <w:spacing w:after="0" w:line="187"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We have not yet completed our calculation of the total post-1986 foreign E&amp;P for these foreign subsidiaries. This amount may change when we finalize the determination of our E&amp;P previously deferred from U.S. federal taxation and finalize the amounts held in cash or other specified assets. No additional income taxes have been provided for any remaining undistributed foreign earnings not subject to the transition tax and any additional outside basis difference inherent in these entities as these amounts continue to be indefinitely reinvested in foreign operations. We do not have the necessary information prepared or analyzed to develop a reasonable estimate of the tax liability, if any, for our remaining outside basis difference including any deferred tax accounting that may be required due to other provisions in the Act beyond the one-time transition tax and the remeasurement of deferred tax under the new tax rate, including how that accounting may be affected by our ongoing accounting position to indefinitely reinvest unremitted foreign earnings.</w:t>
      </w:r>
    </w:p>
    <w:p>
      <w:pPr>
        <w:spacing w:after="0" w:line="16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recorded by applying the estimated annual effective tax rate to year-to-date income before provision for income taxes, excluding the effects of significant unusual or infrequently occurring discrete items. The tax effects of discrete items are recorded in the same period that the related discrete items are reported and results in a difference between the actual effective tax rate and the estimated annual effective tax rate.</w:t>
      </w:r>
    </w:p>
    <w:p>
      <w:pPr>
        <w:spacing w:after="0" w:line="187" w:lineRule="exact"/>
        <w:rPr>
          <w:sz w:val="20"/>
          <w:szCs w:val="20"/>
          <w:color w:val="auto"/>
        </w:rPr>
      </w:pPr>
    </w:p>
    <w:p>
      <w:pPr>
        <w:ind w:right="160" w:firstLine="518"/>
        <w:spacing w:after="0" w:line="295" w:lineRule="auto"/>
        <w:rPr>
          <w:sz w:val="20"/>
          <w:szCs w:val="20"/>
          <w:color w:val="auto"/>
        </w:rPr>
      </w:pPr>
      <w:r>
        <w:rPr>
          <w:rFonts w:ascii="Arial" w:cs="Arial" w:eastAsia="Arial" w:hAnsi="Arial"/>
          <w:sz w:val="16"/>
          <w:szCs w:val="16"/>
          <w:color w:val="auto"/>
        </w:rPr>
        <w:t>The benefit for income taxes of $(0.3) million and provision for income taxes of $3.2 million for the three months ended September 30, 2018 and 2017, respectively, represented estimated federal, foreign, and state income taxes. The effective tax rate for the three months ended September 30, 2018 diverged from the combined U.S. federal and state statutory tax rate primarily because of the benefit of research credits, foreign tax credits, foreign-derived intangible income deduction, excess share-based compensation deductions, release of reserves related to uncertain tax positions and foreign income taxed at lower tax rates, partially offset by foreign withholding taxes, nondeductible amortization, the impact of accounting for qualified stock options and global intangible low-taxed income. The effective tax rate for the three months ended September 30, 2017, diverged from the combined U.S. federal and state statutory tax rate, primarily because of foreign withholding taxes, nondeductible amortization, nondeductible payroll deposit penalties, and the impact of accounting for qualified stock options, partially offset by foreign income taxed at lower tax rates and research credits.</w:t>
      </w:r>
    </w:p>
    <w:p>
      <w:pPr>
        <w:spacing w:after="0" w:line="163"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The total liability for gross unrecognized tax benefits related to uncertain tax positions decreased $1.0 million during the three months ended September 30, 2018, to $23.8 million from $24.8 million at June 30, 2018,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September 30, 2018 were $2.0 million; this balance increased by $0.1 million compared to June 30, 2018. We classify interest and penalties as components of income tax expense. It is reasonably possible that the amount of the liability for unrecognized tax benefits may change within the next twelve months and an estimate of the range of possible changes include an increase in our liability of up to $4.3 million.</w:t>
      </w:r>
    </w:p>
    <w:p>
      <w:pPr>
        <w:spacing w:after="0" w:line="189"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July 2018, the U.S. Ninth Circuit Court of Appeals reversed the 2015 decision of the U.S. Tax Court in Altera Corp. v. Commissioner which found that the Treasury regulations addressing the treatment of stock-based compensation in a cost-sharing arrangement with a related party were invalid. In August 2018, the U.S. Ninth Circuit Court of Appeals withdrew its July 2018 opinion to allow time for the reconstituted panel to confer on this appeal. As our tax filing position is consistent with the Treasury regulations, we determined no adjustment to our financial statements is required, however, due to the uncertainties with respect to the ultimate resolution, we will continue to monitor developments in this case.</w:t>
      </w:r>
    </w:p>
    <w:p>
      <w:pPr>
        <w:spacing w:after="0" w:line="173"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Our major tax jurisdictions are the United States, Hong Kong SAR, and Japan. From fiscal 2013 onward, we remain subject to examination by one or more of these jurisdictions. In August 2018, we received the revenue agent’s report resolving the fiscal 2014 and 2015 examination with the Internal Revenue Service with no material impact on our consolidated financial statements. Our case is pending review by the Joint Committee on Taxation, which we anticipate will conclude in August 2019.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12. Segment, Customers, and Geographic Information</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operate in one segment: the development, marketing, and sale of semiconductor products used in electronic devices and products. We generate our revenue from three broad product categories: the mobile product market, the personal computing, or PC, product market, and the Internet of Things product market, or IoT. We sell our products to original equipment manufacturers, or OEMs, and to contract manufacturers that provide manufacturing services to OEMs.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within geographic areas based on our customers’ locations for the periods presented was as follows (in millions):</w:t>
      </w:r>
    </w:p>
    <w:p>
      <w:pPr>
        <w:spacing w:after="0" w:line="239"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5"/>
          </w:tcPr>
          <w:p>
            <w:pPr>
              <w:jc w:val="center"/>
              <w:ind w:left="357"/>
              <w:spacing w:after="0"/>
              <w:rPr>
                <w:sz w:val="20"/>
                <w:szCs w:val="20"/>
                <w:color w:val="auto"/>
              </w:rPr>
            </w:pPr>
            <w:r>
              <w:rPr>
                <w:rFonts w:ascii="Arial" w:cs="Arial" w:eastAsia="Arial" w:hAnsi="Arial"/>
                <w:sz w:val="18"/>
                <w:szCs w:val="18"/>
                <w:color w:val="auto"/>
                <w:w w:val="90"/>
              </w:rPr>
              <w:t>Three Months Ended</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405"/>
              <w:spacing w:after="0"/>
              <w:rPr>
                <w:sz w:val="20"/>
                <w:szCs w:val="20"/>
                <w:color w:val="auto"/>
              </w:rPr>
            </w:pPr>
            <w:r>
              <w:rPr>
                <w:rFonts w:ascii="Arial" w:cs="Arial" w:eastAsia="Arial" w:hAnsi="Arial"/>
                <w:sz w:val="18"/>
                <w:szCs w:val="18"/>
                <w:color w:val="auto"/>
                <w:w w:val="88"/>
              </w:rPr>
              <w:t>September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China</w:t>
            </w: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5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227.8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209.7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Taiwan</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South Korea</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9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5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417.6</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417.4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w w:val="93"/>
              </w:rPr>
              <w:t>Net revenue from our customers for each group of similar products was as follows (in millions):</w:t>
            </w: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jc w:val="center"/>
              <w:ind w:left="357"/>
              <w:spacing w:after="0"/>
              <w:rPr>
                <w:sz w:val="20"/>
                <w:szCs w:val="20"/>
                <w:color w:val="auto"/>
              </w:rPr>
            </w:pPr>
            <w:r>
              <w:rPr>
                <w:rFonts w:ascii="Arial" w:cs="Arial" w:eastAsia="Arial" w:hAnsi="Arial"/>
                <w:sz w:val="18"/>
                <w:szCs w:val="18"/>
                <w:color w:val="auto"/>
                <w:w w:val="90"/>
              </w:rPr>
              <w:t>Three Months Ended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405"/>
              <w:spacing w:after="0"/>
              <w:rPr>
                <w:sz w:val="20"/>
                <w:szCs w:val="20"/>
                <w:color w:val="auto"/>
              </w:rPr>
            </w:pPr>
            <w:r>
              <w:rPr>
                <w:rFonts w:ascii="Arial" w:cs="Arial" w:eastAsia="Arial" w:hAnsi="Arial"/>
                <w:sz w:val="18"/>
                <w:szCs w:val="18"/>
                <w:color w:val="auto"/>
                <w:w w:val="88"/>
              </w:rPr>
              <w:t>September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5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262.7</w:t>
            </w:r>
          </w:p>
        </w:tc>
        <w:tc>
          <w:tcPr>
            <w:tcW w:w="260" w:type="dxa"/>
            <w:vAlign w:val="bottom"/>
            <w:tcBorders>
              <w:top w:val="single" w:sz="8" w:color="CFF0FC"/>
            </w:tcBorders>
            <w:gridSpan w:val="2"/>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292.9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IoT product applications</w:t>
            </w:r>
          </w:p>
        </w:tc>
        <w:tc>
          <w:tcPr>
            <w:tcW w:w="1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757"/>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417.6</w:t>
            </w:r>
          </w:p>
        </w:tc>
        <w:tc>
          <w:tcPr>
            <w:tcW w:w="260" w:type="dxa"/>
            <w:vAlign w:val="bottom"/>
            <w:gridSpan w:val="2"/>
          </w:tcPr>
          <w:p>
            <w:pPr>
              <w:spacing w:after="0"/>
              <w:rPr>
                <w:sz w:val="19"/>
                <w:szCs w:val="19"/>
                <w:color w:val="auto"/>
              </w:rPr>
            </w:pP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9400" w:type="dxa"/>
            <w:vAlign w:val="bottom"/>
            <w:gridSpan w:val="6"/>
          </w:tcPr>
          <w:p>
            <w:pPr>
              <w:ind w:left="220"/>
              <w:spacing w:after="0"/>
              <w:rPr>
                <w:sz w:val="20"/>
                <w:szCs w:val="20"/>
                <w:color w:val="auto"/>
              </w:rPr>
            </w:pPr>
            <w:r>
              <w:rPr>
                <w:rFonts w:ascii="Arial" w:cs="Arial" w:eastAsia="Arial" w:hAnsi="Arial"/>
                <w:sz w:val="18"/>
                <w:szCs w:val="18"/>
                <w:color w:val="auto"/>
              </w:rPr>
              <w:t>Net revenue from major customers as a percentage of total net revenue for the periods presented was as follows:</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5"/>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32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160" w:type="dxa"/>
            <w:vAlign w:val="bottom"/>
            <w:tcBorders>
              <w:bottom w:val="single" w:sz="8" w:color="auto"/>
            </w:tcBorders>
            <w:gridSpan w:val="3"/>
          </w:tcPr>
          <w:p>
            <w:pPr>
              <w:jc w:val="center"/>
              <w:ind w:left="870"/>
              <w:spacing w:after="0"/>
              <w:rPr>
                <w:sz w:val="20"/>
                <w:szCs w:val="20"/>
                <w:color w:val="auto"/>
              </w:rPr>
            </w:pPr>
            <w:r>
              <w:rPr>
                <w:rFonts w:ascii="Arial" w:cs="Arial" w:eastAsia="Arial" w:hAnsi="Arial"/>
                <w:sz w:val="18"/>
                <w:szCs w:val="18"/>
                <w:color w:val="auto"/>
                <w:w w:val="88"/>
              </w:rPr>
              <w:t>September 30,</w:t>
            </w:r>
          </w:p>
        </w:tc>
        <w:tc>
          <w:tcPr>
            <w:tcW w:w="9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Borders>
              <w:bottom w:val="single" w:sz="8" w:color="CFF0FC"/>
            </w:tcBorders>
          </w:tcPr>
          <w:p>
            <w:pPr>
              <w:spacing w:after="0"/>
              <w:rPr>
                <w:sz w:val="19"/>
                <w:szCs w:val="19"/>
                <w:color w:val="auto"/>
              </w:rPr>
            </w:pPr>
          </w:p>
        </w:tc>
        <w:tc>
          <w:tcPr>
            <w:tcW w:w="524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FF0FC"/>
            </w:tcBorders>
          </w:tcPr>
          <w:p>
            <w:pPr>
              <w:spacing w:after="0"/>
              <w:rPr>
                <w:sz w:val="19"/>
                <w:szCs w:val="19"/>
                <w:color w:val="auto"/>
              </w:rPr>
            </w:pPr>
          </w:p>
        </w:tc>
      </w:tr>
      <w:tr>
        <w:trPr>
          <w:trHeight w:val="223"/>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A</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C</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107"/>
        </w:trPr>
        <w:tc>
          <w:tcPr>
            <w:tcW w:w="30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gridSpan w:val="2"/>
          </w:tcPr>
          <w:p>
            <w:pPr>
              <w:spacing w:after="0"/>
              <w:rPr>
                <w:sz w:val="9"/>
                <w:szCs w:val="9"/>
                <w:color w:val="auto"/>
              </w:rPr>
            </w:pPr>
          </w:p>
        </w:tc>
        <w:tc>
          <w:tcPr>
            <w:tcW w:w="5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264"/>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40" w:type="dxa"/>
            <w:vAlign w:val="bottom"/>
            <w:gridSpan w:val="3"/>
          </w:tcPr>
          <w:p>
            <w:pPr>
              <w:ind w:left="220"/>
              <w:spacing w:after="0"/>
              <w:rPr>
                <w:sz w:val="20"/>
                <w:szCs w:val="20"/>
                <w:color w:val="auto"/>
              </w:rPr>
            </w:pPr>
            <w:r>
              <w:rPr>
                <w:rFonts w:ascii="Arial" w:cs="Arial" w:eastAsia="Arial" w:hAnsi="Arial"/>
                <w:sz w:val="18"/>
                <w:szCs w:val="18"/>
                <w:color w:val="auto"/>
              </w:rPr>
              <w:t>Less than 10%</w:t>
            </w:r>
          </w:p>
        </w:tc>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r>
    </w:tbl>
    <w:p>
      <w:pPr>
        <w:spacing w:after="0" w:line="229"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September 30,</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June 30,</w:t>
            </w:r>
          </w:p>
        </w:tc>
      </w:tr>
      <w:tr>
        <w:trPr>
          <w:trHeight w:val="230"/>
        </w:trPr>
        <w:tc>
          <w:tcPr>
            <w:tcW w:w="580" w:type="dxa"/>
            <w:vAlign w:val="bottom"/>
          </w:tcPr>
          <w:p>
            <w:pPr>
              <w:spacing w:after="0"/>
              <w:rPr>
                <w:sz w:val="20"/>
                <w:szCs w:val="20"/>
                <w:color w:val="auto"/>
              </w:rPr>
            </w:pPr>
          </w:p>
        </w:tc>
        <w:tc>
          <w:tcPr>
            <w:tcW w:w="1720" w:type="dxa"/>
            <w:vAlign w:val="bottom"/>
            <w:tcBorders>
              <w:bottom w:val="single" w:sz="8" w:color="CFF0FC"/>
            </w:tcBorders>
          </w:tcPr>
          <w:p>
            <w:pPr>
              <w:spacing w:after="0"/>
              <w:rPr>
                <w:sz w:val="20"/>
                <w:szCs w:val="20"/>
                <w:color w:val="auto"/>
              </w:rPr>
            </w:pPr>
          </w:p>
        </w:tc>
        <w:tc>
          <w:tcPr>
            <w:tcW w:w="5240" w:type="dxa"/>
            <w:vAlign w:val="bottom"/>
            <w:tcBorders>
              <w:bottom w:val="single" w:sz="8" w:color="CFF0FC"/>
            </w:tcBorders>
          </w:tcPr>
          <w:p>
            <w:pPr>
              <w:spacing w:after="0"/>
              <w:rPr>
                <w:sz w:val="20"/>
                <w:szCs w:val="20"/>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CFF0FC"/>
            </w:tcBorders>
          </w:tcPr>
          <w:p>
            <w:pPr>
              <w:spacing w:after="0"/>
              <w:rPr>
                <w:sz w:val="20"/>
                <w:szCs w:val="20"/>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FF0FC"/>
            </w:tcBorders>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A</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58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580" w:type="dxa"/>
            <w:vAlign w:val="bottom"/>
          </w:tcPr>
          <w:p>
            <w:pPr>
              <w:spacing w:after="0"/>
              <w:rPr>
                <w:sz w:val="19"/>
                <w:szCs w:val="19"/>
                <w:color w:val="auto"/>
              </w:rPr>
            </w:pPr>
          </w:p>
        </w:tc>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C</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r>
      <w:tr>
        <w:trPr>
          <w:trHeight w:val="108"/>
        </w:trPr>
        <w:tc>
          <w:tcPr>
            <w:tcW w:w="5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5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40"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Comprehensive Income/(Loss)</w:t>
      </w:r>
    </w:p>
    <w:p>
      <w:pPr>
        <w:spacing w:after="0" w:line="1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Our comprehensive income/(loss) generally consists of net income/(loss) plus the effect of unrealized gains and losses on our investments, primarily due to temporary changes in market value of certain of our ARS investments. In addition, we recognize the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9" w:name="page20"/>
    <w:bookmarkEnd w:id="19"/>
    <w:p>
      <w:pPr>
        <w:ind w:right="80"/>
        <w:spacing w:after="0" w:line="264" w:lineRule="auto"/>
        <w:rPr>
          <w:sz w:val="20"/>
          <w:szCs w:val="20"/>
          <w:color w:val="auto"/>
        </w:rPr>
      </w:pPr>
      <w:r>
        <w:rPr>
          <w:rFonts w:ascii="Arial" w:cs="Arial" w:eastAsia="Arial" w:hAnsi="Arial"/>
          <w:sz w:val="18"/>
          <w:szCs w:val="18"/>
          <w:color w:val="auto"/>
        </w:rPr>
        <w:t>noncredit portion of other-than-temporary impairment on debt securities in other comprehensive income/(loss). We recognize foreign currency remeasurement adjustments and foreign currency transaction gains and losses in our condensed consolidated statements of operations as the U.S. dollar is the functional currency of our foreign entities.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Activities</w:t>
      </w:r>
    </w:p>
    <w:p>
      <w:pPr>
        <w:spacing w:after="0" w:line="121"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In November 2017, we committed to and initiated a restructuring action intended to streamline and reduce our operating cost structure and capitalize on acquisition synergies. These costs primarily related to severance costs for a reduction in headcount, facility consolidation and related costs. In April 2018, we committed to and initiated a restructuring to close a research and development facility. These costs included employee severance and related benefits and facility closure charges. Restructuring costs related to the November 2017 and April 2018 restructuring activities were recorded to the restructuring costs line item within our condensed consolidated statements of operations and are complete as of September 30, 2018.</w:t>
      </w:r>
    </w:p>
    <w:p>
      <w:pPr>
        <w:spacing w:after="0" w:line="15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restructuring liability activities for these fiscal 2018 initiated activities during the three months ended September 30, 2018 were as follows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Employee Severance</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Facility Consolidation</w:t>
            </w: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00" w:type="dxa"/>
            <w:vAlign w:val="bottom"/>
          </w:tcPr>
          <w:p>
            <w:pPr>
              <w:spacing w:after="0"/>
              <w:rPr>
                <w:sz w:val="20"/>
                <w:szCs w:val="20"/>
                <w:color w:val="auto"/>
              </w:rPr>
            </w:pPr>
          </w:p>
        </w:tc>
        <w:tc>
          <w:tcPr>
            <w:tcW w:w="1880" w:type="dxa"/>
            <w:vAlign w:val="bottom"/>
          </w:tcPr>
          <w:p>
            <w:pPr>
              <w:jc w:val="right"/>
              <w:ind w:right="257"/>
              <w:spacing w:after="0"/>
              <w:rPr>
                <w:sz w:val="20"/>
                <w:szCs w:val="20"/>
                <w:color w:val="auto"/>
              </w:rPr>
            </w:pPr>
            <w:r>
              <w:rPr>
                <w:rFonts w:ascii="Arial" w:cs="Arial" w:eastAsia="Arial" w:hAnsi="Arial"/>
                <w:sz w:val="18"/>
                <w:szCs w:val="18"/>
                <w:color w:val="auto"/>
              </w:rPr>
              <w:t>and Benefits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and Related Charges</w:t>
            </w:r>
          </w:p>
        </w:tc>
        <w:tc>
          <w:tcPr>
            <w:tcW w:w="500" w:type="dxa"/>
            <w:vAlign w:val="bottom"/>
          </w:tcPr>
          <w:p>
            <w:pPr>
              <w:spacing w:after="0"/>
              <w:rPr>
                <w:sz w:val="20"/>
                <w:szCs w:val="20"/>
                <w:color w:val="auto"/>
              </w:rPr>
            </w:pPr>
          </w:p>
        </w:tc>
        <w:tc>
          <w:tcPr>
            <w:tcW w:w="1800" w:type="dxa"/>
            <w:vAlign w:val="bottom"/>
            <w:gridSpan w:val="2"/>
          </w:tcPr>
          <w:p>
            <w:pPr>
              <w:jc w:val="right"/>
              <w:ind w:right="1040"/>
              <w:spacing w:after="0"/>
              <w:rPr>
                <w:sz w:val="20"/>
                <w:szCs w:val="20"/>
                <w:color w:val="auto"/>
              </w:rPr>
            </w:pPr>
            <w:r>
              <w:rPr>
                <w:rFonts w:ascii="Arial" w:cs="Arial" w:eastAsia="Arial" w:hAnsi="Arial"/>
                <w:sz w:val="18"/>
                <w:szCs w:val="18"/>
                <w:color w:val="auto"/>
              </w:rPr>
              <w:t>Total</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2018</w:t>
            </w:r>
          </w:p>
        </w:tc>
        <w:tc>
          <w:tcPr>
            <w:tcW w:w="1880" w:type="dxa"/>
            <w:vAlign w:val="bottom"/>
            <w:tcBorders>
              <w:top w:val="single" w:sz="8" w:color="auto"/>
            </w:tcBorders>
            <w:shd w:val="clear" w:color="auto" w:fill="CFF0FC"/>
          </w:tcPr>
          <w:p>
            <w:pPr>
              <w:jc w:val="right"/>
              <w:ind w:right="171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Accruals</w:t>
            </w:r>
          </w:p>
        </w:tc>
        <w:tc>
          <w:tcPr>
            <w:tcW w:w="18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Cash payments</w:t>
            </w:r>
          </w:p>
        </w:tc>
        <w:tc>
          <w:tcPr>
            <w:tcW w:w="1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7"/>
              </w:rPr>
              <w:t>(2.4)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r>
      <w:tr>
        <w:trPr>
          <w:trHeight w:val="230"/>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Non-cash settlements</w:t>
            </w:r>
          </w:p>
        </w:tc>
        <w:tc>
          <w:tcPr>
            <w:tcW w:w="1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30, 2018</w:t>
            </w:r>
          </w:p>
        </w:tc>
        <w:tc>
          <w:tcPr>
            <w:tcW w:w="1880" w:type="dxa"/>
            <w:vAlign w:val="bottom"/>
            <w:tcBorders>
              <w:bottom w:val="single" w:sz="8" w:color="auto"/>
            </w:tcBorders>
            <w:shd w:val="clear" w:color="auto" w:fill="CFF0FC"/>
          </w:tcPr>
          <w:p>
            <w:pPr>
              <w:jc w:val="right"/>
              <w:ind w:right="171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August 2018, we committed to and initiated a restructuring of our mobile fingerprint optical business. These costs primarily related to severance costs for a reduction in headcount and related costs. Restructuring costs related to the fiscal 2019 restructuring activities were recorded to the restructuring costs line item within our condensed consolidated statements of operations. We estimate the costs to be $9.0 million to $10.0 million and expect the activities to be substantially complete by the end of the second quarter of our fiscal 2019.</w:t>
      </w:r>
    </w:p>
    <w:p>
      <w:pPr>
        <w:spacing w:after="0" w:line="18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The restructuring liability activities for this fiscal 2019 initiated activity during the three months ended September 30, 2018 were as follows (in millions):</w:t>
      </w:r>
    </w:p>
    <w:p>
      <w:pPr>
        <w:sectPr>
          <w:pgSz w:w="11900" w:h="16838" w:orient="portrait"/>
          <w:cols w:equalWidth="0" w:num="1">
            <w:col w:w="11420"/>
          </w:cols>
          <w:pgMar w:left="240" w:top="4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Accruals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Non-cash settlements</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Balance as of September 30, 2018</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80" w:type="dxa"/>
            <w:vAlign w:val="bottom"/>
            <w:gridSpan w:val="2"/>
          </w:tcPr>
          <w:p>
            <w:pPr>
              <w:jc w:val="right"/>
              <w:ind w:right="700"/>
              <w:spacing w:after="0"/>
              <w:rPr>
                <w:sz w:val="20"/>
                <w:szCs w:val="20"/>
                <w:color w:val="auto"/>
              </w:rPr>
            </w:pPr>
            <w:r>
              <w:rPr>
                <w:rFonts w:ascii="Arial" w:cs="Arial" w:eastAsia="Arial" w:hAnsi="Arial"/>
                <w:sz w:val="18"/>
                <w:szCs w:val="18"/>
                <w:color w:val="auto"/>
              </w:rPr>
              <w:t>Employee Severance</w:t>
            </w: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80" w:type="dxa"/>
            <w:vAlign w:val="bottom"/>
            <w:gridSpan w:val="2"/>
          </w:tcPr>
          <w:p>
            <w:pPr>
              <w:jc w:val="right"/>
              <w:ind w:right="1000"/>
              <w:spacing w:after="0"/>
              <w:rPr>
                <w:sz w:val="20"/>
                <w:szCs w:val="20"/>
                <w:color w:val="auto"/>
              </w:rPr>
            </w:pPr>
            <w:r>
              <w:rPr>
                <w:rFonts w:ascii="Arial" w:cs="Arial" w:eastAsia="Arial" w:hAnsi="Arial"/>
                <w:sz w:val="18"/>
                <w:szCs w:val="18"/>
                <w:color w:val="auto"/>
              </w:rPr>
              <w:t>and Benefits</w:t>
            </w:r>
          </w:p>
        </w:tc>
      </w:tr>
      <w:tr>
        <w:trPr>
          <w:trHeight w:val="222"/>
        </w:trPr>
        <w:tc>
          <w:tcPr>
            <w:tcW w:w="20" w:type="dxa"/>
            <w:vAlign w:val="bottom"/>
          </w:tcPr>
          <w:p>
            <w:pPr>
              <w:spacing w:after="0"/>
              <w:rPr>
                <w:sz w:val="19"/>
                <w:szCs w:val="19"/>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2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-5404485</wp:posOffset>
            </wp:positionH>
            <wp:positionV relativeFrom="paragraph">
              <wp:posOffset>-625475</wp:posOffset>
            </wp:positionV>
            <wp:extent cx="72466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-5404485</wp:posOffset>
            </wp:positionH>
            <wp:positionV relativeFrom="paragraph">
              <wp:posOffset>-325120</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0" w:space="720"/>
            <w:col w:w="2900"/>
          </w:cols>
          <w:pgMar w:left="240" w:top="449"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20" w:name="page21"/>
    <w:bookmarkEnd w:id="20"/>
    <w:p>
      <w:pPr>
        <w:ind w:right="14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and Factors That May Affect Results</w:t>
      </w:r>
    </w:p>
    <w:p>
      <w:pPr>
        <w:ind w:right="20" w:firstLine="518"/>
        <w:spacing w:after="0" w:line="268" w:lineRule="auto"/>
        <w:rPr>
          <w:sz w:val="20"/>
          <w:szCs w:val="20"/>
          <w:color w:val="auto"/>
        </w:rPr>
      </w:pPr>
      <w:r>
        <w:rPr>
          <w:rFonts w:ascii="Arial" w:cs="Arial" w:eastAsia="Arial" w:hAnsi="Arial"/>
          <w:sz w:val="17"/>
          <w:szCs w:val="17"/>
          <w:color w:val="auto"/>
        </w:rPr>
        <w:t>This Quarterly Report on Form 10-Q for the quarter ended September 30, 2018 (this “Report”) contains forward-looking statements that are subject to the safe harbors created under the Securities Act of 1933, as amended (the “Securities Act”), and the Securities Exchange Act of 1934, as amended (the “Exchange Act”). For ease of presentation, this Report shows reporting periods ending on calendar quarter end dates as of and for all periods presented, unless otherwise indicated. Forward-looking statements give our current expectations and projections relating to our financial condition, results of operations, plans, objectives, future performance and business,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risks as identified in the “Risk Factors,” “Management’s Discussion and Analysis of Financial Condition and Results of Operations” and “Business” sections of our Annual Report on Form 10-K for the fiscal year ended June 30, 2018,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183"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 xml:space="preserve">We are a leading worldwide developer and supplier of custom-designed human interface semiconductor product solutions that enable people to interact more easily and intuitively with a wide variety of mobile computing, communications, entertainment, and other electronic devices. We currently generate revenue from the markets for smartphones, tablets, personal computer, or PC, products, primarily notebook computers, Internet of Things, or IoT, which includes devices with voice, speech and video within smart homes, and other select electronic devices, including devices in automobiles, with our custom human interface solutions. Every solution we deliver either contains or consists of our touch-, display driver-, fingerprint authentication-based-, voice and speech-, and </w:t>
      </w:r>
      <w:r>
        <w:rPr>
          <w:rFonts w:ascii="Arial" w:cs="Arial" w:eastAsia="Arial" w:hAnsi="Arial"/>
          <w:sz w:val="17"/>
          <w:szCs w:val="17"/>
          <w:color w:val="333333"/>
        </w:rPr>
        <w:t>video-</w:t>
      </w:r>
      <w:r>
        <w:rPr>
          <w:rFonts w:ascii="Arial" w:cs="Arial" w:eastAsia="Arial" w:hAnsi="Arial"/>
          <w:sz w:val="17"/>
          <w:szCs w:val="17"/>
          <w:color w:val="auto"/>
        </w:rPr>
        <w:t>semiconductor solutions, which include our chip, customer-specific firmware, and software.</w:t>
      </w:r>
    </w:p>
    <w:p>
      <w:pPr>
        <w:spacing w:after="0" w:line="178"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Many of our customers have manufacturing operations in China, and many of our OEM customers have established design centers in Asia. With our expanding global presence, including offices in Armenia, China, Denmark, Hong Kong, India, Japan, Korea, Switzerland, Taiwan, and the United States, we are well positioned to provide local sales, operational, and engineering support services to our existing customers, as well as potential new customers, on a global basis.</w:t>
      </w:r>
    </w:p>
    <w:p>
      <w:pPr>
        <w:spacing w:after="0" w:line="187"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We provide our contract manufacturers with six-month rolling forecasts and issue purchase orders based on our anticipated requirements for the next 90 days. However, we generally do not have long-term supply contracts with our contract manufacturers.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and supplier arrangements; manufacturing, assembly,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17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jc w:val="both"/>
        <w:ind w:right="380" w:firstLine="518"/>
        <w:spacing w:after="0" w:line="259" w:lineRule="auto"/>
        <w:rPr>
          <w:sz w:val="20"/>
          <w:szCs w:val="20"/>
          <w:color w:val="auto"/>
        </w:rPr>
      </w:pPr>
      <w:r>
        <w:rPr>
          <w:rFonts w:ascii="Arial" w:cs="Arial" w:eastAsia="Arial" w:hAnsi="Arial"/>
          <w:sz w:val="18"/>
          <w:szCs w:val="18"/>
          <w:color w:val="auto"/>
        </w:rPr>
        <w:t>Our research and development expenses include costs for supplies and materials related to product development, as well as the engineering costs incurred to design ASICs and human interface solutions for OEM customers prior to and after their commitment to incorporate those solutions into their products. We continue to commit to the technological and design innovation required to maintain our position in our existing markets, and to adapt our existing technologies or develop new technologies for new markets.</w:t>
      </w:r>
    </w:p>
    <w:p>
      <w:pPr>
        <w:spacing w:after="0" w:line="187"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24"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Acquired intangibles amortization, included in operating expenses, consists primarily of amortization of customer relationship and tradenames intangible assets recognized under the purchase method for business combinations.</w:t>
      </w:r>
    </w:p>
    <w:p>
      <w:pPr>
        <w:spacing w:after="0" w:line="170"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Restructuring costs primarily reflect severance and facilities consolidation costs related to our restructuring of our operations to reduce operating expenses. These headcount- and facilities related costs were in cost of revenue, research and development, and selling, general and administrative expenses.</w:t>
      </w:r>
    </w:p>
    <w:p>
      <w:pPr>
        <w:spacing w:after="0" w:line="124"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Interest and other expense, net, primarily reflects interest expense on our convertible notes as well as the amortization of debt issuance costs and discount on our convertible notes, partially offset by impairment recovery on investments.</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Equity investment loss includes amortization of intangible assets as well as our portion of the net loss reflected under the equity method of accounting in connection with our investment in OXi Technology Ltd.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There have been no significant changes in our critical accounting policies and estimates during the three months ended September 30, 2018, compared with our critical accounting policies and estimates disclosed in Management’s Discussion and Analysis of Financial Condition and Results of Operations included in our Annual Report on Form 10-K for the fiscal year ended June 30, 2018, with the exception to the critical accounting policy on revenue recognition. We adopted the Accounting Standards Update on revenue from contracts with customers on July 1, 2018, the beginning of our fiscal 2019 (see Note 2 Revenue Recognition to the condensed consolidated financial statements contained elsewhere in this Report).</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Certain of the data used in our condensed consolidated statements of operations for the periods indicated, together with comparative absolute and percentage changes in these amounts, were as follows (in millions, except percentages):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6"/>
                <w:szCs w:val="16"/>
                <w:b w:val="1"/>
                <w:bCs w:val="1"/>
                <w:color w:val="auto"/>
                <w:w w:val="94"/>
              </w:rPr>
              <w:t>Three Months Ended September 30,</w:t>
            </w:r>
          </w:p>
        </w:tc>
        <w:tc>
          <w:tcPr>
            <w:tcW w:w="13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9"/>
              <w:spacing w:after="0" w:line="212" w:lineRule="exact"/>
              <w:rPr>
                <w:sz w:val="20"/>
                <w:szCs w:val="20"/>
                <w:color w:val="auto"/>
              </w:rPr>
            </w:pPr>
            <w:r>
              <w:rPr>
                <w:rFonts w:ascii="Arial" w:cs="Arial" w:eastAsia="Arial" w:hAnsi="Arial"/>
                <w:sz w:val="15"/>
                <w:szCs w:val="15"/>
                <w:b w:val="1"/>
                <w:bCs w:val="1"/>
                <w:color w:val="auto"/>
              </w:rPr>
              <w:t xml:space="preserve">2018 </w:t>
            </w:r>
            <w:r>
              <w:rPr>
                <w:rFonts w:ascii="Arial" w:cs="Arial" w:eastAsia="Arial" w:hAnsi="Arial"/>
                <w:sz w:val="24"/>
                <w:szCs w:val="24"/>
                <w:b w:val="1"/>
                <w:bCs w:val="1"/>
                <w:color w:val="auto"/>
                <w:vertAlign w:val="superscript"/>
              </w:rPr>
              <w:t>(1)</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9"/>
              <w:spacing w:after="0" w:line="212" w:lineRule="exact"/>
              <w:rPr>
                <w:sz w:val="20"/>
                <w:szCs w:val="20"/>
                <w:color w:val="auto"/>
              </w:rPr>
            </w:pPr>
            <w:r>
              <w:rPr>
                <w:rFonts w:ascii="Arial" w:cs="Arial" w:eastAsia="Arial" w:hAnsi="Arial"/>
                <w:sz w:val="15"/>
                <w:szCs w:val="15"/>
                <w:b w:val="1"/>
                <w:bCs w:val="1"/>
                <w:color w:val="auto"/>
              </w:rPr>
              <w:t>2017</w:t>
            </w:r>
            <w:r>
              <w:rPr>
                <w:rFonts w:ascii="Arial" w:cs="Arial" w:eastAsia="Arial" w:hAnsi="Arial"/>
                <w:sz w:val="24"/>
                <w:szCs w:val="24"/>
                <w:b w:val="1"/>
                <w:bCs w:val="1"/>
                <w:color w:val="auto"/>
                <w:vertAlign w:val="superscript"/>
              </w:rPr>
              <w:t>(1)</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c>
          <w:tcPr>
            <w:tcW w:w="24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2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Mobile product applications</w:t>
            </w:r>
          </w:p>
        </w:tc>
        <w:tc>
          <w:tcPr>
            <w:tcW w:w="120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(30.2)</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PC product applications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IoT product applications</w:t>
            </w:r>
          </w:p>
        </w:tc>
        <w:tc>
          <w:tcPr>
            <w:tcW w:w="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86.3</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59.2</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07"/>
        </w:trPr>
        <w:tc>
          <w:tcPr>
            <w:tcW w:w="43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Net revenue</w:t>
            </w:r>
          </w:p>
        </w:tc>
        <w:tc>
          <w:tcPr>
            <w:tcW w:w="9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417.6</w:t>
            </w:r>
          </w:p>
        </w:tc>
        <w:tc>
          <w:tcPr>
            <w:tcW w:w="2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417.4</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240" w:type="dxa"/>
            <w:vAlign w:val="bottom"/>
            <w:tcBorders>
              <w:bottom w:val="single" w:sz="8" w:color="CFF0FC"/>
            </w:tcBorders>
          </w:tcPr>
          <w:p>
            <w:pPr>
              <w:spacing w:after="0"/>
              <w:rPr>
                <w:sz w:val="17"/>
                <w:szCs w:val="17"/>
                <w:color w:val="auto"/>
              </w:rPr>
            </w:pPr>
          </w:p>
        </w:tc>
        <w:tc>
          <w:tcPr>
            <w:tcW w:w="15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4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Gross margin</w:t>
            </w:r>
          </w:p>
        </w:tc>
        <w:tc>
          <w:tcPr>
            <w:tcW w:w="9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140.9</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114.4</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w:t>
            </w: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7"/>
        </w:trPr>
        <w:tc>
          <w:tcPr>
            <w:tcW w:w="4360" w:type="dxa"/>
            <w:vAlign w:val="bottom"/>
          </w:tcPr>
          <w:p>
            <w:pPr>
              <w:spacing w:after="0"/>
              <w:rPr>
                <w:sz w:val="20"/>
                <w:szCs w:val="20"/>
                <w:color w:val="auto"/>
              </w:rPr>
            </w:pPr>
            <w:r>
              <w:rPr>
                <w:rFonts w:ascii="Arial" w:cs="Arial" w:eastAsia="Arial" w:hAnsi="Arial"/>
                <w:sz w:val="16"/>
                <w:szCs w:val="16"/>
                <w:color w:val="auto"/>
              </w:rPr>
              <w:t>Operating expenses:</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436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(6.4)</w:t>
            </w: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Acquired intangibles amortization</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3"/>
        </w:trPr>
        <w:tc>
          <w:tcPr>
            <w:tcW w:w="4360" w:type="dxa"/>
            <w:vAlign w:val="bottom"/>
          </w:tcPr>
          <w:p>
            <w:pPr>
              <w:ind w:left="260"/>
              <w:spacing w:after="0"/>
              <w:rPr>
                <w:sz w:val="20"/>
                <w:szCs w:val="20"/>
                <w:color w:val="auto"/>
              </w:rPr>
            </w:pPr>
            <w:r>
              <w:rPr>
                <w:rFonts w:ascii="Arial" w:cs="Arial" w:eastAsia="Arial" w:hAnsi="Arial"/>
                <w:sz w:val="16"/>
                <w:szCs w:val="16"/>
                <w:color w:val="auto"/>
              </w:rPr>
              <w:t>Restructuring costs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w:t>
            </w:r>
          </w:p>
        </w:tc>
        <w:tc>
          <w:tcPr>
            <w:tcW w:w="2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4250.0%</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Operating income/(loss)</w:t>
            </w:r>
          </w:p>
        </w:tc>
        <w:tc>
          <w:tcPr>
            <w:tcW w:w="9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5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line="20" w:lineRule="exact"/>
              <w:rPr>
                <w:sz w:val="1"/>
                <w:szCs w:val="1"/>
                <w:color w:val="auto"/>
              </w:rPr>
            </w:pPr>
          </w:p>
        </w:tc>
      </w:tr>
      <w:tr>
        <w:trPr>
          <w:trHeight w:val="213"/>
        </w:trPr>
        <w:tc>
          <w:tcPr>
            <w:tcW w:w="436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(16.9)</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w:t>
            </w:r>
          </w:p>
        </w:tc>
        <w:tc>
          <w:tcPr>
            <w:tcW w:w="240" w:type="dxa"/>
            <w:vAlign w:val="bottom"/>
            <w:shd w:val="clear" w:color="auto" w:fill="CFF0FC"/>
          </w:tcPr>
          <w:p>
            <w:pPr>
              <w:spacing w:after="0"/>
              <w:rPr>
                <w:sz w:val="18"/>
                <w:szCs w:val="18"/>
                <w:color w:val="auto"/>
              </w:rPr>
            </w:pPr>
          </w:p>
        </w:tc>
        <w:tc>
          <w:tcPr>
            <w:tcW w:w="15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6"/>
                <w:szCs w:val="16"/>
                <w:color w:val="auto"/>
              </w:rPr>
              <w:t>Interest and other expense, net</w:t>
            </w:r>
          </w:p>
        </w:tc>
        <w:tc>
          <w:tcPr>
            <w:tcW w:w="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68.3%</w:t>
            </w:r>
          </w:p>
        </w:tc>
        <w:tc>
          <w:tcPr>
            <w:tcW w:w="0" w:type="dxa"/>
            <w:vAlign w:val="bottom"/>
          </w:tcPr>
          <w:p>
            <w:pPr>
              <w:spacing w:after="0" w:line="20" w:lineRule="exact"/>
              <w:rPr>
                <w:sz w:val="1"/>
                <w:szCs w:val="1"/>
                <w:color w:val="auto"/>
              </w:rPr>
            </w:pPr>
          </w:p>
        </w:tc>
      </w:tr>
      <w:tr>
        <w:trPr>
          <w:trHeight w:val="207"/>
        </w:trPr>
        <w:tc>
          <w:tcPr>
            <w:tcW w:w="436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Income/(loss) before provision for income taxes</w:t>
            </w:r>
          </w:p>
        </w:tc>
        <w:tc>
          <w:tcPr>
            <w:tcW w:w="9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5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6"/>
                <w:szCs w:val="16"/>
                <w:color w:val="auto"/>
              </w:rPr>
              <w:t>117.0%</w:t>
            </w:r>
          </w:p>
        </w:tc>
        <w:tc>
          <w:tcPr>
            <w:tcW w:w="0" w:type="dxa"/>
            <w:vAlign w:val="bottom"/>
          </w:tcPr>
          <w:p>
            <w:pPr>
              <w:spacing w:after="0" w:line="20" w:lineRule="exact"/>
              <w:rPr>
                <w:sz w:val="1"/>
                <w:szCs w:val="1"/>
                <w:color w:val="auto"/>
              </w:rPr>
            </w:pPr>
          </w:p>
        </w:tc>
      </w:tr>
      <w:tr>
        <w:trPr>
          <w:trHeight w:val="213"/>
        </w:trPr>
        <w:tc>
          <w:tcPr>
            <w:tcW w:w="436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(22.9)</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w:t>
            </w:r>
          </w:p>
        </w:tc>
        <w:tc>
          <w:tcPr>
            <w:tcW w:w="240" w:type="dxa"/>
            <w:vAlign w:val="bottom"/>
            <w:shd w:val="clear" w:color="auto" w:fill="CFF0FC"/>
          </w:tcPr>
          <w:p>
            <w:pPr>
              <w:spacing w:after="0"/>
              <w:rPr>
                <w:sz w:val="18"/>
                <w:szCs w:val="18"/>
                <w:color w:val="auto"/>
              </w:rPr>
            </w:pPr>
          </w:p>
        </w:tc>
        <w:tc>
          <w:tcPr>
            <w:tcW w:w="15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6"/>
                <w:szCs w:val="16"/>
                <w:color w:val="auto"/>
              </w:rPr>
              <w:t>Provision/(benefit) for income taxes</w:t>
            </w:r>
          </w:p>
        </w:tc>
        <w:tc>
          <w:tcPr>
            <w:tcW w:w="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line="20" w:lineRule="exact"/>
              <w:rPr>
                <w:sz w:val="1"/>
                <w:szCs w:val="1"/>
                <w:color w:val="auto"/>
              </w:rPr>
            </w:pPr>
          </w:p>
        </w:tc>
      </w:tr>
      <w:tr>
        <w:trPr>
          <w:trHeight w:val="207"/>
        </w:trPr>
        <w:tc>
          <w:tcPr>
            <w:tcW w:w="436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(0.3)</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(3.5)</w:t>
            </w: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Equity investment loss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(0.4)</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(0.4)</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260"/>
              <w:spacing w:after="0"/>
              <w:rPr>
                <w:sz w:val="20"/>
                <w:szCs w:val="20"/>
                <w:color w:val="auto"/>
              </w:rPr>
            </w:pPr>
            <w:r>
              <w:rPr>
                <w:rFonts w:ascii="Arial" w:cs="Arial" w:eastAsia="Arial" w:hAnsi="Arial"/>
                <w:sz w:val="16"/>
                <w:szCs w:val="16"/>
                <w:color w:val="auto"/>
              </w:rPr>
              <w:t>Net income/(loss)</w:t>
            </w:r>
          </w:p>
        </w:tc>
        <w:tc>
          <w:tcPr>
            <w:tcW w:w="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line="20" w:lineRule="exact"/>
              <w:rPr>
                <w:sz w:val="1"/>
                <w:szCs w:val="1"/>
                <w:color w:val="auto"/>
              </w:rPr>
            </w:pPr>
          </w:p>
        </w:tc>
      </w:tr>
      <w:tr>
        <w:trPr>
          <w:trHeight w:val="207"/>
        </w:trPr>
        <w:tc>
          <w:tcPr>
            <w:tcW w:w="436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(26.5)</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30.3</w:t>
            </w:r>
          </w:p>
        </w:tc>
        <w:tc>
          <w:tcPr>
            <w:tcW w:w="24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4490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9" w:lineRule="exact"/>
        <w:rPr>
          <w:sz w:val="20"/>
          <w:szCs w:val="20"/>
          <w:color w:val="auto"/>
        </w:rPr>
      </w:pPr>
    </w:p>
    <w:p>
      <w:pPr>
        <w:ind w:left="1040" w:right="140" w:hanging="519"/>
        <w:spacing w:after="0" w:line="291" w:lineRule="auto"/>
        <w:tabs>
          <w:tab w:leader="none" w:pos="10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the post-acquisition results of operations from our acquisition of Conexant Systems, LLC, completed on July 25, 2017, or the Conexant Acquisition, and from our acquisition of the multimedia solutions business of Marvell, completed on September 8, 2017, or the Marvell Business Acquisition..</w:t>
      </w:r>
    </w:p>
    <w:p>
      <w:pPr>
        <w:spacing w:after="0" w:line="149"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Certain of the data used in our condensed consolidated statements of operations presented here as a percentage of net revenue for the periods indicated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Percentage</w:t>
            </w:r>
          </w:p>
        </w:tc>
        <w:tc>
          <w:tcPr>
            <w:tcW w:w="0" w:type="dxa"/>
            <w:vAlign w:val="bottom"/>
          </w:tcPr>
          <w:p>
            <w:pPr>
              <w:spacing w:after="0"/>
              <w:rPr>
                <w:sz w:val="1"/>
                <w:szCs w:val="1"/>
                <w:color w:val="auto"/>
              </w:rPr>
            </w:pPr>
          </w:p>
        </w:tc>
      </w:tr>
      <w:tr>
        <w:trPr>
          <w:trHeight w:val="210"/>
        </w:trPr>
        <w:tc>
          <w:tcPr>
            <w:tcW w:w="6580" w:type="dxa"/>
            <w:vAlign w:val="bottom"/>
          </w:tcPr>
          <w:p>
            <w:pPr>
              <w:spacing w:after="0"/>
              <w:rPr>
                <w:sz w:val="18"/>
                <w:szCs w:val="18"/>
                <w:color w:val="auto"/>
              </w:rPr>
            </w:pPr>
          </w:p>
        </w:tc>
        <w:tc>
          <w:tcPr>
            <w:tcW w:w="2560" w:type="dxa"/>
            <w:vAlign w:val="bottom"/>
            <w:gridSpan w:val="4"/>
          </w:tcPr>
          <w:p>
            <w:pPr>
              <w:jc w:val="center"/>
              <w:ind w:left="301"/>
              <w:spacing w:after="0"/>
              <w:rPr>
                <w:sz w:val="20"/>
                <w:szCs w:val="20"/>
                <w:color w:val="auto"/>
              </w:rPr>
            </w:pPr>
            <w:r>
              <w:rPr>
                <w:rFonts w:ascii="Arial" w:cs="Arial" w:eastAsia="Arial" w:hAnsi="Arial"/>
                <w:sz w:val="16"/>
                <w:szCs w:val="16"/>
                <w:b w:val="1"/>
                <w:bCs w:val="1"/>
                <w:color w:val="auto"/>
                <w:w w:val="92"/>
              </w:rPr>
              <w:t>Three Months Ended</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Point</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center"/>
              <w:ind w:right="464"/>
              <w:spacing w:after="0"/>
              <w:rPr>
                <w:sz w:val="20"/>
                <w:szCs w:val="20"/>
                <w:color w:val="auto"/>
              </w:rPr>
            </w:pPr>
            <w:r>
              <w:rPr>
                <w:rFonts w:ascii="Arial" w:cs="Arial" w:eastAsia="Arial" w:hAnsi="Arial"/>
                <w:sz w:val="16"/>
                <w:szCs w:val="16"/>
                <w:b w:val="1"/>
                <w:bCs w:val="1"/>
                <w:color w:val="auto"/>
                <w:w w:val="89"/>
              </w:rPr>
              <w:t>September 30,</w:t>
            </w:r>
          </w:p>
        </w:tc>
        <w:tc>
          <w:tcPr>
            <w:tcW w:w="4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Increase/</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5"/>
                <w:szCs w:val="15"/>
                <w:b w:val="1"/>
                <w:bCs w:val="1"/>
                <w:color w:val="auto"/>
              </w:rPr>
              <w:t xml:space="preserve">2018 </w:t>
            </w:r>
            <w:r>
              <w:rPr>
                <w:rFonts w:ascii="Arial" w:cs="Arial" w:eastAsia="Arial" w:hAnsi="Arial"/>
                <w:sz w:val="25"/>
                <w:szCs w:val="25"/>
                <w:b w:val="1"/>
                <w:bCs w:val="1"/>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5"/>
                <w:szCs w:val="15"/>
                <w:b w:val="1"/>
                <w:bCs w:val="1"/>
                <w:color w:val="auto"/>
              </w:rPr>
              <w:t>2017</w:t>
            </w:r>
            <w:r>
              <w:rPr>
                <w:rFonts w:ascii="Arial" w:cs="Arial" w:eastAsia="Arial" w:hAnsi="Arial"/>
                <w:sz w:val="25"/>
                <w:szCs w:val="25"/>
                <w:b w:val="1"/>
                <w:bCs w:val="1"/>
                <w:color w:val="auto"/>
                <w:vertAlign w:val="superscript"/>
              </w:rPr>
              <w:t>(1)</w:t>
            </w:r>
          </w:p>
        </w:tc>
        <w:tc>
          <w:tcPr>
            <w:tcW w:w="40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(Decrease)</w:t>
            </w: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Mobile product applications</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62.9%</w:t>
            </w:r>
          </w:p>
        </w:tc>
        <w:tc>
          <w:tcPr>
            <w:tcW w:w="9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70.2%</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3"/>
        </w:trPr>
        <w:tc>
          <w:tcPr>
            <w:tcW w:w="7500" w:type="dxa"/>
            <w:vAlign w:val="bottom"/>
            <w:gridSpan w:val="2"/>
          </w:tcPr>
          <w:p>
            <w:pPr>
              <w:spacing w:after="0"/>
              <w:rPr>
                <w:sz w:val="20"/>
                <w:szCs w:val="20"/>
                <w:color w:val="auto"/>
              </w:rPr>
            </w:pPr>
            <w:r>
              <w:rPr>
                <w:rFonts w:ascii="Arial" w:cs="Arial" w:eastAsia="Arial" w:hAnsi="Arial"/>
                <w:sz w:val="16"/>
                <w:szCs w:val="16"/>
                <w:color w:val="auto"/>
              </w:rPr>
              <w:t>PC product applications</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16.4%</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15.6%</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IoT product applications</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20.7%</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14.2%</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line="20" w:lineRule="exact"/>
              <w:rPr>
                <w:sz w:val="1"/>
                <w:szCs w:val="1"/>
                <w:color w:val="auto"/>
              </w:rPr>
            </w:pPr>
          </w:p>
        </w:tc>
      </w:tr>
      <w:tr>
        <w:trPr>
          <w:trHeight w:val="207"/>
        </w:trPr>
        <w:tc>
          <w:tcPr>
            <w:tcW w:w="6580" w:type="dxa"/>
            <w:vAlign w:val="bottom"/>
          </w:tcPr>
          <w:p>
            <w:pPr>
              <w:ind w:left="260"/>
              <w:spacing w:after="0"/>
              <w:rPr>
                <w:sz w:val="20"/>
                <w:szCs w:val="20"/>
                <w:color w:val="auto"/>
              </w:rPr>
            </w:pPr>
            <w:r>
              <w:rPr>
                <w:rFonts w:ascii="Arial" w:cs="Arial" w:eastAsia="Arial" w:hAnsi="Arial"/>
                <w:sz w:val="16"/>
                <w:szCs w:val="16"/>
                <w:color w:val="auto"/>
              </w:rPr>
              <w:t>Net revenue</w:t>
            </w:r>
          </w:p>
        </w:tc>
        <w:tc>
          <w:tcPr>
            <w:tcW w:w="9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w w:val="92"/>
              </w:rPr>
              <w:t>100.0%</w:t>
            </w:r>
          </w:p>
        </w:tc>
        <w:tc>
          <w:tcPr>
            <w:tcW w:w="9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w w:val="95"/>
              </w:rPr>
              <w:t>100.0%</w:t>
            </w: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Gross margin</w:t>
            </w:r>
          </w:p>
        </w:tc>
        <w:tc>
          <w:tcPr>
            <w:tcW w:w="9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33.7%</w:t>
            </w:r>
          </w:p>
        </w:tc>
        <w:tc>
          <w:tcPr>
            <w:tcW w:w="9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27.4%</w:t>
            </w:r>
          </w:p>
        </w:tc>
        <w:tc>
          <w:tcPr>
            <w:tcW w:w="15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Pr>
          <w:p>
            <w:pPr>
              <w:spacing w:after="0"/>
              <w:rPr>
                <w:sz w:val="20"/>
                <w:szCs w:val="20"/>
                <w:color w:val="auto"/>
              </w:rPr>
            </w:pPr>
            <w:r>
              <w:rPr>
                <w:rFonts w:ascii="Arial" w:cs="Arial" w:eastAsia="Arial" w:hAnsi="Arial"/>
                <w:sz w:val="16"/>
                <w:szCs w:val="16"/>
                <w:color w:val="auto"/>
              </w:rPr>
              <w:t>Operating expenses:</w:t>
            </w:r>
          </w:p>
        </w:tc>
        <w:tc>
          <w:tcPr>
            <w:tcW w:w="9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21.6%</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20.9%</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3"/>
        </w:trPr>
        <w:tc>
          <w:tcPr>
            <w:tcW w:w="7500" w:type="dxa"/>
            <w:vAlign w:val="bottom"/>
            <w:gridSpan w:val="2"/>
          </w:tcPr>
          <w:p>
            <w:pPr>
              <w:ind w:left="260"/>
              <w:spacing w:after="0"/>
              <w:rPr>
                <w:sz w:val="20"/>
                <w:szCs w:val="20"/>
                <w:color w:val="auto"/>
              </w:rPr>
            </w:pPr>
            <w:r>
              <w:rPr>
                <w:rFonts w:ascii="Arial" w:cs="Arial" w:eastAsia="Arial" w:hAnsi="Arial"/>
                <w:sz w:val="16"/>
                <w:szCs w:val="16"/>
                <w:color w:val="auto"/>
              </w:rPr>
              <w:t>Selling, general, and administrative</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8.1%</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9.7%</w:t>
            </w: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75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Acquired intangibles amortization</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0.7%</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6580" w:type="dxa"/>
            <w:vAlign w:val="bottom"/>
          </w:tcPr>
          <w:p>
            <w:pPr>
              <w:ind w:left="260"/>
              <w:spacing w:after="0"/>
              <w:rPr>
                <w:sz w:val="20"/>
                <w:szCs w:val="20"/>
                <w:color w:val="auto"/>
              </w:rPr>
            </w:pPr>
            <w:r>
              <w:rPr>
                <w:rFonts w:ascii="Arial" w:cs="Arial" w:eastAsia="Arial" w:hAnsi="Arial"/>
                <w:sz w:val="16"/>
                <w:szCs w:val="16"/>
                <w:color w:val="auto"/>
              </w:rPr>
              <w:t>Restructuring costs</w:t>
            </w:r>
          </w:p>
        </w:tc>
        <w:tc>
          <w:tcPr>
            <w:tcW w:w="9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2.0%</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0.0%</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5.4%</w:t>
            </w:r>
          </w:p>
        </w:tc>
        <w:tc>
          <w:tcPr>
            <w:tcW w:w="0" w:type="dxa"/>
            <w:vAlign w:val="bottom"/>
          </w:tcPr>
          <w:p>
            <w:pPr>
              <w:spacing w:after="0" w:line="20" w:lineRule="exact"/>
              <w:rPr>
                <w:sz w:val="1"/>
                <w:szCs w:val="1"/>
                <w:color w:val="auto"/>
              </w:rPr>
            </w:pPr>
          </w:p>
        </w:tc>
      </w:tr>
      <w:tr>
        <w:trPr>
          <w:trHeight w:val="213"/>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income/(loss)</w:t>
            </w:r>
          </w:p>
        </w:tc>
        <w:tc>
          <w:tcPr>
            <w:tcW w:w="9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1.4%</w:t>
            </w:r>
          </w:p>
        </w:tc>
        <w:tc>
          <w:tcPr>
            <w:tcW w:w="9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(4.0%)</w:t>
            </w:r>
          </w:p>
        </w:tc>
        <w:tc>
          <w:tcPr>
            <w:tcW w:w="15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0.9%</w:t>
            </w:r>
          </w:p>
        </w:tc>
        <w:tc>
          <w:tcPr>
            <w:tcW w:w="0" w:type="dxa"/>
            <w:vAlign w:val="bottom"/>
          </w:tcPr>
          <w:p>
            <w:pPr>
              <w:spacing w:after="0" w:line="20" w:lineRule="exact"/>
              <w:rPr>
                <w:sz w:val="1"/>
                <w:szCs w:val="1"/>
                <w:color w:val="auto"/>
              </w:rPr>
            </w:pPr>
          </w:p>
        </w:tc>
      </w:tr>
      <w:tr>
        <w:trPr>
          <w:trHeight w:val="207"/>
        </w:trPr>
        <w:tc>
          <w:tcPr>
            <w:tcW w:w="6580" w:type="dxa"/>
            <w:vAlign w:val="bottom"/>
          </w:tcPr>
          <w:p>
            <w:pPr>
              <w:spacing w:after="0"/>
              <w:rPr>
                <w:sz w:val="20"/>
                <w:szCs w:val="20"/>
                <w:color w:val="auto"/>
              </w:rPr>
            </w:pPr>
            <w:r>
              <w:rPr>
                <w:rFonts w:ascii="Arial" w:cs="Arial" w:eastAsia="Arial" w:hAnsi="Arial"/>
                <w:sz w:val="16"/>
                <w:szCs w:val="16"/>
                <w:color w:val="auto"/>
              </w:rPr>
              <w:t>Interest and other expense, net</w:t>
            </w:r>
          </w:p>
        </w:tc>
        <w:tc>
          <w:tcPr>
            <w:tcW w:w="9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(0.5%)</w:t>
            </w:r>
          </w:p>
        </w:tc>
        <w:tc>
          <w:tcPr>
            <w:tcW w:w="9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6.4%</w:t>
            </w:r>
          </w:p>
        </w:tc>
        <w:tc>
          <w:tcPr>
            <w:tcW w:w="0" w:type="dxa"/>
            <w:vAlign w:val="bottom"/>
          </w:tcPr>
          <w:p>
            <w:pPr>
              <w:spacing w:after="0" w:line="20" w:lineRule="exact"/>
              <w:rPr>
                <w:sz w:val="1"/>
                <w:szCs w:val="1"/>
                <w:color w:val="auto"/>
              </w:rPr>
            </w:pPr>
          </w:p>
        </w:tc>
      </w:tr>
      <w:tr>
        <w:trPr>
          <w:trHeight w:val="213"/>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Income/(loss) before provision for income taxes</w:t>
            </w:r>
          </w:p>
        </w:tc>
        <w:tc>
          <w:tcPr>
            <w:tcW w:w="9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0.9%</w:t>
            </w:r>
          </w:p>
        </w:tc>
        <w:tc>
          <w:tcPr>
            <w:tcW w:w="9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(5.5%)</w:t>
            </w:r>
          </w:p>
        </w:tc>
        <w:tc>
          <w:tcPr>
            <w:tcW w:w="15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0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(0.1%)</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0.8%</w:t>
            </w: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Equity investment loss</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7.2%</w:t>
            </w:r>
          </w:p>
        </w:tc>
        <w:tc>
          <w:tcPr>
            <w:tcW w:w="0" w:type="dxa"/>
            <w:vAlign w:val="bottom"/>
          </w:tcPr>
          <w:p>
            <w:pPr>
              <w:spacing w:after="0" w:line="20" w:lineRule="exact"/>
              <w:rPr>
                <w:sz w:val="1"/>
                <w:szCs w:val="1"/>
                <w:color w:val="auto"/>
              </w:rPr>
            </w:pPr>
          </w:p>
        </w:tc>
      </w:tr>
      <w:tr>
        <w:trPr>
          <w:trHeight w:val="207"/>
        </w:trPr>
        <w:tc>
          <w:tcPr>
            <w:tcW w:w="6580" w:type="dxa"/>
            <w:vAlign w:val="bottom"/>
          </w:tcPr>
          <w:p>
            <w:pPr>
              <w:ind w:left="260"/>
              <w:spacing w:after="0"/>
              <w:rPr>
                <w:sz w:val="20"/>
                <w:szCs w:val="20"/>
                <w:color w:val="auto"/>
              </w:rPr>
            </w:pPr>
            <w:r>
              <w:rPr>
                <w:rFonts w:ascii="Arial" w:cs="Arial" w:eastAsia="Arial" w:hAnsi="Arial"/>
                <w:sz w:val="16"/>
                <w:szCs w:val="16"/>
                <w:color w:val="auto"/>
              </w:rPr>
              <w:t>Net income/(loss)</w:t>
            </w:r>
          </w:p>
        </w:tc>
        <w:tc>
          <w:tcPr>
            <w:tcW w:w="9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0.9%</w:t>
            </w:r>
          </w:p>
        </w:tc>
        <w:tc>
          <w:tcPr>
            <w:tcW w:w="9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(6.3%)</w:t>
            </w: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490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5" w:lineRule="exact"/>
        <w:rPr>
          <w:sz w:val="20"/>
          <w:szCs w:val="20"/>
          <w:color w:val="auto"/>
        </w:rPr>
      </w:pPr>
    </w:p>
    <w:p>
      <w:pPr>
        <w:ind w:left="1040" w:right="20" w:hanging="519"/>
        <w:spacing w:after="0" w:line="255" w:lineRule="auto"/>
        <w:tabs>
          <w:tab w:leader="none" w:pos="104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the post-acquisition results of operations from the Conexant Acquisition, completed on July 25, 2017, and from the Marvell Business Acquisition, completed on September 8, 2017.</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ind w:right="120" w:firstLine="518"/>
        <w:spacing w:after="0" w:line="288" w:lineRule="auto"/>
        <w:rPr>
          <w:sz w:val="20"/>
          <w:szCs w:val="20"/>
          <w:color w:val="auto"/>
        </w:rPr>
      </w:pPr>
      <w:r>
        <w:rPr>
          <w:rFonts w:ascii="Arial" w:cs="Arial" w:eastAsia="Arial" w:hAnsi="Arial"/>
          <w:sz w:val="16"/>
          <w:szCs w:val="16"/>
          <w:color w:val="auto"/>
        </w:rPr>
        <w:t>Net revenue was $417.6 million for the three months ended September 30, 2018 compared with $417.4 million for the three months ended September 30, 2017, an increase of $0.2 million, or less than 1%. Of this net revenue, $262.7 million, or 62.9% was from mobile product applications, $86.3 million, or 20.7% was from IoT product applications, and $68.6 million, or 16.4%, was from PC product applications. The increase in net revenue for the three months ended September 30, 2018, was attributable to an increase in IoT product applications and PC product applications, partially offset by a decrease in net revenue from mobile product applications. Net revenue from IoT product applications increased primarily as a result of an increase in units (which increased 37.9%) which compared to the three months ended September 30, 2017, is primarily due to two acquisitions made during the September 2017 quarter which did not represent a full three months of revenue in such quarter, as well as higher average selling prices for IoT product applications (which increased 5.7%). PC product applications increased due to higher average selling prices for PC product applications (which increased 15.2%), partially offset by a decrease in units sold (which decreased 8.8%). Mobile product applications decreased as a result of a decline in units sold (which decreased 24.7%), partially offset by higher average selling prices for mobile product applications (which increased 19.1%).</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Gross margin as a percentage of net revenue was 33.7%, or $140.9 million, for the three months ended September 30, 2018, compared with 27.4%, or $114.4 million, for the three months ended September 30, 2017. The 630 basis point increase in gross margin was primarily due to a favorable mix including IoT business products which have higher gross margins and also included a $15.7 million reduction of inventory fair value adjustments recorded in the three months ended September 30, 2017 associated with two acquisitions, which closed during the quarter. There were no inventory fair value adjustments recorded in the three months ended September 30, 2018.</w:t>
      </w:r>
    </w:p>
    <w:p>
      <w:pPr>
        <w:spacing w:after="0" w:line="188"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We continually introduce new product solutions, many of which have life cycles of less than one year. Further, because we sell our technology solutions in designs that are generally unique or specific to an OEM customer’s application, gross margin varies on a product-by-product basis, making our cumulative gross margin a blend of our product-specific designs. As a virtual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Research and development expenses increased $2.9 million to $90.0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2018, compared with the three months ended September 30, 2017. The increase in research and development expenses primarily reflected a $3.9 million increase in software licensing and intellectual property costs; $1.0 million increase in personnel-related costs which is a result of an increase in average headcount for the three months ended September 30, 2018 as compared to the three months ended September 30, 2017, due to two acquisitions which closed during that quarter; partially offset by a $2.4 million decrease in supplies and project specific costs.</w:t>
      </w:r>
    </w:p>
    <w:p>
      <w:pPr>
        <w:spacing w:after="0" w:line="173"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decreased $6.4 million to $33.9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2018, compared with the three months ended September 30, 2017. The decrease in selling, general, and administrative expenses primarily reflected a $3.7 million decrease in personnel-related costs, which is primarily due to a reduction in headcount as a result of our recent restructuring activities to reduce operating costs; a $1.6 million, net, reversal of an accrual for payroll deposit penalties, which were previously accrued and have been reversed due to the completion of a payroll tax audit; and a $0.8 million reduction in professional fees.</w:t>
      </w:r>
    </w:p>
    <w:p>
      <w:pPr>
        <w:spacing w:after="0" w:line="173"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i w:val="1"/>
          <w:iCs w:val="1"/>
          <w:color w:val="auto"/>
        </w:rPr>
        <w:t xml:space="preserve">Acquired intangibles amortization. </w:t>
      </w:r>
      <w:r>
        <w:rPr>
          <w:rFonts w:ascii="Arial" w:cs="Arial" w:eastAsia="Arial" w:hAnsi="Arial"/>
          <w:sz w:val="16"/>
          <w:szCs w:val="16"/>
          <w:color w:val="auto"/>
        </w:rPr>
        <w:t>Acquired intangibles amortization reflects the amortization of intangibles acquired through acquisitions. For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discussion of acquired intangibles amortization, see Note 7 included in the condensed consolidated financial statements contained elsewhere in this Report.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ind w:right="20" w:firstLine="518"/>
        <w:spacing w:after="0" w:line="279" w:lineRule="auto"/>
        <w:rPr>
          <w:sz w:val="20"/>
          <w:szCs w:val="20"/>
          <w:color w:val="auto"/>
        </w:rPr>
      </w:pPr>
      <w:r>
        <w:rPr>
          <w:rFonts w:ascii="Arial" w:cs="Arial" w:eastAsia="Arial" w:hAnsi="Arial"/>
          <w:sz w:val="17"/>
          <w:szCs w:val="17"/>
          <w:i w:val="1"/>
          <w:iCs w:val="1"/>
          <w:color w:val="auto"/>
        </w:rPr>
        <w:t xml:space="preserve">Restructuring costs. </w:t>
      </w:r>
      <w:r>
        <w:rPr>
          <w:rFonts w:ascii="Arial" w:cs="Arial" w:eastAsia="Arial" w:hAnsi="Arial"/>
          <w:sz w:val="17"/>
          <w:szCs w:val="17"/>
          <w:color w:val="auto"/>
        </w:rPr>
        <w:t>Restructuring costs of $8.3 million in the three months ended September 30, 2018 primarily reflect severance costs for</w:t>
      </w:r>
      <w:r>
        <w:rPr>
          <w:rFonts w:ascii="Arial" w:cs="Arial" w:eastAsia="Arial" w:hAnsi="Arial"/>
          <w:sz w:val="17"/>
          <w:szCs w:val="17"/>
          <w:i w:val="1"/>
          <w:iCs w:val="1"/>
          <w:color w:val="auto"/>
        </w:rPr>
        <w:t xml:space="preserve"> </w:t>
      </w:r>
      <w:r>
        <w:rPr>
          <w:rFonts w:ascii="Arial" w:cs="Arial" w:eastAsia="Arial" w:hAnsi="Arial"/>
          <w:sz w:val="17"/>
          <w:szCs w:val="17"/>
          <w:color w:val="auto"/>
        </w:rPr>
        <w:t>restructuring of our operations to reduce operating costs which commenced in the first quarter of fiscal 2019. We expect to incur additional restructuring costs in the second quarter of fiscal 2019 as the restructuring activities are completed, which will include additional severance costs, ranging from $0.9 million to $1.9 million. See Note 14 to the condensed consolidated financial statements contained elsewhere in this Report.</w:t>
      </w:r>
    </w:p>
    <w:p>
      <w:pPr>
        <w:spacing w:after="0" w:line="171"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i w:val="1"/>
          <w:iCs w:val="1"/>
          <w:color w:val="auto"/>
        </w:rPr>
        <w:t>Interest and other expense, net</w:t>
      </w:r>
      <w:r>
        <w:rPr>
          <w:rFonts w:ascii="Arial" w:cs="Arial" w:eastAsia="Arial" w:hAnsi="Arial"/>
          <w:sz w:val="17"/>
          <w:szCs w:val="17"/>
          <w:color w:val="auto"/>
        </w:rPr>
        <w:t>. Interest and other expense, net primarily includes the amortization of debt discount and issuance costs,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on the debt. The $4.1 million decrease in the three months ended September 30, 2018 as compared to the three months ended September 30, 2017, is primarily due to a $2.8 million impairment recovery on investments in the three months ended September 30, 2018 as well as a $1.0 million higher amortization of debt issuance costs in the three months ended September 30, 2017 for a term loan which was paid down and closed in the same quarter. See Liquidity and Capital Resources included in the next section of this Report.</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On December 22, 2017, the U.S. government enacted comprehensive tax legislation, commonly known as the Tax Cuts and Jobs Act of 2017, or the Act, which significantly reforms the Internal Revenue Code of 1986, as amended. The Act contains broad and complex changes to corporate taxation, including, in part, reduction of the U.S. federal corporate tax rate from 35% to 21%, requires companies to pay a one-time transition tax on earnings of certain foreign subsidiaries that were previously considered permanently reinvested, and creates new taxes on certain foreign sourced earnings. As our accounting and tax year is the fiscal period ending on the last Saturday in June, U.S. federal tax law requires that taxpayers with a fiscal year that spans the effective date of a rate change to calculate a blended tax rate based on the pro rata number of days in the fiscal year before and after the effective date. As a result, our U.S. federal tax rate for fiscal 2018 was a days-weighted blended tax rate of 28.17%. For fiscal 2019 and subsequent tax years, our U.S. federal tax rate will be 21%.</w:t>
      </w:r>
    </w:p>
    <w:p>
      <w:pPr>
        <w:spacing w:after="0" w:line="192"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In fiscal 2018, we recognized provisional tax expense of $41.4 million, related to the tax impact of the Act, of which an expense of $44.1 million relates to the one-time transition tax and a benefit of $2.7 million related to remeasurement of deferred tax at the new tax rate. As of September 30, 2018, we further analyzed these provisions and, as there were no material changes, no adjustment was made to amounts recognized in fiscal 2018.</w:t>
      </w:r>
    </w:p>
    <w:p>
      <w:pPr>
        <w:spacing w:after="0" w:line="166"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As of September 30, 2018, pending any additional technical guidance, the Company has, in many cases, finalized our accounting for the tax impact of the Act. We have completed our analysis regarding the remeasurement of deferred tax at the new rate, limitations on deduction of officer’s compensation, interest deduction, and net operating loss and the repeal of the Alternative Minimum Tax. We are still in the process of finalizing calculations related to the one-time transition tax.</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Global Intangible Low-Tax Income, or GILTI, which is a provision under the Act, imposes a tax on foreign income in excess of a deemed return on tangible assets of foreign corporations. GILTI requires an accounting policy election of either (1) treating taxes due on future U.S. inclusions in taxable income related to GILTI as a current period expense when incurred or (2) factoring such amounts into the Company’s measurement of its deferred taxes. The Company has elected to treat GILTI as a current period expense.</w:t>
      </w:r>
    </w:p>
    <w:p>
      <w:pPr>
        <w:spacing w:after="0" w:line="1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one-time transition tax is based on our post-1986 foreign earnings and profits, or E&amp;P, which we previously excluded from U.S. income taxes due to our position that we would permanently reinvest future foreign earnings. The one-time transition tax is applied at a 15.5% tax rate on cash assets and an 8% tax rate for other specified assets. We recorded a provisional amount for this one-time transition tax liability for our foreign subsidiaries, resulting in an increase in income tax liability of $11.6 million, net of foreign tax credits and research credits.</w:t>
      </w:r>
    </w:p>
    <w:p>
      <w:pPr>
        <w:spacing w:after="0" w:line="187"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We have not yet completed our calculation of the total post-1986 foreign E&amp;P for these foreign subsidiaries. This amount may change when we finalize the determination of our E&amp;P previously deferred from U.S. federal taxation and finalize the amounts held in cash or other specified assets. No additional income taxes have been provided for any remaining undistributed foreign earnings not subject to the transition tax and any additional outside basis difference inherent in these entities as these amounts continue to be indefinitely reinvested in foreign operations. We do not have the necessary information prepared or analyzed to develop a reasonable estimate of the tax liability, if any, for our remaining outside basis difference including any deferred tax accounting that may be required due to other provisions in the Act beyond the one-time transition tax and the remeasurement of deferred tax under the new tax rate, including how that accounting may be affected by our ongoing accounting position to indefinitely reinvest unremitted foreign earnings.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ind w:right="100" w:firstLine="518"/>
        <w:spacing w:after="0" w:line="259"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recorded by applying the estimated annual effective tax rate to year-to-date income before provision for income taxes, excluding the effects of significant unusual or infrequently occurring discrete items. The tax effects of discrete items are recorded in the same period that the related discrete items are reported and results in a difference between the actual effective tax rate and the estimated annual effective tax rate.</w:t>
      </w:r>
    </w:p>
    <w:p>
      <w:pPr>
        <w:spacing w:after="0" w:line="187" w:lineRule="exact"/>
        <w:rPr>
          <w:sz w:val="20"/>
          <w:szCs w:val="20"/>
          <w:color w:val="auto"/>
        </w:rPr>
      </w:pPr>
    </w:p>
    <w:p>
      <w:pPr>
        <w:ind w:right="160" w:firstLine="518"/>
        <w:spacing w:after="0" w:line="295" w:lineRule="auto"/>
        <w:rPr>
          <w:sz w:val="20"/>
          <w:szCs w:val="20"/>
          <w:color w:val="auto"/>
        </w:rPr>
      </w:pPr>
      <w:r>
        <w:rPr>
          <w:rFonts w:ascii="Arial" w:cs="Arial" w:eastAsia="Arial" w:hAnsi="Arial"/>
          <w:sz w:val="16"/>
          <w:szCs w:val="16"/>
          <w:color w:val="auto"/>
        </w:rPr>
        <w:t>The benefit for income taxes of $(0.3) million and provision for income taxes of $3.2 million for the three months ended September 30, 2018 and 2017, respectively, represented estimated federal, foreign, and state income taxes. The effective tax rate for the three months ended September 30, 2018 diverged from the combined U.S. federal and state statutory tax rate primarily because of the benefit of research credits, foreign tax credits, foreign-derived intangible income deduction, excess share-based compensation deductions, release of reserves related to uncertain tax positions and foreign income taxed at lower tax rates, partially offset by foreign withholding taxes, nondeductible amortization, the impact of accounting for qualified stock options and global intangible low-taxed income. The effective tax rate for the three months ended September 30, 2017, diverged from the combined U.S. federal and state statutory tax rate, primarily because of foreign withholding taxes, nondeductible amortization, nondeductible payroll deposit penalties, and the impact of accounting for qualified stock options, partially offset by foreign income taxed at lower tax rates and research credits.</w:t>
      </w:r>
    </w:p>
    <w:p>
      <w:pPr>
        <w:spacing w:after="0" w:line="163"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July 2018, the U.S. Ninth Circuit Court of Appeals reversed the 2015 decision of the U.S. Tax Court in Altera Corp. v. Commissioner which found that the Treasury regulations addressing the treatment of stock-based compensation in a cost-sharing arrangement with a related party were invalid. In August 2018, the U.S. Ninth Circuit Court of Appeals withdrew its July 2018 opinion to allow time for the reconstituted panel to confer on this appeal. As our tax filing position is consistent with the Treasury regulations, we determined no adjustment to our financial statements is required, however, due to the uncertainties with respect to the ultimate resolution, we will continue to monitor developments in this case.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Our cash and cash equivalents were $263.3 million as of September 30, 2018, compared with $301.0 million as of June 30, 2017, a decrease of $37.7 million. The decrease primarily reflected the combination of $39.4 million used to repurchase 862,454 shares of our common stock; $6.8 million used for the purchase of property and equipment; partially offset by $4.6 million of net cash provided by operating activities. At this time, we consider earnings of our foreign subsidiaries indefinitely invested overseas and have made no provision for income or withholding taxes, other than the one-time transition tax described above under “Management’s Discussion and Analysis of Financial Condition and Results of Operations—Provision for Income Taxes,”, that may result from a future repatriation of those earnings. As of September 30, 2018, $168.8 million of cash and cash equivalents was held by our foreign subsidiaries. If these funds are needed for our operations in the United States, we may be required to accrue and pay certain state and foreign taxes to repatriate these funds.</w:t>
      </w:r>
    </w:p>
    <w:p>
      <w:pPr>
        <w:spacing w:after="0" w:line="192"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i w:val="1"/>
          <w:iCs w:val="1"/>
          <w:color w:val="auto"/>
        </w:rPr>
        <w:t xml:space="preserve">Cash Flows from Operating Activities. </w:t>
      </w:r>
      <w:r>
        <w:rPr>
          <w:rFonts w:ascii="Arial" w:cs="Arial" w:eastAsia="Arial" w:hAnsi="Arial"/>
          <w:sz w:val="16"/>
          <w:szCs w:val="16"/>
          <w:color w:val="auto"/>
        </w:rPr>
        <w:t>Operating activities during the three months ended September 30, 2018 generated $4.6 million compared with</w:t>
      </w:r>
      <w:r>
        <w:rPr>
          <w:rFonts w:ascii="Arial" w:cs="Arial" w:eastAsia="Arial" w:hAnsi="Arial"/>
          <w:sz w:val="16"/>
          <w:szCs w:val="16"/>
          <w:i w:val="1"/>
          <w:iCs w:val="1"/>
          <w:color w:val="auto"/>
        </w:rPr>
        <w:t xml:space="preserve"> </w:t>
      </w:r>
      <w:r>
        <w:rPr>
          <w:rFonts w:ascii="Arial" w:cs="Arial" w:eastAsia="Arial" w:hAnsi="Arial"/>
          <w:sz w:val="16"/>
          <w:szCs w:val="16"/>
          <w:color w:val="auto"/>
        </w:rPr>
        <w:t>$39.8 million net cash generated during the three months ended September 30, 2017. For the three months ended September 30, 2018, the primary operating activities were adjustments for non-cash charges of $41.4 million, partially offset by a net change in operating assets and liabilities of $40.6 million. The net change in operating assets and liabilities was primarily attributable to a $38.3 million increase in accounts receivable, a $30.0 million increase in inventories, a $13.8 million increase in prepaid expenses and other current assets, partially offset by a $22.3 million increase in accounts payable, a $16.0 million increase in other accrued liabilities, and a $3.7 million increase in income taxes payable. From June 30, 2018 to September 30, 2018, our days sales outstanding increased from 67 days to 72 days due to a much larger percentage of the quarter’s net revenue occurring late in the September 30, 2018 quarter compared with a smaller percentage of the quarter’s net revenue occurring late in the June 30, 2018 quarter. Our annual inventory turns decreased from seven to six. For the three months ended September 30, 2017, the primary operating activities were adjustments for non-cash charges of $46.2 million, a $20.1 million net change in operating assets and liabilities, partially offset by net loss of $26.5 million. The net change in operating assets and liabilities was primarily attributable to a $31.8 million decrease in inventory; a $22.0 million decrease in prepaid expenses and other current assets; a $13.2 million decrease in accounts receivable, net; partially offset by a $28.8 million decrease in accounts payable; a $13.5 million decrease in accrued compensation; and a $5.0 million decrease in other accrued liabilities. From June 30, 2017 to September 30, 2017, our days sales outstanding increased from 54 days to 55 days. Our annual inventory turns decreased from nine to six during the same period.</w:t>
      </w:r>
    </w:p>
    <w:p>
      <w:pPr>
        <w:spacing w:after="0" w:line="172"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Cash used in investing activities during the three months ended September 30, 2018 consisted of $6.8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purchases of property and equipment and $2.8 million from proceeds from sales of investments. Cash used in investing activities during the three months ended September 30, 2017 consisted of $396.8 million used for the acquisition of businesses and $11.4 million for purchase of property and equipment.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6" w:name="page27"/>
    <w:bookmarkEnd w:id="26"/>
    <w:p>
      <w:pPr>
        <w:ind w:right="200" w:firstLine="518"/>
        <w:spacing w:after="0" w:line="297" w:lineRule="auto"/>
        <w:rPr>
          <w:sz w:val="20"/>
          <w:szCs w:val="20"/>
          <w:color w:val="auto"/>
        </w:rPr>
      </w:pPr>
      <w:r>
        <w:rPr>
          <w:rFonts w:ascii="Arial" w:cs="Arial" w:eastAsia="Arial" w:hAnsi="Arial"/>
          <w:sz w:val="16"/>
          <w:szCs w:val="16"/>
          <w:i w:val="1"/>
          <w:iCs w:val="1"/>
          <w:color w:val="auto"/>
        </w:rPr>
        <w:t xml:space="preserve">Cash Flows from Financing Activities. </w:t>
      </w:r>
      <w:r>
        <w:rPr>
          <w:rFonts w:ascii="Arial" w:cs="Arial" w:eastAsia="Arial" w:hAnsi="Arial"/>
          <w:sz w:val="16"/>
          <w:szCs w:val="16"/>
          <w:color w:val="auto"/>
        </w:rPr>
        <w:t>Net cash used in financing activities for the three months ended September 30, 2018 was $38.2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with $200.4 million provided by financing activities for the three months ended September 30, 2017. Net cash used in financing activities for the three months ended September 30, 2018 was primarily related to $39.4 million used to repurchase 862,454 shares of our common stock. Net cash provided by financing activities for the three months ended September 30, 2017 primarily related to $514.5 million of proceeds from issuance of convertible debt, partially offset by $220.0 million used for the payment of debt, and $93.6 million used to repurchase 1,698,400 shares of our common stock.</w:t>
      </w:r>
    </w:p>
    <w:p>
      <w:pPr>
        <w:spacing w:after="0" w:line="15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i w:val="1"/>
          <w:iCs w:val="1"/>
          <w:color w:val="auto"/>
        </w:rPr>
        <w:t xml:space="preserve">Common Stock Repurchase Program. </w:t>
      </w:r>
      <w:r>
        <w:rPr>
          <w:rFonts w:ascii="Arial" w:cs="Arial" w:eastAsia="Arial" w:hAnsi="Arial"/>
          <w:sz w:val="17"/>
          <w:szCs w:val="17"/>
          <w:color w:val="auto"/>
        </w:rPr>
        <w:t>As of September 30, 2018, our board has cumulatively authorized $1.3 billion for our common stock repurchase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which will expire in July 2019. The program authorizes us to purchase our common stock in the open market or in privately negotiated transactions, depending upon market conditions and other factors. The number of shares purchased and the timing of purchases is based on the level of our cash balances, general business and market conditions, and other factors. Common stock purchased under this program is held as treasury stock. From April 2005 through September 30, 2018, we purchased 28,502,330 shares of our common stock in the open market for an aggregate cost of $1.1 billion. Treasury shares purchased prior to August 28, 2008 were not subject to the stock split on that date. During the three months ended September 30, 2018, we repurchased 862,454 shares of our common stock for a total cost of $39.4 million. As of September 30, 2018, the remaining available authorization under our common stock repurchase program is $186.7 million.</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On June 20, 2017, we entered into a purchase agreement, or the Purchase Agreement, with Wells Fargo Securities, LLC, as representative of the initial purchasers named therein, collectively, the Initial Purchasers, pursuant to which we agreed to issue and sell, and the Initial Purchasers agreed to purchase, $500 million aggregate principal amount of our 0.50% convertible senior notes due 2022, or the Notes, in a private placement transaction. Pursuant to the Purchase Agreement, we also granted the Initial Purchasers a 30-day option to purchase up to an additional $25 million aggregate principal amount of Notes, which was exercised in full on June 21, 2017. The net proceeds, after deducting the Initial Purchasers’ discounts, were $514.5 million, which includes proceeds from the Initial Purchasers’ exercise of their option to purchase additional Notes. We received the net proceeds on June 26, 2017, which we used to repurchase shares of our common stock, retire our outstanding bank debt, and provide additional cash resources to fund the Conexant Acquisition and Marvell Business Acquisition.</w:t>
      </w:r>
    </w:p>
    <w:p>
      <w:pPr>
        <w:spacing w:after="0" w:line="179"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color w:val="252525"/>
        </w:rPr>
        <w:t>The Notes bear interest at a rate of 0.50% per year. Interest accrued from June 26, 2017 and is payable semi-annually in arrears, on June 15 and December 15 of each year, beginning on December 15, 2017.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5"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1" w:lineRule="exact"/>
        <w:rPr>
          <w:sz w:val="20"/>
          <w:szCs w:val="20"/>
          <w:color w:val="auto"/>
        </w:rPr>
      </w:pPr>
    </w:p>
    <w:p>
      <w:pPr>
        <w:ind w:right="820" w:firstLine="518"/>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24"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may not redeem the Notes prior to June 20, 2020. We may redeem for cash all or any portion of the Notes, at our option, on or after June 20, 2020,</w:t>
      </w:r>
      <w:r>
        <w:rPr>
          <w:rFonts w:ascii="Arial" w:cs="Arial" w:eastAsia="Arial" w:hAnsi="Arial"/>
          <w:sz w:val="18"/>
          <w:szCs w:val="18"/>
          <w:color w:val="auto"/>
        </w:rPr>
        <w:t xml:space="preserve"> </w:t>
      </w:r>
      <w:r>
        <w:rPr>
          <w:rFonts w:ascii="Arial" w:cs="Arial" w:eastAsia="Arial" w:hAnsi="Arial"/>
          <w:sz w:val="18"/>
          <w:szCs w:val="18"/>
          <w:color w:val="252525"/>
        </w:rPr>
        <w:t>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jc w:val="both"/>
        <w:ind w:right="240" w:firstLine="518"/>
        <w:spacing w:after="0" w:line="276" w:lineRule="auto"/>
        <w:rPr>
          <w:sz w:val="20"/>
          <w:szCs w:val="20"/>
          <w:color w:val="auto"/>
        </w:rPr>
      </w:pPr>
      <w:r>
        <w:rPr>
          <w:rFonts w:ascii="Arial" w:cs="Arial" w:eastAsia="Arial" w:hAnsi="Arial"/>
          <w:sz w:val="17"/>
          <w:szCs w:val="17"/>
          <w:i w:val="1"/>
          <w:iCs w:val="1"/>
          <w:color w:val="auto"/>
        </w:rPr>
        <w:t xml:space="preserve">Bank Credit Facility. </w:t>
      </w:r>
      <w:r>
        <w:rPr>
          <w:rFonts w:ascii="Arial" w:cs="Arial" w:eastAsia="Arial" w:hAnsi="Arial"/>
          <w:sz w:val="17"/>
          <w:szCs w:val="17"/>
          <w:color w:val="auto"/>
        </w:rPr>
        <w:t>We have a $200.0 million revolving credit facility, which includes a $20 million sublimit for letters of credit and a $20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sublimit for swingline loans. Under the terms of the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 As of September 30, 2018, there was no balance outstanding under the revolving credit facility.</w:t>
      </w:r>
    </w:p>
    <w:p>
      <w:pPr>
        <w:spacing w:after="0" w:line="173"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The revolving credit facility is required to be repaid in full on the earlier of (i) September 27, 2022 and (ii) the date 91 days prior to the Maturity Date of the Notes if the Notes have not been refinanced in full by such date. Debt issuance costs of $2.3 million are amortizing over 60 months.</w:t>
      </w:r>
    </w:p>
    <w:p>
      <w:pPr>
        <w:spacing w:after="0" w:line="14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obligations under the Agreement are guaranteed by the material domestic subsidiaries of our company, subject to certain exceptions (such material subsidiaries, together with our company, collectively, the Credit Parties). The obligations of the Credit Parties under the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 As of September 30, 2018, there is no balance outstanding under the revolving credit facility.</w:t>
      </w:r>
    </w:p>
    <w:p>
      <w:pPr>
        <w:spacing w:after="0" w:line="178"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Under the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3.50 to 1.00 provided that for the four fiscal quarters ending after the date of a material acquisition, such maximum leverage ratio shall be adjusted to 3.75 to 1.00, and thereafter, shall not be more than 3.50 to 1.00.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3.00 to 1.00.</w:t>
      </w:r>
    </w:p>
    <w:p>
      <w:pPr>
        <w:spacing w:after="0" w:line="167" w:lineRule="exact"/>
        <w:rPr>
          <w:sz w:val="20"/>
          <w:szCs w:val="20"/>
          <w:color w:val="auto"/>
        </w:rPr>
      </w:pPr>
    </w:p>
    <w:p>
      <w:pPr>
        <w:jc w:val="both"/>
        <w:ind w:right="240" w:firstLine="518"/>
        <w:spacing w:after="0" w:line="312" w:lineRule="auto"/>
        <w:rPr>
          <w:sz w:val="20"/>
          <w:szCs w:val="20"/>
          <w:color w:val="auto"/>
        </w:rPr>
      </w:pPr>
      <w:r>
        <w:rPr>
          <w:rFonts w:ascii="Arial" w:cs="Arial" w:eastAsia="Arial" w:hAnsi="Arial"/>
          <w:sz w:val="16"/>
          <w:szCs w:val="16"/>
          <w:i w:val="1"/>
          <w:iCs w:val="1"/>
          <w:color w:val="auto"/>
        </w:rPr>
        <w:t xml:space="preserve">$100 Million Shelf Registration. </w:t>
      </w:r>
      <w:r>
        <w:rPr>
          <w:rFonts w:ascii="Arial" w:cs="Arial" w:eastAsia="Arial" w:hAnsi="Arial"/>
          <w:sz w:val="16"/>
          <w:szCs w:val="16"/>
          <w:color w:val="auto"/>
        </w:rPr>
        <w:t>We have registered an aggregate of $100.0 million of common stock and preferred stock for issuance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acquisitions, which shares will generally be freely tradeable after their issuance under Rule 145 of the Securities Act unless held by an affiliate of the acquired company, in which case such shares will be subject to the volume and manner of sale restrictions of Rule 144 of the Securities Act.</w:t>
      </w:r>
    </w:p>
    <w:p>
      <w:pPr>
        <w:spacing w:after="0" w:line="147"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We believe our existing cash and cash equivalents, anticipated cash flows from operating activities, and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credit under our revolving credit agreement will be sufficient to meet our working capital and other cash requirements for at least the next 12 months, and our debt service obligations. Our future capital requirements will depend on many factors, including our revenue,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introductions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take advantage of business opportunities or to respond to competitive pressures could be limited or severely constrained.</w:t>
      </w:r>
    </w:p>
    <w:p>
      <w:pPr>
        <w:spacing w:after="0" w:line="16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Based on our ability to access our cash and cash equivalents, our expected operating cash flows, and our other sources of cash, we do not anticipate the need to remit undistributed earnings of our foreign subsidiaries to meet our working capital and other cash requirements, but if we did remit such earnings, we may be required to accrue and pay certain state and foreign taxes to repatriate these funds, which would adversely impact our financial position and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gridSpan w:val="19"/>
          </w:tcPr>
          <w:p>
            <w:pPr>
              <w:jc w:val="right"/>
              <w:spacing w:after="0"/>
              <w:rPr>
                <w:sz w:val="20"/>
                <w:szCs w:val="20"/>
                <w:color w:val="auto"/>
              </w:rPr>
            </w:pPr>
            <w:r>
              <w:rPr>
                <w:rFonts w:ascii="Arial" w:cs="Arial" w:eastAsia="Arial" w:hAnsi="Arial"/>
                <w:sz w:val="18"/>
                <w:szCs w:val="18"/>
                <w:color w:val="auto"/>
                <w:w w:val="96"/>
              </w:rPr>
              <w:t>Our material contractual obligations and commercial commitments as of September 30, 2018 were as follows (in millions):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1"/>
        </w:trPr>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color w:val="auto"/>
              </w:rPr>
              <w:t>Remaining</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in Fiscal</w:t>
            </w:r>
          </w:p>
        </w:tc>
        <w:tc>
          <w:tcPr>
            <w:tcW w:w="12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Fiscal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Fiscal</w:t>
            </w:r>
          </w:p>
        </w:tc>
        <w:tc>
          <w:tcPr>
            <w:tcW w:w="1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Fiscal</w:t>
            </w:r>
          </w:p>
        </w:tc>
        <w:tc>
          <w:tcPr>
            <w:tcW w:w="1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Fiscal</w:t>
            </w:r>
          </w:p>
        </w:tc>
        <w:tc>
          <w:tcPr>
            <w:tcW w:w="120" w:type="dxa"/>
            <w:vAlign w:val="bottom"/>
          </w:tcPr>
          <w:p>
            <w:pPr>
              <w:spacing w:after="0"/>
              <w:rPr>
                <w:sz w:val="18"/>
                <w:szCs w:val="18"/>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Fiscal</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Year 2019</w:t>
            </w:r>
          </w:p>
        </w:tc>
        <w:tc>
          <w:tcPr>
            <w:tcW w:w="12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w w:val="86"/>
              </w:rPr>
              <w:t>Year 2020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Year 2021</w:t>
            </w:r>
          </w:p>
        </w:tc>
        <w:tc>
          <w:tcPr>
            <w:tcW w:w="1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Year 2022</w:t>
            </w:r>
          </w:p>
        </w:tc>
        <w:tc>
          <w:tcPr>
            <w:tcW w:w="12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Year 2023</w:t>
            </w:r>
          </w:p>
        </w:tc>
        <w:tc>
          <w:tcPr>
            <w:tcW w:w="1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w w:val="86"/>
              </w:rPr>
              <w:t>Year 2024</w:t>
            </w:r>
          </w:p>
        </w:tc>
        <w:tc>
          <w:tcPr>
            <w:tcW w:w="2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1"/>
              </w:rPr>
              <w:t>Thereafter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Total</w:t>
            </w:r>
          </w:p>
        </w:tc>
      </w:tr>
      <w:tr>
        <w:trPr>
          <w:trHeight w:val="223"/>
        </w:trPr>
        <w:tc>
          <w:tcPr>
            <w:tcW w:w="2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535.4</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2560" w:type="dxa"/>
            <w:vAlign w:val="bottom"/>
            <w:gridSpan w:val="2"/>
          </w:tcPr>
          <w:p>
            <w:pPr>
              <w:spacing w:after="0"/>
              <w:rPr>
                <w:sz w:val="20"/>
                <w:szCs w:val="20"/>
                <w:color w:val="auto"/>
              </w:rPr>
            </w:pPr>
            <w:r>
              <w:rPr>
                <w:rFonts w:ascii="Arial" w:cs="Arial" w:eastAsia="Arial" w:hAnsi="Arial"/>
                <w:sz w:val="18"/>
                <w:szCs w:val="18"/>
                <w:color w:val="auto"/>
              </w:rPr>
              <w:t>Leases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9"/>
                <w:szCs w:val="19"/>
                <w:color w:val="auto"/>
              </w:rPr>
            </w:pPr>
          </w:p>
        </w:tc>
      </w:tr>
      <w:tr>
        <w:trPr>
          <w:trHeight w:val="215"/>
        </w:trPr>
        <w:tc>
          <w:tcPr>
            <w:tcW w:w="2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Purchase obligations and</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2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15"/>
                <w:szCs w:val="15"/>
                <w:color w:val="auto"/>
              </w:rPr>
              <w:t>(2)</w:t>
            </w: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60" w:type="dxa"/>
            <w:vAlign w:val="bottom"/>
            <w:shd w:val="clear" w:color="auto" w:fill="CFF0FC"/>
          </w:tcPr>
          <w:p>
            <w:pPr>
              <w:spacing w:after="0"/>
              <w:rPr>
                <w:sz w:val="20"/>
                <w:szCs w:val="20"/>
                <w:color w:val="auto"/>
              </w:rPr>
            </w:pPr>
          </w:p>
        </w:tc>
      </w:tr>
      <w:tr>
        <w:trPr>
          <w:trHeight w:val="230"/>
        </w:trPr>
        <w:tc>
          <w:tcPr>
            <w:tcW w:w="2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15"/>
                <w:szCs w:val="15"/>
                <w:color w:val="auto"/>
              </w:rPr>
              <w:t>(3)</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60" w:type="dxa"/>
            <w:vAlign w:val="bottom"/>
            <w:tcBorders>
              <w:bottom w:val="single" w:sz="8" w:color="CFF0FC"/>
            </w:tcBorders>
          </w:tcPr>
          <w:p>
            <w:pPr>
              <w:spacing w:after="0"/>
              <w:rPr>
                <w:sz w:val="19"/>
                <w:szCs w:val="19"/>
                <w:color w:val="auto"/>
              </w:rPr>
            </w:pPr>
          </w:p>
        </w:tc>
      </w:tr>
      <w:tr>
        <w:trPr>
          <w:trHeight w:val="223"/>
        </w:trPr>
        <w:tc>
          <w:tcPr>
            <w:tcW w:w="25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528.1</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principal and interest payable through the maturity date of the underlying contractual obligation.</w:t>
      </w:r>
    </w:p>
    <w:p>
      <w:pPr>
        <w:spacing w:after="0" w:line="49" w:lineRule="exact"/>
        <w:rPr>
          <w:rFonts w:ascii="Arial" w:cs="Arial" w:eastAsia="Arial" w:hAnsi="Arial"/>
          <w:sz w:val="18"/>
          <w:szCs w:val="18"/>
          <w:color w:val="auto"/>
        </w:rPr>
      </w:pPr>
    </w:p>
    <w:p>
      <w:pPr>
        <w:ind w:left="520" w:right="660" w:hanging="512"/>
        <w:spacing w:after="0" w:line="274"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 obligations and other commitments include payments due for inventory purchase obligations with contract manufacturers, long-term software tool licenses, and other licenses.</w:t>
      </w: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payments retained in connection with the earnout consideration related to the Validity acquisition.</w:t>
      </w:r>
    </w:p>
    <w:p>
      <w:pPr>
        <w:spacing w:after="0" w:line="225"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 xml:space="preserve">In connection with the Validity acquisition in November 2013, we entered into a contingent consideration arrangement. The earnout period for this arrangement was complete as of March 31, 2016. As of September 30, 2018, $6.8 million of the final earnout consideration liability is outstanding; this balance represents the amounts we paid in our second quarter of fiscal 2019, in accordance with the final order settling an indemnification claim against the former stockholders and option holders of Validity (see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under Note 8 included in the condensed consolidated financial statements contained elsewhere in this Report).</w:t>
      </w:r>
    </w:p>
    <w:p>
      <w:pPr>
        <w:spacing w:after="0" w:line="188" w:lineRule="exact"/>
        <w:rPr>
          <w:sz w:val="20"/>
          <w:szCs w:val="20"/>
          <w:color w:val="auto"/>
        </w:rPr>
      </w:pPr>
    </w:p>
    <w:p>
      <w:pPr>
        <w:ind w:right="20" w:firstLine="518"/>
        <w:spacing w:after="0" w:line="308" w:lineRule="auto"/>
        <w:rPr>
          <w:sz w:val="20"/>
          <w:szCs w:val="20"/>
          <w:color w:val="auto"/>
        </w:rPr>
      </w:pPr>
      <w:r>
        <w:rPr>
          <w:rFonts w:ascii="Arial" w:cs="Arial" w:eastAsia="Arial" w:hAnsi="Arial"/>
          <w:sz w:val="17"/>
          <w:szCs w:val="17"/>
          <w:color w:val="auto"/>
        </w:rPr>
        <w:t>The amounts in the table above exclude the provisional amount for our one-time transition tax liability for our foreign subsidiaries of $44.1 million. As of September 30, 2018, the amount recorded is a provisional amount and may change as we prepare our fiscal 2018 tax return.</w:t>
      </w:r>
    </w:p>
    <w:p>
      <w:pPr>
        <w:spacing w:after="0" w:line="147"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The amounts in the table above exclude unrecognized tax benefits of $23.8 million. As of September 30, 2018, we were unable to make a reasonably reliable estimate of when cash settlement with a taxing authority may occur in connection with our gross unrecognized tax benefit.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Effective</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 February 2016, the Financial Accounting Standards Board issued an Accounting Standard Update on Leases. This update requires organizations that lease assets with lease terms of more than 12 months to recognize assets and liabilities for the rights and obligations created by those leases on their balance sheets. It also requires new qualitative and quantitative disclosures to help investors and other financial statement users better understand the amount, timing, and uncertainty of cash flows arising from leases. The new standard will be effective for us beginning in the first quarter of our fiscal year 2020, with early adoption permitted. We are evaluating the effects of adoption of this ASU on our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60" w:firstLine="518"/>
        <w:spacing w:after="0" w:line="308" w:lineRule="auto"/>
        <w:rPr>
          <w:sz w:val="20"/>
          <w:szCs w:val="20"/>
          <w:color w:val="auto"/>
        </w:rPr>
      </w:pPr>
      <w:r>
        <w:rPr>
          <w:rFonts w:ascii="Arial" w:cs="Arial" w:eastAsia="Arial" w:hAnsi="Arial"/>
          <w:sz w:val="17"/>
          <w:szCs w:val="17"/>
          <w:color w:val="auto"/>
        </w:rPr>
        <w:t>As of September 30, 2018, our market risk related to interest rates on our cash and cash equivalents, and foreign currency exchange risks has not changed materially from the risks disclosed in Item 7A of our Annual Report on Form 10-K for the fiscal year ended June 30,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Rate Risk</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As of September 30, 2018, there is no balance outstanding under our revolving credit facility. 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right="60" w:firstLine="518"/>
        <w:spacing w:after="0" w:line="279" w:lineRule="auto"/>
        <w:rPr>
          <w:sz w:val="20"/>
          <w:szCs w:val="20"/>
          <w:color w:val="auto"/>
        </w:rPr>
      </w:pPr>
      <w:r>
        <w:rPr>
          <w:rFonts w:ascii="Arial" w:cs="Arial" w:eastAsia="Arial" w:hAnsi="Arial"/>
          <w:sz w:val="17"/>
          <w:szCs w:val="17"/>
          <w:color w:val="auto"/>
        </w:rPr>
        <w:t>Disclosure controls and procedures are controls and procedures designed to reasonably ensure that information required to be disclosed in our reports filed under the Exchange Act, such as this Report, are recorded, processed, summarized and reported within the time periods specified in the SEC’s rules and forms, and to reasonably ensure that such information is accumulated and communicated to our management, including the Chief Executive Officer, or CEO, and the Chief Financial Officer, or CFO, as appropriate, to allow timely decisions regarding required disclosure.</w:t>
      </w:r>
    </w:p>
    <w:p>
      <w:pPr>
        <w:spacing w:after="0" w:line="17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Under the supervision and with the participation of our management, including our CEO and CFO, we evaluated the effectiveness of the design and operation of our disclosure controls and procedures as of the end of the period covered by this Report. Based on this evaluation, our CEO and CFO concluded that our disclosure controls and procedures were effective as of the end of the period covered by this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three months ended September 30, 2018 that have materially affected, or are reasonably likely to materially affect, our internal control over financial reporting.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252525"/>
        </w:rPr>
        <w:t>There are no material changes to the Company’s risk factors set forth in Part I, Item 1A, “Risk Factors,” of our Annual Report on Form 10-K for the fiscal year ended June 30, 2018.</w:t>
      </w:r>
    </w:p>
    <w:p>
      <w:pPr>
        <w:spacing w:after="0" w:line="356" w:lineRule="exact"/>
        <w:rPr>
          <w:sz w:val="20"/>
          <w:szCs w:val="20"/>
          <w:color w:val="auto"/>
        </w:rPr>
      </w:pPr>
    </w:p>
    <w:p>
      <w:pPr>
        <w:ind w:right="432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ind w:right="300" w:firstLine="518"/>
        <w:spacing w:after="0" w:line="312" w:lineRule="auto"/>
        <w:rPr>
          <w:sz w:val="20"/>
          <w:szCs w:val="20"/>
          <w:color w:val="auto"/>
        </w:rPr>
      </w:pPr>
      <w:r>
        <w:rPr>
          <w:rFonts w:ascii="Arial" w:cs="Arial" w:eastAsia="Arial" w:hAnsi="Arial"/>
          <w:sz w:val="16"/>
          <w:szCs w:val="16"/>
          <w:color w:val="auto"/>
        </w:rPr>
        <w:t>As announced on July 24, 2017, our Board of Directors has cumulatively authorized $1.3 billion for our common stock repurchase program, which expires at the end of July 2019. As of September 30, 2018, the remaining amount authorized for the repurchase of our common stock is $186.7 million. Repurchases under our common stock repurchase program during the three-month period ended September 29, 2018,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Total Number</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Value of Shares</w:t>
            </w:r>
          </w:p>
        </w:tc>
      </w:tr>
      <w:tr>
        <w:trPr>
          <w:trHeight w:val="230"/>
        </w:trPr>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Average</w:t>
            </w:r>
          </w:p>
        </w:tc>
        <w:tc>
          <w:tcPr>
            <w:tcW w:w="152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that May Be</w:t>
            </w:r>
          </w:p>
        </w:tc>
      </w:tr>
      <w:tr>
        <w:trPr>
          <w:trHeight w:val="230"/>
        </w:trPr>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Price</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as Part of</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Purchased</w:t>
            </w:r>
          </w:p>
        </w:tc>
      </w:tr>
      <w:tr>
        <w:trPr>
          <w:trHeight w:val="230"/>
        </w:trPr>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Paid</w:t>
            </w:r>
          </w:p>
        </w:tc>
        <w:tc>
          <w:tcPr>
            <w:tcW w:w="152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in the Future</w:t>
            </w:r>
          </w:p>
        </w:tc>
      </w:tr>
      <w:tr>
        <w:trPr>
          <w:trHeight w:val="230"/>
        </w:trPr>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per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Announced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Under the</w:t>
            </w: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8"/>
                <w:szCs w:val="18"/>
                <w:color w:val="auto"/>
                <w:w w:val="83"/>
              </w:rPr>
              <w:t>Share</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Program</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Program</w:t>
            </w:r>
          </w:p>
        </w:tc>
      </w:tr>
      <w:tr>
        <w:trPr>
          <w:trHeight w:val="223"/>
        </w:trPr>
        <w:tc>
          <w:tcPr>
            <w:tcW w:w="4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July 1, 2018 - July 28, 2018</w:t>
            </w:r>
          </w:p>
        </w:tc>
        <w:tc>
          <w:tcPr>
            <w:tcW w:w="18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226,080,000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July 29, 2018 - August 25, 2018</w:t>
            </w:r>
          </w:p>
        </w:tc>
        <w:tc>
          <w:tcPr>
            <w:tcW w:w="1500" w:type="dxa"/>
            <w:vAlign w:val="bottom"/>
          </w:tcPr>
          <w:p>
            <w:pPr>
              <w:jc w:val="right"/>
              <w:spacing w:after="0"/>
              <w:rPr>
                <w:sz w:val="20"/>
                <w:szCs w:val="20"/>
                <w:color w:val="auto"/>
              </w:rPr>
            </w:pPr>
            <w:r>
              <w:rPr>
                <w:rFonts w:ascii="Arial" w:cs="Arial" w:eastAsia="Arial" w:hAnsi="Arial"/>
                <w:sz w:val="18"/>
                <w:szCs w:val="18"/>
                <w:color w:val="auto"/>
              </w:rPr>
              <w:t>298,396</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44.57</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298,396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212,781,000</w:t>
            </w:r>
          </w:p>
        </w:tc>
        <w:tc>
          <w:tcPr>
            <w:tcW w:w="100" w:type="dxa"/>
            <w:vAlign w:val="bottom"/>
          </w:tcPr>
          <w:p>
            <w:pPr>
              <w:spacing w:after="0"/>
              <w:rPr>
                <w:sz w:val="19"/>
                <w:szCs w:val="19"/>
                <w:color w:val="auto"/>
              </w:rPr>
            </w:pPr>
          </w:p>
        </w:tc>
      </w:tr>
      <w:tr>
        <w:trPr>
          <w:trHeight w:val="230"/>
        </w:trPr>
        <w:tc>
          <w:tcPr>
            <w:tcW w:w="4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August 26, 2018 - September 29, 2018</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564,058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46.16</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564,058</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186,743,000</w:t>
            </w:r>
          </w:p>
        </w:tc>
        <w:tc>
          <w:tcPr>
            <w:tcW w:w="100" w:type="dxa"/>
            <w:vAlign w:val="bottom"/>
            <w:shd w:val="clear" w:color="auto" w:fill="CFF0FC"/>
          </w:tcPr>
          <w:p>
            <w:pPr>
              <w:spacing w:after="0"/>
              <w:rPr>
                <w:sz w:val="19"/>
                <w:szCs w:val="19"/>
                <w:color w:val="auto"/>
              </w:rPr>
            </w:pPr>
          </w:p>
        </w:tc>
      </w:tr>
      <w:tr>
        <w:trPr>
          <w:trHeight w:val="223"/>
        </w:trPr>
        <w:tc>
          <w:tcPr>
            <w:tcW w:w="446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862,454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100"/>
              <w:spacing w:after="0"/>
              <w:rPr>
                <w:sz w:val="20"/>
                <w:szCs w:val="20"/>
                <w:color w:val="auto"/>
              </w:rPr>
            </w:pPr>
            <w:r>
              <w:rPr>
                <w:rFonts w:ascii="Arial" w:cs="Arial" w:eastAsia="Arial" w:hAnsi="Arial"/>
                <w:sz w:val="18"/>
                <w:szCs w:val="18"/>
                <w:color w:val="auto"/>
              </w:rPr>
              <w:t>31.1</w:t>
            </w:r>
          </w:p>
        </w:tc>
        <w:tc>
          <w:tcPr>
            <w:tcW w:w="288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Certification of Chief Executive Officer</w:t>
              </w:r>
            </w:hyperlink>
          </w:p>
        </w:tc>
        <w:tc>
          <w:tcPr>
            <w:tcW w:w="1600" w:type="dxa"/>
            <w:vAlign w:val="bottom"/>
            <w:gridSpan w:val="3"/>
          </w:tcPr>
          <w:p>
            <w:pPr>
              <w:spacing w:after="0"/>
              <w:rPr>
                <w:sz w:val="17"/>
                <w:szCs w:val="17"/>
                <w:color w:val="auto"/>
              </w:rPr>
            </w:pPr>
          </w:p>
        </w:tc>
      </w:tr>
      <w:tr>
        <w:trPr>
          <w:trHeight w:val="399"/>
        </w:trPr>
        <w:tc>
          <w:tcPr>
            <w:tcW w:w="1160" w:type="dxa"/>
            <w:vAlign w:val="bottom"/>
          </w:tcPr>
          <w:p>
            <w:pPr>
              <w:ind w:left="100"/>
              <w:spacing w:after="0"/>
              <w:rPr>
                <w:sz w:val="20"/>
                <w:szCs w:val="20"/>
                <w:color w:val="auto"/>
              </w:rPr>
            </w:pPr>
            <w:r>
              <w:rPr>
                <w:rFonts w:ascii="Arial" w:cs="Arial" w:eastAsia="Arial" w:hAnsi="Arial"/>
                <w:sz w:val="18"/>
                <w:szCs w:val="18"/>
                <w:color w:val="auto"/>
              </w:rPr>
              <w:t>31.2</w:t>
            </w:r>
          </w:p>
        </w:tc>
        <w:tc>
          <w:tcPr>
            <w:tcW w:w="4480" w:type="dxa"/>
            <w:vAlign w:val="bottom"/>
            <w:gridSpan w:val="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Certification of Chief Financial Officer</w:t>
              </w:r>
            </w:hyperlink>
          </w:p>
        </w:tc>
      </w:tr>
      <w:tr>
        <w:trPr>
          <w:trHeight w:val="20"/>
        </w:trPr>
        <w:tc>
          <w:tcPr>
            <w:tcW w:w="116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31"/>
        </w:trPr>
        <w:tc>
          <w:tcPr>
            <w:tcW w:w="1160" w:type="dxa"/>
            <w:vAlign w:val="bottom"/>
          </w:tcPr>
          <w:p>
            <w:pPr>
              <w:ind w:left="100"/>
              <w:spacing w:after="0"/>
              <w:rPr>
                <w:sz w:val="20"/>
                <w:szCs w:val="20"/>
                <w:color w:val="auto"/>
              </w:rPr>
            </w:pPr>
            <w:r>
              <w:rPr>
                <w:rFonts w:ascii="Arial" w:cs="Arial" w:eastAsia="Arial" w:hAnsi="Arial"/>
                <w:sz w:val="18"/>
                <w:szCs w:val="18"/>
                <w:color w:val="auto"/>
              </w:rPr>
              <w:t>32.1**</w:t>
            </w:r>
          </w:p>
        </w:tc>
        <w:tc>
          <w:tcPr>
            <w:tcW w:w="4480" w:type="dxa"/>
            <w:vAlign w:val="bottom"/>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Section 1350 Certification of Chief Executive Officer</w:t>
              </w:r>
            </w:hyperlink>
          </w:p>
        </w:tc>
      </w:tr>
      <w:tr>
        <w:trPr>
          <w:trHeight w:val="331"/>
        </w:trPr>
        <w:tc>
          <w:tcPr>
            <w:tcW w:w="1160" w:type="dxa"/>
            <w:vAlign w:val="bottom"/>
          </w:tcPr>
          <w:p>
            <w:pPr>
              <w:ind w:left="100"/>
              <w:spacing w:after="0"/>
              <w:rPr>
                <w:sz w:val="20"/>
                <w:szCs w:val="20"/>
                <w:color w:val="auto"/>
              </w:rPr>
            </w:pPr>
            <w:r>
              <w:rPr>
                <w:rFonts w:ascii="Arial" w:cs="Arial" w:eastAsia="Arial" w:hAnsi="Arial"/>
                <w:sz w:val="18"/>
                <w:szCs w:val="18"/>
                <w:color w:val="auto"/>
              </w:rPr>
              <w:t>32.2**</w:t>
            </w:r>
          </w:p>
        </w:tc>
        <w:tc>
          <w:tcPr>
            <w:tcW w:w="38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Section 1350 Certification of Chief Financial Officer</w:t>
              </w:r>
            </w:hyperlink>
          </w:p>
        </w:tc>
        <w:tc>
          <w:tcPr>
            <w:tcW w:w="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r>
      <w:tr>
        <w:trPr>
          <w:trHeight w:val="37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448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351"/>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44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51"/>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4480" w:type="dxa"/>
            <w:vAlign w:val="bottom"/>
            <w:gridSpan w:val="5"/>
          </w:tcPr>
          <w:p>
            <w:pPr>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51"/>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4480" w:type="dxa"/>
            <w:vAlign w:val="bottom"/>
            <w:gridSpan w:val="5"/>
          </w:tcPr>
          <w:p>
            <w:pPr>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51"/>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448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51"/>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4480" w:type="dxa"/>
            <w:vAlign w:val="bottom"/>
            <w:gridSpan w:val="5"/>
          </w:tcPr>
          <w:p>
            <w:pPr>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4490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2" w:lineRule="exact"/>
        <w:rPr>
          <w:sz w:val="20"/>
          <w:szCs w:val="20"/>
          <w:color w:val="auto"/>
        </w:rPr>
      </w:pPr>
    </w:p>
    <w:p>
      <w:pPr>
        <w:ind w:left="520" w:hanging="512"/>
        <w:spacing w:after="0" w:line="27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information is furnished and not filed for purposes of Sections 11 and 12 of the Securities Act of 1933 and Section 18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3120"/>
              <w:spacing w:after="0"/>
              <w:rPr>
                <w:sz w:val="20"/>
                <w:szCs w:val="20"/>
                <w:color w:val="auto"/>
              </w:rPr>
            </w:pPr>
            <w:r>
              <w:rPr>
                <w:rFonts w:ascii="Arial" w:cs="Arial" w:eastAsia="Arial" w:hAnsi="Arial"/>
                <w:sz w:val="18"/>
                <w:szCs w:val="18"/>
                <w:b w:val="1"/>
                <w:bCs w:val="1"/>
                <w:color w:val="auto"/>
              </w:rPr>
              <w:t>SYNAPTICS INCORPORATED</w:t>
            </w:r>
          </w:p>
        </w:tc>
      </w:tr>
      <w:tr>
        <w:trPr>
          <w:trHeight w:val="459"/>
        </w:trPr>
        <w:tc>
          <w:tcPr>
            <w:tcW w:w="3720" w:type="dxa"/>
            <w:vAlign w:val="bottom"/>
          </w:tcPr>
          <w:p>
            <w:pPr>
              <w:spacing w:after="0"/>
              <w:rPr>
                <w:sz w:val="20"/>
                <w:szCs w:val="20"/>
                <w:color w:val="auto"/>
              </w:rPr>
            </w:pPr>
            <w:r>
              <w:rPr>
                <w:rFonts w:ascii="Arial" w:cs="Arial" w:eastAsia="Arial" w:hAnsi="Arial"/>
                <w:sz w:val="18"/>
                <w:szCs w:val="18"/>
                <w:color w:val="auto"/>
              </w:rPr>
              <w:t>Date: November 8, 2018</w:t>
            </w:r>
          </w:p>
        </w:tc>
        <w:tc>
          <w:tcPr>
            <w:tcW w:w="3720" w:type="dxa"/>
            <w:vAlign w:val="bottom"/>
          </w:tcPr>
          <w:p>
            <w:pPr>
              <w:ind w:left="31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A. Bergman</w:t>
            </w:r>
          </w:p>
        </w:tc>
      </w:tr>
      <w:tr>
        <w:trPr>
          <w:trHeight w:val="195"/>
        </w:trPr>
        <w:tc>
          <w:tcPr>
            <w:tcW w:w="3720" w:type="dxa"/>
            <w:vAlign w:val="bottom"/>
          </w:tcPr>
          <w:p>
            <w:pPr>
              <w:spacing w:after="0"/>
              <w:rPr>
                <w:sz w:val="16"/>
                <w:szCs w:val="16"/>
                <w:color w:val="auto"/>
              </w:rPr>
            </w:pPr>
          </w:p>
        </w:tc>
        <w:tc>
          <w:tcPr>
            <w:tcW w:w="3720" w:type="dxa"/>
            <w:vAlign w:val="bottom"/>
          </w:tcPr>
          <w:p>
            <w:pPr>
              <w:ind w:left="312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Richard A. Bergman</w:t>
            </w:r>
          </w:p>
        </w:tc>
      </w:tr>
      <w:tr>
        <w:trPr>
          <w:trHeight w:val="230"/>
        </w:trPr>
        <w:tc>
          <w:tcPr>
            <w:tcW w:w="3720" w:type="dxa"/>
            <w:vAlign w:val="bottom"/>
          </w:tcPr>
          <w:p>
            <w:pPr>
              <w:spacing w:after="0"/>
              <w:rPr>
                <w:sz w:val="20"/>
                <w:szCs w:val="20"/>
                <w:color w:val="auto"/>
              </w:rPr>
            </w:pPr>
          </w:p>
        </w:tc>
        <w:tc>
          <w:tcPr>
            <w:tcW w:w="3720" w:type="dxa"/>
            <w:vAlign w:val="bottom"/>
          </w:tcPr>
          <w:p>
            <w:pPr>
              <w:ind w:left="31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720" w:type="dxa"/>
            <w:vAlign w:val="bottom"/>
          </w:tcPr>
          <w:p>
            <w:pPr>
              <w:spacing w:after="0"/>
              <w:rPr>
                <w:sz w:val="20"/>
                <w:szCs w:val="20"/>
                <w:color w:val="auto"/>
              </w:rPr>
            </w:pPr>
            <w:r>
              <w:rPr>
                <w:rFonts w:ascii="Arial" w:cs="Arial" w:eastAsia="Arial" w:hAnsi="Arial"/>
                <w:sz w:val="18"/>
                <w:szCs w:val="18"/>
                <w:color w:val="auto"/>
              </w:rPr>
              <w:t>Date: November 8, 2018</w:t>
            </w:r>
          </w:p>
        </w:tc>
        <w:tc>
          <w:tcPr>
            <w:tcW w:w="3720" w:type="dxa"/>
            <w:vAlign w:val="bottom"/>
          </w:tcPr>
          <w:p>
            <w:pPr>
              <w:ind w:left="31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Wajid Ali</w:t>
            </w:r>
          </w:p>
        </w:tc>
      </w:tr>
      <w:tr>
        <w:trPr>
          <w:trHeight w:val="195"/>
        </w:trPr>
        <w:tc>
          <w:tcPr>
            <w:tcW w:w="3720" w:type="dxa"/>
            <w:vAlign w:val="bottom"/>
          </w:tcPr>
          <w:p>
            <w:pPr>
              <w:spacing w:after="0"/>
              <w:rPr>
                <w:sz w:val="16"/>
                <w:szCs w:val="16"/>
                <w:color w:val="auto"/>
              </w:rPr>
            </w:pPr>
          </w:p>
        </w:tc>
        <w:tc>
          <w:tcPr>
            <w:tcW w:w="3720" w:type="dxa"/>
            <w:vAlign w:val="bottom"/>
          </w:tcPr>
          <w:p>
            <w:pPr>
              <w:ind w:left="312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Wajid Ali</w:t>
            </w:r>
          </w:p>
        </w:tc>
      </w:tr>
      <w:tr>
        <w:trPr>
          <w:trHeight w:val="230"/>
        </w:trPr>
        <w:tc>
          <w:tcPr>
            <w:tcW w:w="3720" w:type="dxa"/>
            <w:vAlign w:val="bottom"/>
          </w:tcPr>
          <w:p>
            <w:pPr>
              <w:spacing w:after="0"/>
              <w:rPr>
                <w:sz w:val="20"/>
                <w:szCs w:val="20"/>
                <w:color w:val="auto"/>
              </w:rPr>
            </w:pPr>
          </w:p>
        </w:tc>
        <w:tc>
          <w:tcPr>
            <w:tcW w:w="3720" w:type="dxa"/>
            <w:vAlign w:val="bottom"/>
          </w:tcPr>
          <w:p>
            <w:pPr>
              <w:ind w:left="31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48"/>
        </w:trPr>
        <w:tc>
          <w:tcPr>
            <w:tcW w:w="3720" w:type="dxa"/>
            <w:vAlign w:val="bottom"/>
          </w:tcPr>
          <w:p>
            <w:pPr>
              <w:spacing w:after="0"/>
              <w:rPr>
                <w:sz w:val="24"/>
                <w:szCs w:val="24"/>
                <w:color w:val="auto"/>
              </w:rPr>
            </w:pPr>
          </w:p>
        </w:tc>
        <w:tc>
          <w:tcPr>
            <w:tcW w:w="3720" w:type="dxa"/>
            <w:vAlign w:val="bottom"/>
          </w:tcPr>
          <w:p>
            <w:pPr>
              <w:ind w:left="1900"/>
              <w:spacing w:after="0"/>
              <w:rPr>
                <w:sz w:val="20"/>
                <w:szCs w:val="20"/>
                <w:color w:val="auto"/>
              </w:rPr>
            </w:pPr>
            <w:r>
              <w:rPr>
                <w:rFonts w:ascii="Arial" w:cs="Arial" w:eastAsia="Arial" w:hAnsi="Arial"/>
                <w:sz w:val="18"/>
                <w:szCs w:val="18"/>
                <w:color w:val="auto"/>
              </w:rPr>
              <w:t>33</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Richard A. Bergman, certify that:</w:t>
      </w:r>
    </w:p>
    <w:p>
      <w:pPr>
        <w:spacing w:after="0" w:line="117" w:lineRule="exact"/>
        <w:rPr>
          <w:sz w:val="20"/>
          <w:szCs w:val="20"/>
          <w:color w:val="auto"/>
        </w:rPr>
      </w:pPr>
    </w:p>
    <w:p>
      <w:pPr>
        <w:ind w:left="700" w:hanging="17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firstLine="499"/>
        <w:spacing w:after="0" w:line="264" w:lineRule="auto"/>
        <w:tabs>
          <w:tab w:leader="none" w:pos="119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499"/>
        <w:spacing w:after="0" w:line="264" w:lineRule="auto"/>
        <w:tabs>
          <w:tab w:leader="none" w:pos="121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520" w:firstLine="499"/>
        <w:spacing w:after="0" w:line="342" w:lineRule="auto"/>
        <w:tabs>
          <w:tab w:leader="none" w:pos="1199"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80" w:firstLine="499"/>
        <w:spacing w:after="0" w:line="264" w:lineRule="auto"/>
        <w:tabs>
          <w:tab w:leader="none" w:pos="121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20" w:firstLine="499"/>
        <w:spacing w:after="0" w:line="308" w:lineRule="auto"/>
        <w:tabs>
          <w:tab w:leader="none" w:pos="1199"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499"/>
        <w:spacing w:after="0" w:line="277" w:lineRule="auto"/>
        <w:tabs>
          <w:tab w:leader="none" w:pos="121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 Richard A. Bergman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A. Bergman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Wajid Ali, certify that:</w:t>
      </w:r>
    </w:p>
    <w:p>
      <w:pPr>
        <w:spacing w:after="0" w:line="117" w:lineRule="exact"/>
        <w:rPr>
          <w:sz w:val="20"/>
          <w:szCs w:val="20"/>
          <w:color w:val="auto"/>
        </w:rPr>
      </w:pPr>
    </w:p>
    <w:p>
      <w:pPr>
        <w:ind w:left="700" w:hanging="17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firstLine="499"/>
        <w:spacing w:after="0" w:line="264" w:lineRule="auto"/>
        <w:tabs>
          <w:tab w:leader="none" w:pos="119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499"/>
        <w:spacing w:after="0" w:line="264" w:lineRule="auto"/>
        <w:tabs>
          <w:tab w:leader="none" w:pos="121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520" w:firstLine="499"/>
        <w:spacing w:after="0" w:line="342" w:lineRule="auto"/>
        <w:tabs>
          <w:tab w:leader="none" w:pos="1199"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80" w:firstLine="499"/>
        <w:spacing w:after="0" w:line="264" w:lineRule="auto"/>
        <w:tabs>
          <w:tab w:leader="none" w:pos="121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20" w:firstLine="499"/>
        <w:spacing w:after="0" w:line="308" w:lineRule="auto"/>
        <w:tabs>
          <w:tab w:leader="none" w:pos="1199"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499"/>
        <w:spacing w:after="0" w:line="277" w:lineRule="auto"/>
        <w:tabs>
          <w:tab w:leader="none" w:pos="121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 Wajid Ali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Wajid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29"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September 29, 2018 as filed with the Securities and Exchange Commission on the date hereof (the “Report”), I, Richard A. Bergman, Chief Executive Officer of the Company, certify, to the best of my knowledge and belief, pursuant to 18 U.S.C. § 1350, as adopted pursuant to § 906 of the Sarbanes-Oxley Act of 2002, that:</w:t>
      </w:r>
    </w:p>
    <w:p>
      <w:pPr>
        <w:spacing w:after="0" w:line="39"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Richard A. Bergman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A. Bergman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8, 2018</w:t>
      </w:r>
    </w:p>
    <w:p>
      <w:pPr>
        <w:sectPr>
          <w:pgSz w:w="11900" w:h="16838" w:orient="portrait"/>
          <w:cols w:equalWidth="0" w:num="1">
            <w:col w:w="11420"/>
          </w:cols>
          <w:pgMar w:left="240" w:top="337"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29" w:lineRule="exact"/>
        <w:rPr>
          <w:sz w:val="20"/>
          <w:szCs w:val="20"/>
          <w:color w:val="auto"/>
        </w:rPr>
      </w:pPr>
    </w:p>
    <w:p>
      <w:pPr>
        <w:jc w:val="both"/>
        <w:ind w:right="60" w:firstLine="518"/>
        <w:spacing w:after="0" w:line="286" w:lineRule="auto"/>
        <w:rPr>
          <w:sz w:val="20"/>
          <w:szCs w:val="20"/>
          <w:color w:val="auto"/>
        </w:rPr>
      </w:pPr>
      <w:r>
        <w:rPr>
          <w:rFonts w:ascii="Arial" w:cs="Arial" w:eastAsia="Arial" w:hAnsi="Arial"/>
          <w:sz w:val="17"/>
          <w:szCs w:val="17"/>
          <w:color w:val="auto"/>
        </w:rPr>
        <w:t>In connection with the Quarterly Report on Form 10-Q of Synaptics Incorporated (the “Company”) for the quarterly period ended September 29, 2018 as filed with the Securities and Exchange Commission on the date hereof (the “Report”), I, Wajid Ali, Chief Financial Officer of the Company, certify, to the best of my knowledge and belief, pursuant to 18 U.S.C. § 1350, as adopted pursuant to § 906 of the Sarbanes-Oxley Act of 2002, that:</w:t>
      </w:r>
    </w:p>
    <w:p>
      <w:pPr>
        <w:spacing w:after="0" w:line="57"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Wajid Ali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Wajid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8, 2018</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2019-12-28T18:26:42Z</dcterms:created>
  <dcterms:modified xsi:type="dcterms:W3CDTF">2019-12-28T18:26:42Z</dcterms:modified>
</cp:coreProperties>
</file>