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24, 2023</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80" w:type="dxa"/>
            <w:vAlign w:val="bottom"/>
            <w:gridSpan w:val="3"/>
          </w:tcPr>
          <w:p>
            <w:pPr>
              <w:ind w:left="780"/>
              <w:spacing w:after="0"/>
              <w:rPr>
                <w:sz w:val="20"/>
                <w:szCs w:val="20"/>
                <w:color w:val="auto"/>
              </w:rPr>
            </w:pPr>
            <w:r>
              <w:rPr>
                <w:rFonts w:ascii="Arial" w:cs="Arial" w:eastAsia="Arial" w:hAnsi="Arial"/>
                <w:sz w:val="14"/>
                <w:szCs w:val="14"/>
                <w:b w:val="1"/>
                <w:bCs w:val="1"/>
                <w:color w:val="auto"/>
                <w:w w:val="95"/>
              </w:rPr>
              <w:t>For the transition period from</w:t>
            </w:r>
          </w:p>
        </w:tc>
        <w:tc>
          <w:tcPr>
            <w:tcW w:w="500" w:type="dxa"/>
            <w:vAlign w:val="bottom"/>
            <w:tcBorders>
              <w:bottom w:val="single" w:sz="8" w:color="auto"/>
            </w:tcBorders>
            <w:gridSpan w:val="2"/>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Commission File Number 000-49602</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SYNAPTICS INCORPORATED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2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vMerge w:val="restart"/>
          </w:tcPr>
          <w:p>
            <w:pPr>
              <w:jc w:val="center"/>
              <w:ind w:left="868"/>
              <w:spacing w:after="0"/>
              <w:rPr>
                <w:sz w:val="20"/>
                <w:szCs w:val="20"/>
                <w:color w:val="auto"/>
              </w:rPr>
            </w:pPr>
            <w:r>
              <w:rPr>
                <w:rFonts w:ascii="Arial" w:cs="Arial" w:eastAsia="Arial" w:hAnsi="Arial"/>
                <w:sz w:val="14"/>
                <w:szCs w:val="14"/>
                <w:b w:val="1"/>
                <w:bCs w:val="1"/>
                <w:color w:val="auto"/>
                <w:w w:val="94"/>
              </w:rPr>
              <w:t>Delaware</w:t>
            </w:r>
          </w:p>
        </w:tc>
        <w:tc>
          <w:tcPr>
            <w:tcW w:w="9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20" w:type="dxa"/>
            <w:vAlign w:val="bottom"/>
            <w:vMerge w:val="restart"/>
          </w:tcPr>
          <w:p>
            <w:pPr>
              <w:jc w:val="right"/>
              <w:ind w:right="1828"/>
              <w:spacing w:after="0"/>
              <w:rPr>
                <w:sz w:val="20"/>
                <w:szCs w:val="20"/>
                <w:color w:val="auto"/>
              </w:rPr>
            </w:pPr>
            <w:r>
              <w:rPr>
                <w:rFonts w:ascii="Arial" w:cs="Arial" w:eastAsia="Arial" w:hAnsi="Arial"/>
                <w:sz w:val="14"/>
                <w:szCs w:val="14"/>
                <w:b w:val="1"/>
                <w:bCs w:val="1"/>
                <w:color w:val="auto"/>
              </w:rPr>
              <w:t>77-0118518</w:t>
            </w:r>
          </w:p>
        </w:tc>
        <w:tc>
          <w:tcPr>
            <w:tcW w:w="0" w:type="dxa"/>
            <w:vAlign w:val="bottom"/>
          </w:tcPr>
          <w:p>
            <w:pPr>
              <w:spacing w:after="0"/>
              <w:rPr>
                <w:sz w:val="1"/>
                <w:szCs w:val="1"/>
                <w:color w:val="auto"/>
              </w:rPr>
            </w:pPr>
          </w:p>
        </w:tc>
      </w:tr>
      <w:tr>
        <w:trPr>
          <w:trHeight w:val="281"/>
        </w:trPr>
        <w:tc>
          <w:tcPr>
            <w:tcW w:w="35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20" w:type="dxa"/>
            <w:vAlign w:val="bottom"/>
          </w:tcPr>
          <w:p>
            <w:pPr>
              <w:jc w:val="center"/>
              <w:ind w:right="10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incorporation or organization)</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jc w:val="center"/>
              <w:ind w:right="9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9"/>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1109 McKay Drive</w:t>
            </w: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20" w:type="dxa"/>
            <w:vAlign w:val="bottom"/>
            <w:vMerge w:val="restart"/>
          </w:tcPr>
          <w:p>
            <w:pPr>
              <w:jc w:val="right"/>
              <w:ind w:right="1988"/>
              <w:spacing w:after="0"/>
              <w:rPr>
                <w:sz w:val="20"/>
                <w:szCs w:val="20"/>
                <w:color w:val="auto"/>
              </w:rPr>
            </w:pPr>
            <w:r>
              <w:rPr>
                <w:rFonts w:ascii="Arial" w:cs="Arial" w:eastAsia="Arial" w:hAnsi="Arial"/>
                <w:sz w:val="14"/>
                <w:szCs w:val="14"/>
                <w:b w:val="1"/>
                <w:bCs w:val="1"/>
                <w:color w:val="auto"/>
              </w:rPr>
              <w:t>95131</w:t>
            </w:r>
          </w:p>
        </w:tc>
        <w:tc>
          <w:tcPr>
            <w:tcW w:w="0" w:type="dxa"/>
            <w:vAlign w:val="bottom"/>
          </w:tcPr>
          <w:p>
            <w:pPr>
              <w:spacing w:after="0"/>
              <w:rPr>
                <w:sz w:val="1"/>
                <w:szCs w:val="1"/>
                <w:color w:val="auto"/>
              </w:rPr>
            </w:pPr>
          </w:p>
        </w:tc>
      </w:tr>
      <w:tr>
        <w:trPr>
          <w:trHeight w:val="175"/>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San Jose, California</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jc w:val="center"/>
              <w:ind w:left="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jc w:val="center"/>
              <w:ind w:right="9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86"/>
        </w:trPr>
        <w:tc>
          <w:tcPr>
            <w:tcW w:w="3560" w:type="dxa"/>
            <w:vAlign w:val="bottom"/>
          </w:tcPr>
          <w:p>
            <w:pPr>
              <w:spacing w:after="0"/>
              <w:rPr>
                <w:sz w:val="24"/>
                <w:szCs w:val="24"/>
                <w:color w:val="auto"/>
              </w:rPr>
            </w:pPr>
          </w:p>
        </w:tc>
        <w:tc>
          <w:tcPr>
            <w:tcW w:w="2680" w:type="dxa"/>
            <w:vAlign w:val="bottom"/>
            <w:gridSpan w:val="3"/>
          </w:tcPr>
          <w:p>
            <w:pPr>
              <w:jc w:val="center"/>
              <w:ind w:left="1368"/>
              <w:spacing w:after="0"/>
              <w:rPr>
                <w:sz w:val="20"/>
                <w:szCs w:val="20"/>
                <w:color w:val="auto"/>
              </w:rPr>
            </w:pPr>
            <w:r>
              <w:rPr>
                <w:rFonts w:ascii="Arial" w:cs="Arial" w:eastAsia="Arial" w:hAnsi="Arial"/>
                <w:sz w:val="14"/>
                <w:szCs w:val="14"/>
                <w:b w:val="1"/>
                <w:bCs w:val="1"/>
                <w:color w:val="auto"/>
                <w:w w:val="91"/>
              </w:rPr>
              <w:t>(408) 904-1100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2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60" w:type="dxa"/>
            <w:vAlign w:val="bottom"/>
          </w:tcPr>
          <w:p>
            <w:pPr>
              <w:spacing w:after="0"/>
              <w:rPr>
                <w:sz w:val="24"/>
                <w:szCs w:val="24"/>
                <w:color w:val="auto"/>
              </w:rPr>
            </w:pPr>
          </w:p>
        </w:tc>
        <w:tc>
          <w:tcPr>
            <w:tcW w:w="42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60" w:type="dxa"/>
            <w:vAlign w:val="bottom"/>
          </w:tcPr>
          <w:p>
            <w:pPr>
              <w:ind w:left="124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Trading Symbol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560" w:type="dxa"/>
            <w:vAlign w:val="bottom"/>
            <w:tcBorders>
              <w:top w:val="single" w:sz="8" w:color="auto"/>
            </w:tcBorders>
          </w:tcPr>
          <w:p>
            <w:pPr>
              <w:ind w:left="500"/>
              <w:spacing w:after="0"/>
              <w:rPr>
                <w:sz w:val="20"/>
                <w:szCs w:val="20"/>
                <w:color w:val="auto"/>
              </w:rPr>
            </w:pPr>
            <w:r>
              <w:rPr>
                <w:rFonts w:ascii="Arial" w:cs="Arial" w:eastAsia="Arial" w:hAnsi="Arial"/>
                <w:sz w:val="14"/>
                <w:szCs w:val="14"/>
                <w:b w:val="1"/>
                <w:bCs w:val="1"/>
                <w:color w:val="auto"/>
              </w:rPr>
              <w:t>Common Stock, par value $.001 per share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SYNA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r>
        <w:trPr>
          <w:trHeight w:val="328"/>
        </w:trPr>
        <w:tc>
          <w:tcPr>
            <w:tcW w:w="3560" w:type="dxa"/>
            <w:vAlign w:val="bottom"/>
          </w:tcPr>
          <w:p>
            <w:pPr>
              <w:spacing w:after="0"/>
              <w:rPr>
                <w:sz w:val="24"/>
                <w:szCs w:val="24"/>
                <w:color w:val="auto"/>
              </w:rPr>
            </w:pPr>
          </w:p>
        </w:tc>
        <w:tc>
          <w:tcPr>
            <w:tcW w:w="42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00" w:type="dxa"/>
            <w:vAlign w:val="bottom"/>
            <w:gridSpan w:val="2"/>
          </w:tcPr>
          <w:p>
            <w:pPr>
              <w:spacing w:after="0"/>
              <w:rPr>
                <w:sz w:val="10"/>
                <w:szCs w:val="10"/>
                <w:color w:val="auto"/>
              </w:rPr>
            </w:pPr>
          </w:p>
        </w:tc>
        <w:tc>
          <w:tcPr>
            <w:tcW w:w="1740" w:type="dxa"/>
            <w:vAlign w:val="bottom"/>
            <w:tcBorders>
              <w:bottom w:val="single" w:sz="8" w:color="auto"/>
            </w:tcBorders>
            <w:gridSpan w:val="2"/>
          </w:tcPr>
          <w:p>
            <w:pPr>
              <w:spacing w:after="0"/>
              <w:rPr>
                <w:sz w:val="10"/>
                <w:szCs w:val="10"/>
                <w:color w:val="auto"/>
              </w:rPr>
            </w:pPr>
          </w:p>
        </w:tc>
        <w:tc>
          <w:tcPr>
            <w:tcW w:w="500" w:type="dxa"/>
            <w:vAlign w:val="bottom"/>
            <w:tcBorders>
              <w:bottom w:val="single" w:sz="8" w:color="auto"/>
            </w:tcBorders>
            <w:gridSpan w:val="2"/>
          </w:tcPr>
          <w:p>
            <w:pPr>
              <w:spacing w:after="0"/>
              <w:rPr>
                <w:sz w:val="10"/>
                <w:szCs w:val="10"/>
                <w:color w:val="auto"/>
              </w:rPr>
            </w:pPr>
          </w:p>
        </w:tc>
        <w:tc>
          <w:tcPr>
            <w:tcW w:w="1080" w:type="dxa"/>
            <w:vAlign w:val="bottom"/>
            <w:gridSpan w:val="2"/>
          </w:tcPr>
          <w:p>
            <w:pPr>
              <w:spacing w:after="0"/>
              <w:rPr>
                <w:sz w:val="10"/>
                <w:szCs w:val="10"/>
                <w:color w:val="auto"/>
              </w:rPr>
            </w:pPr>
          </w:p>
        </w:tc>
        <w:tc>
          <w:tcPr>
            <w:tcW w:w="3420" w:type="dxa"/>
            <w:vAlign w:val="bottom"/>
            <w:vMerge w:val="restart"/>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8"/>
        </w:trPr>
        <w:tc>
          <w:tcPr>
            <w:tcW w:w="7820" w:type="dxa"/>
            <w:vAlign w:val="bottom"/>
            <w:gridSpan w:val="8"/>
          </w:tcPr>
          <w:p>
            <w:pPr>
              <w:ind w:left="52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520"/>
        <w:spacing w:after="0" w:line="161" w:lineRule="exact"/>
        <w:tabs>
          <w:tab w:leader="none" w:pos="80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jc w:val="both"/>
        <w:ind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firstLine="509"/>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6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460" w:type="dxa"/>
            <w:vAlign w:val="bottom"/>
          </w:tcPr>
          <w:p>
            <w:pPr>
              <w:spacing w:after="0"/>
              <w:rPr>
                <w:sz w:val="20"/>
                <w:szCs w:val="20"/>
                <w:color w:val="auto"/>
              </w:rPr>
            </w:pPr>
            <w:r>
              <w:rPr>
                <w:rFonts w:ascii="Arial" w:cs="Arial" w:eastAsia="Arial" w:hAnsi="Arial"/>
                <w:sz w:val="14"/>
                <w:szCs w:val="14"/>
                <w:color w:val="auto"/>
              </w:rPr>
              <w:t>Non-accelerated filer</w:t>
            </w:r>
          </w:p>
        </w:tc>
        <w:tc>
          <w:tcPr>
            <w:tcW w:w="316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4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4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 w:lineRule="exact"/>
        <w:rPr>
          <w:sz w:val="24"/>
          <w:szCs w:val="24"/>
          <w:color w:val="auto"/>
        </w:rPr>
      </w:pPr>
    </w:p>
    <w:p>
      <w:pPr>
        <w:jc w:val="both"/>
        <w:ind w:firstLine="509"/>
        <w:spacing w:after="0" w:line="184" w:lineRule="exact"/>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right="20"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firstLine="509"/>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firstLine="509"/>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0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jc w:val="both"/>
        <w:ind w:firstLine="509"/>
        <w:spacing w:after="0" w:line="264" w:lineRule="auto"/>
        <w:rPr>
          <w:sz w:val="20"/>
          <w:szCs w:val="20"/>
          <w:color w:val="auto"/>
        </w:rPr>
      </w:pPr>
      <w:r>
        <w:rPr>
          <w:rFonts w:ascii="Arial" w:cs="Arial" w:eastAsia="Arial" w:hAnsi="Arial"/>
          <w:sz w:val="13"/>
          <w:szCs w:val="13"/>
          <w:color w:val="auto"/>
        </w:rPr>
        <w:t>The aggregate market value of Common Stock held by nonaffiliates of the registrant (34,662,099 shares), based on the closing price of the registrant’s Common Stock as reported on the Nasdaq Global Select Market on December 23, 2022 of $94.15, was $3,263,436,621.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6"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August 11, 2023, there were 38,584,203 shares of the registrant's common stock outstanding.</w:t>
      </w:r>
    </w:p>
    <w:p>
      <w:pPr>
        <w:spacing w:after="0" w:line="38"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ind w:firstLine="509"/>
        <w:spacing w:after="0" w:line="238" w:lineRule="auto"/>
        <w:rPr>
          <w:sz w:val="20"/>
          <w:szCs w:val="20"/>
          <w:color w:val="auto"/>
        </w:rPr>
      </w:pPr>
      <w:r>
        <w:rPr>
          <w:rFonts w:ascii="Arial" w:cs="Arial" w:eastAsia="Arial" w:hAnsi="Arial"/>
          <w:sz w:val="14"/>
          <w:szCs w:val="14"/>
          <w:color w:val="auto"/>
        </w:rPr>
        <w:t>Portions of Part III of this Form 10-K are incorporated by reference from the registrant’s definitive proxy statement for its 2023 annual meeting of stockholders, which will be filed with the Securities and Exchange Commission within 120 days after the end of the fiscal year covered by this Form 10-K.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24, 2023</w:t>
      </w:r>
    </w:p>
    <w:p>
      <w:pPr>
        <w:spacing w:after="0" w:line="153" w:lineRule="exact"/>
        <w:rPr>
          <w:sz w:val="20"/>
          <w:szCs w:val="20"/>
          <w:color w:val="auto"/>
        </w:rPr>
      </w:pPr>
    </w:p>
    <w:tbl>
      <w:tblPr>
        <w:tblLayout w:type="fixed"/>
        <w:tblInd w:w="3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40" w:type="dxa"/>
            <w:vAlign w:val="bottom"/>
            <w:gridSpan w:val="18"/>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2"/>
              </w:rPr>
              <w:t>PART I</w:t>
            </w:r>
          </w:p>
        </w:tc>
        <w:tc>
          <w:tcPr>
            <w:tcW w:w="510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2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9900" w:type="dxa"/>
            <w:vAlign w:val="bottom"/>
            <w:gridSpan w:val="32"/>
          </w:tcPr>
          <w:p>
            <w:pPr>
              <w:spacing w:after="0"/>
              <w:rPr>
                <w:sz w:val="20"/>
                <w:szCs w:val="20"/>
                <w:color w:val="auto"/>
              </w:rPr>
            </w:pPr>
            <w:r>
              <w:rPr>
                <w:rFonts w:ascii="Arial" w:cs="Arial" w:eastAsia="Arial" w:hAnsi="Arial"/>
                <w:sz w:val="18"/>
                <w:szCs w:val="18"/>
                <w:color w:val="0000FF"/>
              </w:rPr>
              <w:t>BUSINESS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7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1A.</w:t>
            </w:r>
          </w:p>
        </w:tc>
        <w:tc>
          <w:tcPr>
            <w:tcW w:w="360" w:type="dxa"/>
            <w:vAlign w:val="bottom"/>
          </w:tcPr>
          <w:p>
            <w:pPr>
              <w:spacing w:after="0"/>
              <w:rPr>
                <w:sz w:val="19"/>
                <w:szCs w:val="19"/>
                <w:color w:val="auto"/>
              </w:rPr>
            </w:pPr>
          </w:p>
        </w:tc>
        <w:tc>
          <w:tcPr>
            <w:tcW w:w="12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RISK FACTORS</w:t>
            </w:r>
          </w:p>
        </w:tc>
        <w:tc>
          <w:tcPr>
            <w:tcW w:w="8700" w:type="dxa"/>
            <w:vAlign w:val="bottom"/>
            <w:gridSpan w:val="27"/>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16</w:t>
            </w: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1B.</w:t>
            </w:r>
          </w:p>
        </w:tc>
        <w:tc>
          <w:tcPr>
            <w:tcW w:w="9900" w:type="dxa"/>
            <w:vAlign w:val="bottom"/>
            <w:gridSpan w:val="32"/>
          </w:tcPr>
          <w:p>
            <w:pPr>
              <w:spacing w:after="0"/>
              <w:rPr>
                <w:sz w:val="20"/>
                <w:szCs w:val="20"/>
                <w:color w:val="auto"/>
              </w:rPr>
            </w:pPr>
            <w:r>
              <w:rPr>
                <w:rFonts w:ascii="Arial" w:cs="Arial" w:eastAsia="Arial" w:hAnsi="Arial"/>
                <w:sz w:val="18"/>
                <w:szCs w:val="18"/>
                <w:color w:val="0000FF"/>
              </w:rPr>
              <w:t>UNRESOLVED STAFF COMMENTS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223"/>
        </w:trPr>
        <w:tc>
          <w:tcPr>
            <w:tcW w:w="7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ITEM 2.</w:t>
            </w:r>
          </w:p>
        </w:tc>
        <w:tc>
          <w:tcPr>
            <w:tcW w:w="380" w:type="dxa"/>
            <w:vAlign w:val="bottom"/>
            <w:gridSpan w:val="2"/>
          </w:tcPr>
          <w:p>
            <w:pPr>
              <w:spacing w:after="0"/>
              <w:rPr>
                <w:sz w:val="19"/>
                <w:szCs w:val="19"/>
                <w:color w:val="auto"/>
              </w:rPr>
            </w:pPr>
          </w:p>
        </w:tc>
        <w:tc>
          <w:tcPr>
            <w:tcW w:w="27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PROPERTIES</w:t>
            </w:r>
          </w:p>
        </w:tc>
        <w:tc>
          <w:tcPr>
            <w:tcW w:w="7140" w:type="dxa"/>
            <w:vAlign w:val="bottom"/>
            <w:gridSpan w:val="20"/>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3.</w:t>
            </w:r>
          </w:p>
        </w:tc>
        <w:tc>
          <w:tcPr>
            <w:tcW w:w="9900" w:type="dxa"/>
            <w:vAlign w:val="bottom"/>
            <w:gridSpan w:val="32"/>
          </w:tcPr>
          <w:p>
            <w:pPr>
              <w:spacing w:after="0"/>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29</w:t>
            </w: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4.</w:t>
            </w:r>
          </w:p>
        </w:tc>
        <w:tc>
          <w:tcPr>
            <w:tcW w:w="990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30</w:t>
            </w:r>
          </w:p>
        </w:tc>
      </w:tr>
      <w:tr>
        <w:trPr>
          <w:trHeight w:val="344"/>
        </w:trPr>
        <w:tc>
          <w:tcPr>
            <w:tcW w:w="6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5"/>
          </w:tcPr>
          <w:p>
            <w:pPr>
              <w:jc w:val="center"/>
              <w:ind w:right="5060"/>
              <w:spacing w:after="0"/>
              <w:rPr>
                <w:sz w:val="20"/>
                <w:szCs w:val="20"/>
                <w:color w:val="auto"/>
              </w:rPr>
            </w:pPr>
            <w:r>
              <w:rPr>
                <w:rFonts w:ascii="Arial" w:cs="Arial" w:eastAsia="Arial" w:hAnsi="Arial"/>
                <w:sz w:val="18"/>
                <w:szCs w:val="18"/>
                <w:color w:val="0000FF"/>
                <w:w w:val="95"/>
              </w:rPr>
              <w:t>PART II</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1120" w:type="dxa"/>
            <w:vAlign w:val="bottom"/>
            <w:gridSpan w:val="5"/>
          </w:tcPr>
          <w:p>
            <w:pPr>
              <w:spacing w:after="0"/>
              <w:rPr>
                <w:sz w:val="20"/>
                <w:szCs w:val="20"/>
                <w:color w:val="auto"/>
              </w:rPr>
            </w:pPr>
            <w:r>
              <w:rPr>
                <w:rFonts w:ascii="Arial" w:cs="Arial" w:eastAsia="Arial" w:hAnsi="Arial"/>
                <w:sz w:val="18"/>
                <w:szCs w:val="18"/>
                <w:color w:val="0000FF"/>
              </w:rPr>
              <w:t>ITEM 5.</w:t>
            </w:r>
          </w:p>
        </w:tc>
        <w:tc>
          <w:tcPr>
            <w:tcW w:w="9900" w:type="dxa"/>
            <w:vAlign w:val="bottom"/>
            <w:gridSpan w:val="32"/>
          </w:tcPr>
          <w:p>
            <w:pPr>
              <w:spacing w:after="0"/>
              <w:rPr>
                <w:sz w:val="20"/>
                <w:szCs w:val="20"/>
                <w:color w:val="auto"/>
              </w:rPr>
            </w:pPr>
            <w:r>
              <w:rPr>
                <w:rFonts w:ascii="Arial" w:cs="Arial" w:eastAsia="Arial" w:hAnsi="Arial"/>
                <w:sz w:val="18"/>
                <w:szCs w:val="18"/>
                <w:color w:val="0000FF"/>
              </w:rPr>
              <w:t>MARKET FOR REGISTRANT'S COMMON EQUITY, RELATED STOCKHOLDER MATTERS AND ISSUER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6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40" w:type="dxa"/>
            <w:vAlign w:val="bottom"/>
            <w:tcBorders>
              <w:top w:val="single" w:sz="8" w:color="0000FF"/>
            </w:tcBorders>
            <w:gridSpan w:val="28"/>
          </w:tcPr>
          <w:p>
            <w:pPr>
              <w:spacing w:after="0" w:line="196" w:lineRule="exact"/>
              <w:rPr>
                <w:sz w:val="20"/>
                <w:szCs w:val="20"/>
                <w:color w:val="auto"/>
              </w:rPr>
            </w:pPr>
            <w:r>
              <w:rPr>
                <w:rFonts w:ascii="Arial" w:cs="Arial" w:eastAsia="Arial" w:hAnsi="Arial"/>
                <w:sz w:val="18"/>
                <w:szCs w:val="18"/>
                <w:color w:val="0000FF"/>
              </w:rPr>
              <w:t>PURCHASES OF EQUITY SECURITIES</w:t>
            </w:r>
          </w:p>
        </w:tc>
        <w:tc>
          <w:tcPr>
            <w:tcW w:w="1680" w:type="dxa"/>
            <w:vAlign w:val="bottom"/>
            <w:gridSpan w:val="3"/>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30</w:t>
            </w: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6.</w:t>
            </w:r>
          </w:p>
        </w:tc>
        <w:tc>
          <w:tcPr>
            <w:tcW w:w="9900" w:type="dxa"/>
            <w:vAlign w:val="bottom"/>
            <w:gridSpan w:val="32"/>
          </w:tcPr>
          <w:p>
            <w:pPr>
              <w:spacing w:after="0"/>
              <w:rPr>
                <w:sz w:val="20"/>
                <w:szCs w:val="20"/>
                <w:color w:val="auto"/>
              </w:rPr>
            </w:pPr>
            <w:r>
              <w:rPr>
                <w:rFonts w:ascii="Arial" w:cs="Arial" w:eastAsia="Arial" w:hAnsi="Arial"/>
                <w:sz w:val="18"/>
                <w:szCs w:val="18"/>
                <w:color w:val="0000FF"/>
              </w:rPr>
              <w:t>RESERVED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7.</w:t>
            </w:r>
          </w:p>
        </w:tc>
        <w:tc>
          <w:tcPr>
            <w:tcW w:w="9900" w:type="dxa"/>
            <w:vAlign w:val="bottom"/>
            <w:gridSpan w:val="3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760" w:type="dxa"/>
            <w:vAlign w:val="bottom"/>
            <w:gridSpan w:val="4"/>
          </w:tcPr>
          <w:p>
            <w:pPr>
              <w:spacing w:after="0"/>
              <w:rPr>
                <w:sz w:val="20"/>
                <w:szCs w:val="20"/>
                <w:color w:val="auto"/>
              </w:rPr>
            </w:pPr>
            <w:r>
              <w:rPr>
                <w:rFonts w:ascii="Arial" w:cs="Arial" w:eastAsia="Arial" w:hAnsi="Arial"/>
                <w:sz w:val="18"/>
                <w:szCs w:val="18"/>
                <w:color w:val="0000FF"/>
                <w:w w:val="98"/>
              </w:rPr>
              <w:t>ITEM 7A.</w:t>
            </w:r>
          </w:p>
        </w:tc>
        <w:tc>
          <w:tcPr>
            <w:tcW w:w="360" w:type="dxa"/>
            <w:vAlign w:val="bottom"/>
          </w:tcPr>
          <w:p>
            <w:pPr>
              <w:spacing w:after="0"/>
              <w:rPr>
                <w:sz w:val="19"/>
                <w:szCs w:val="19"/>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23"/>
        </w:trPr>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8.</w:t>
            </w:r>
          </w:p>
        </w:tc>
        <w:tc>
          <w:tcPr>
            <w:tcW w:w="360" w:type="dxa"/>
            <w:vAlign w:val="bottom"/>
          </w:tcPr>
          <w:p>
            <w:pPr>
              <w:spacing w:after="0"/>
              <w:rPr>
                <w:sz w:val="19"/>
                <w:szCs w:val="19"/>
                <w:color w:val="auto"/>
              </w:rPr>
            </w:pPr>
          </w:p>
        </w:tc>
        <w:tc>
          <w:tcPr>
            <w:tcW w:w="608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FINANCIAL STATEMENTS AND SUPPLEMENTARY DATA</w:t>
            </w:r>
          </w:p>
        </w:tc>
        <w:tc>
          <w:tcPr>
            <w:tcW w:w="3820" w:type="dxa"/>
            <w:vAlign w:val="bottom"/>
            <w:gridSpan w:val="7"/>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9.</w:t>
            </w:r>
          </w:p>
        </w:tc>
        <w:tc>
          <w:tcPr>
            <w:tcW w:w="9900" w:type="dxa"/>
            <w:vAlign w:val="bottom"/>
            <w:gridSpan w:val="3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760" w:type="dxa"/>
            <w:vAlign w:val="bottom"/>
            <w:gridSpan w:val="4"/>
          </w:tcPr>
          <w:p>
            <w:pPr>
              <w:spacing w:after="0"/>
              <w:rPr>
                <w:sz w:val="20"/>
                <w:szCs w:val="20"/>
                <w:color w:val="auto"/>
              </w:rPr>
            </w:pPr>
            <w:r>
              <w:rPr>
                <w:rFonts w:ascii="Arial" w:cs="Arial" w:eastAsia="Arial" w:hAnsi="Arial"/>
                <w:sz w:val="18"/>
                <w:szCs w:val="18"/>
                <w:color w:val="0000FF"/>
                <w:w w:val="98"/>
              </w:rPr>
              <w:t>ITEM 9A.</w:t>
            </w:r>
          </w:p>
        </w:tc>
        <w:tc>
          <w:tcPr>
            <w:tcW w:w="360" w:type="dxa"/>
            <w:vAlign w:val="bottom"/>
          </w:tcPr>
          <w:p>
            <w:pPr>
              <w:spacing w:after="0"/>
              <w:rPr>
                <w:sz w:val="19"/>
                <w:szCs w:val="19"/>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23"/>
        </w:trPr>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9B.</w:t>
            </w:r>
          </w:p>
        </w:tc>
        <w:tc>
          <w:tcPr>
            <w:tcW w:w="360" w:type="dxa"/>
            <w:vAlign w:val="bottom"/>
          </w:tcPr>
          <w:p>
            <w:pPr>
              <w:spacing w:after="0"/>
              <w:rPr>
                <w:sz w:val="19"/>
                <w:szCs w:val="19"/>
                <w:color w:val="auto"/>
              </w:rPr>
            </w:pPr>
          </w:p>
        </w:tc>
        <w:tc>
          <w:tcPr>
            <w:tcW w:w="25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OTHER INFORMATION</w:t>
            </w:r>
          </w:p>
        </w:tc>
        <w:tc>
          <w:tcPr>
            <w:tcW w:w="7360" w:type="dxa"/>
            <w:vAlign w:val="bottom"/>
            <w:gridSpan w:val="21"/>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9C.</w:t>
            </w:r>
          </w:p>
        </w:tc>
        <w:tc>
          <w:tcPr>
            <w:tcW w:w="9900" w:type="dxa"/>
            <w:vAlign w:val="bottom"/>
            <w:gridSpan w:val="3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344"/>
        </w:trPr>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80" w:type="dxa"/>
            <w:vAlign w:val="bottom"/>
            <w:tcBorders>
              <w:top w:val="single" w:sz="8" w:color="0000FF"/>
            </w:tcBorders>
            <w:gridSpan w:val="10"/>
          </w:tcPr>
          <w:p>
            <w:pPr>
              <w:jc w:val="center"/>
              <w:ind w:right="2040"/>
              <w:spacing w:after="0"/>
              <w:rPr>
                <w:sz w:val="20"/>
                <w:szCs w:val="20"/>
                <w:color w:val="auto"/>
              </w:rPr>
            </w:pPr>
            <w:r>
              <w:rPr>
                <w:rFonts w:ascii="Arial" w:cs="Arial" w:eastAsia="Arial" w:hAnsi="Arial"/>
                <w:sz w:val="18"/>
                <w:szCs w:val="18"/>
                <w:color w:val="0000FF"/>
                <w:w w:val="94"/>
              </w:rPr>
              <w:t>PART III</w:t>
            </w:r>
          </w:p>
        </w:tc>
        <w:tc>
          <w:tcPr>
            <w:tcW w:w="3000" w:type="dxa"/>
            <w:vAlign w:val="bottom"/>
            <w:gridSpan w:val="6"/>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45"/>
        </w:trPr>
        <w:tc>
          <w:tcPr>
            <w:tcW w:w="740" w:type="dxa"/>
            <w:vAlign w:val="bottom"/>
            <w:gridSpan w:val="3"/>
          </w:tcPr>
          <w:p>
            <w:pPr>
              <w:spacing w:after="0"/>
              <w:rPr>
                <w:sz w:val="20"/>
                <w:szCs w:val="20"/>
                <w:color w:val="auto"/>
              </w:rPr>
            </w:pPr>
            <w:r>
              <w:rPr>
                <w:rFonts w:ascii="Arial" w:cs="Arial" w:eastAsia="Arial" w:hAnsi="Arial"/>
                <w:sz w:val="18"/>
                <w:szCs w:val="18"/>
                <w:color w:val="0000FF"/>
                <w:w w:val="95"/>
              </w:rPr>
              <w:t>ITEM 10.</w:t>
            </w:r>
          </w:p>
        </w:tc>
        <w:tc>
          <w:tcPr>
            <w:tcW w:w="380" w:type="dxa"/>
            <w:vAlign w:val="bottom"/>
            <w:gridSpan w:val="2"/>
          </w:tcPr>
          <w:p>
            <w:pPr>
              <w:spacing w:after="0"/>
              <w:rPr>
                <w:sz w:val="24"/>
                <w:szCs w:val="24"/>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23"/>
        </w:trPr>
        <w:tc>
          <w:tcPr>
            <w:tcW w:w="7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5"/>
              </w:rPr>
              <w:t>ITEM 11.</w:t>
            </w:r>
          </w:p>
        </w:tc>
        <w:tc>
          <w:tcPr>
            <w:tcW w:w="380" w:type="dxa"/>
            <w:vAlign w:val="bottom"/>
            <w:gridSpan w:val="2"/>
          </w:tcPr>
          <w:p>
            <w:pPr>
              <w:spacing w:after="0"/>
              <w:rPr>
                <w:sz w:val="19"/>
                <w:szCs w:val="19"/>
                <w:color w:val="auto"/>
              </w:rPr>
            </w:pPr>
          </w:p>
        </w:tc>
        <w:tc>
          <w:tcPr>
            <w:tcW w:w="574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EXECUTIVE COMPENSATION</w:t>
            </w:r>
          </w:p>
        </w:tc>
        <w:tc>
          <w:tcPr>
            <w:tcW w:w="4160" w:type="dxa"/>
            <w:vAlign w:val="bottom"/>
            <w:gridSpan w:val="8"/>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0"/>
        </w:trPr>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1120" w:type="dxa"/>
            <w:vAlign w:val="bottom"/>
            <w:gridSpan w:val="5"/>
          </w:tcPr>
          <w:p>
            <w:pPr>
              <w:spacing w:after="0"/>
              <w:rPr>
                <w:sz w:val="20"/>
                <w:szCs w:val="20"/>
                <w:color w:val="auto"/>
              </w:rPr>
            </w:pPr>
            <w:r>
              <w:rPr>
                <w:rFonts w:ascii="Arial" w:cs="Arial" w:eastAsia="Arial" w:hAnsi="Arial"/>
                <w:sz w:val="18"/>
                <w:szCs w:val="18"/>
                <w:color w:val="0000FF"/>
              </w:rPr>
              <w:t>ITEM 12.</w:t>
            </w:r>
          </w:p>
        </w:tc>
        <w:tc>
          <w:tcPr>
            <w:tcW w:w="9900" w:type="dxa"/>
            <w:vAlign w:val="bottom"/>
            <w:gridSpan w:val="32"/>
          </w:tcPr>
          <w:p>
            <w:pPr>
              <w:spacing w:after="0"/>
              <w:rPr>
                <w:sz w:val="20"/>
                <w:szCs w:val="20"/>
                <w:color w:val="auto"/>
              </w:rPr>
            </w:pPr>
            <w:r>
              <w:rPr>
                <w:rFonts w:ascii="Arial" w:cs="Arial" w:eastAsia="Arial" w:hAnsi="Arial"/>
                <w:sz w:val="18"/>
                <w:szCs w:val="18"/>
                <w:color w:val="0000FF"/>
              </w:rPr>
              <w:t>SECURITY OWNERSHIP OF CERTAIN BENEFICIAL OWNERS AND MANAGEMENT AND RELATED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820" w:type="dxa"/>
            <w:vAlign w:val="bottom"/>
            <w:tcBorders>
              <w:top w:val="single" w:sz="8" w:color="0000FF"/>
            </w:tcBorders>
            <w:gridSpan w:val="27"/>
          </w:tcPr>
          <w:p>
            <w:pPr>
              <w:spacing w:after="0" w:line="196" w:lineRule="exact"/>
              <w:rPr>
                <w:sz w:val="20"/>
                <w:szCs w:val="20"/>
                <w:color w:val="auto"/>
              </w:rPr>
            </w:pPr>
            <w:r>
              <w:rPr>
                <w:rFonts w:ascii="Arial" w:cs="Arial" w:eastAsia="Arial" w:hAnsi="Arial"/>
                <w:sz w:val="18"/>
                <w:szCs w:val="18"/>
                <w:color w:val="0000FF"/>
              </w:rPr>
              <w:t>STOCKHOLDER MATTERS</w:t>
            </w:r>
          </w:p>
        </w:tc>
        <w:tc>
          <w:tcPr>
            <w:tcW w:w="1900" w:type="dxa"/>
            <w:vAlign w:val="bottom"/>
            <w:gridSpan w:val="4"/>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46</w:t>
            </w:r>
          </w:p>
        </w:tc>
      </w:tr>
      <w:tr>
        <w:trPr>
          <w:trHeight w:val="20"/>
        </w:trPr>
        <w:tc>
          <w:tcPr>
            <w:tcW w:w="7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color w:val="0000FF"/>
                <w:w w:val="95"/>
              </w:rPr>
              <w:t>ITEM 13.</w:t>
            </w:r>
          </w:p>
        </w:tc>
        <w:tc>
          <w:tcPr>
            <w:tcW w:w="380" w:type="dxa"/>
            <w:vAlign w:val="bottom"/>
            <w:gridSpan w:val="2"/>
          </w:tcPr>
          <w:p>
            <w:pPr>
              <w:spacing w:after="0"/>
              <w:rPr>
                <w:sz w:val="19"/>
                <w:szCs w:val="19"/>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23"/>
        </w:trPr>
        <w:tc>
          <w:tcPr>
            <w:tcW w:w="7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5"/>
              </w:rPr>
              <w:t>ITEM 14.</w:t>
            </w:r>
          </w:p>
        </w:tc>
        <w:tc>
          <w:tcPr>
            <w:tcW w:w="380" w:type="dxa"/>
            <w:vAlign w:val="bottom"/>
            <w:gridSpan w:val="2"/>
          </w:tcPr>
          <w:p>
            <w:pPr>
              <w:spacing w:after="0"/>
              <w:rPr>
                <w:sz w:val="19"/>
                <w:szCs w:val="19"/>
                <w:color w:val="auto"/>
              </w:rPr>
            </w:pPr>
          </w:p>
        </w:tc>
        <w:tc>
          <w:tcPr>
            <w:tcW w:w="764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PRINCIPAL ACCOUNTANT FEES AND SERVICES</w:t>
            </w:r>
          </w:p>
        </w:tc>
        <w:tc>
          <w:tcPr>
            <w:tcW w:w="2260" w:type="dxa"/>
            <w:vAlign w:val="bottom"/>
            <w:gridSpan w:val="5"/>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371"/>
        </w:trPr>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0000FF"/>
            </w:tcBorders>
            <w:gridSpan w:val="7"/>
          </w:tcPr>
          <w:p>
            <w:pPr>
              <w:jc w:val="center"/>
              <w:ind w:right="20"/>
              <w:spacing w:after="0"/>
              <w:rPr>
                <w:sz w:val="20"/>
                <w:szCs w:val="20"/>
                <w:color w:val="auto"/>
              </w:rPr>
            </w:pPr>
            <w:r>
              <w:rPr>
                <w:rFonts w:ascii="Arial" w:cs="Arial" w:eastAsia="Arial" w:hAnsi="Arial"/>
                <w:sz w:val="18"/>
                <w:szCs w:val="18"/>
                <w:color w:val="0000FF"/>
                <w:w w:val="91"/>
              </w:rPr>
              <w:t>PART IV</w:t>
            </w:r>
          </w:p>
        </w:tc>
        <w:tc>
          <w:tcPr>
            <w:tcW w:w="5020" w:type="dxa"/>
            <w:vAlign w:val="bottom"/>
            <w:gridSpan w:val="9"/>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72"/>
        </w:trPr>
        <w:tc>
          <w:tcPr>
            <w:tcW w:w="740" w:type="dxa"/>
            <w:vAlign w:val="bottom"/>
            <w:gridSpan w:val="3"/>
          </w:tcPr>
          <w:p>
            <w:pPr>
              <w:spacing w:after="0"/>
              <w:rPr>
                <w:sz w:val="20"/>
                <w:szCs w:val="20"/>
                <w:color w:val="auto"/>
              </w:rPr>
            </w:pPr>
            <w:r>
              <w:rPr>
                <w:rFonts w:ascii="Arial" w:cs="Arial" w:eastAsia="Arial" w:hAnsi="Arial"/>
                <w:sz w:val="18"/>
                <w:szCs w:val="18"/>
                <w:color w:val="0000FF"/>
                <w:w w:val="95"/>
              </w:rPr>
              <w:t>ITEM 15.</w:t>
            </w:r>
          </w:p>
        </w:tc>
        <w:tc>
          <w:tcPr>
            <w:tcW w:w="380" w:type="dxa"/>
            <w:vAlign w:val="bottom"/>
            <w:gridSpan w:val="2"/>
          </w:tcPr>
          <w:p>
            <w:pPr>
              <w:spacing w:after="0"/>
              <w:rPr>
                <w:sz w:val="24"/>
                <w:szCs w:val="24"/>
                <w:color w:val="auto"/>
              </w:rPr>
            </w:pPr>
          </w:p>
        </w:tc>
        <w:tc>
          <w:tcPr>
            <w:tcW w:w="9900" w:type="dxa"/>
            <w:vAlign w:val="bottom"/>
            <w:gridSpan w:val="32"/>
          </w:tcPr>
          <w:p>
            <w:pPr>
              <w:spacing w:after="0"/>
              <w:rPr>
                <w:sz w:val="20"/>
                <w:szCs w:val="20"/>
                <w:color w:val="auto"/>
              </w:rPr>
            </w:pPr>
            <w:r>
              <w:rPr>
                <w:rFonts w:ascii="Arial" w:cs="Arial" w:eastAsia="Arial" w:hAnsi="Arial"/>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47</w:t>
            </w:r>
          </w:p>
        </w:tc>
      </w:tr>
      <w:tr>
        <w:trPr>
          <w:trHeight w:val="223"/>
        </w:trPr>
        <w:tc>
          <w:tcPr>
            <w:tcW w:w="7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16.</w:t>
            </w:r>
          </w:p>
        </w:tc>
        <w:tc>
          <w:tcPr>
            <w:tcW w:w="380" w:type="dxa"/>
            <w:vAlign w:val="bottom"/>
            <w:gridSpan w:val="2"/>
          </w:tcPr>
          <w:p>
            <w:pPr>
              <w:spacing w:after="0"/>
              <w:rPr>
                <w:sz w:val="19"/>
                <w:szCs w:val="19"/>
                <w:color w:val="auto"/>
              </w:rPr>
            </w:pPr>
          </w:p>
        </w:tc>
        <w:tc>
          <w:tcPr>
            <w:tcW w:w="18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4"/>
              </w:rPr>
              <w:t>FORM 10-K SUMMARY</w:t>
            </w:r>
          </w:p>
        </w:tc>
        <w:tc>
          <w:tcPr>
            <w:tcW w:w="2540" w:type="dxa"/>
            <w:vAlign w:val="bottom"/>
            <w:tcBorders>
              <w:top w:val="single" w:sz="8" w:color="0000FF"/>
            </w:tcBorders>
            <w:gridSpan w:val="12"/>
          </w:tcPr>
          <w:p>
            <w:pPr>
              <w:spacing w:after="0"/>
              <w:rPr>
                <w:sz w:val="19"/>
                <w:szCs w:val="19"/>
                <w:color w:val="auto"/>
              </w:rPr>
            </w:pPr>
          </w:p>
        </w:tc>
        <w:tc>
          <w:tcPr>
            <w:tcW w:w="5520" w:type="dxa"/>
            <w:vAlign w:val="bottom"/>
            <w:gridSpan w:val="13"/>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r>
      <w:tr>
        <w:trPr>
          <w:trHeight w:val="371"/>
        </w:trPr>
        <w:tc>
          <w:tcPr>
            <w:tcW w:w="11020" w:type="dxa"/>
            <w:vAlign w:val="bottom"/>
            <w:gridSpan w:val="37"/>
          </w:tcPr>
          <w:p>
            <w:pPr>
              <w:spacing w:after="0"/>
              <w:rPr>
                <w:sz w:val="20"/>
                <w:szCs w:val="20"/>
                <w:color w:val="auto"/>
              </w:rPr>
            </w:pPr>
            <w:r>
              <w:rPr>
                <w:rFonts w:ascii="Arial" w:cs="Arial" w:eastAsia="Arial" w:hAnsi="Arial"/>
                <w:sz w:val="18"/>
                <w:szCs w:val="18"/>
                <w:color w:val="0000FF"/>
              </w:rPr>
              <w:t>SIGNATURES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51</w:t>
            </w:r>
          </w:p>
        </w:tc>
      </w:tr>
      <w:tr>
        <w:trPr>
          <w:trHeight w:val="20"/>
        </w:trPr>
        <w:tc>
          <w:tcPr>
            <w:tcW w:w="112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6540" w:type="dxa"/>
            <w:vAlign w:val="bottom"/>
            <w:gridSpan w:val="1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020" w:type="dxa"/>
            <w:vAlign w:val="bottom"/>
            <w:gridSpan w:val="37"/>
          </w:tcPr>
          <w:p>
            <w:pPr>
              <w:spacing w:after="0"/>
              <w:rPr>
                <w:sz w:val="20"/>
                <w:szCs w:val="20"/>
                <w:color w:val="auto"/>
              </w:rPr>
            </w:pPr>
            <w:r>
              <w:rPr>
                <w:rFonts w:ascii="Arial" w:cs="Arial" w:eastAsia="Arial" w:hAnsi="Arial"/>
                <w:sz w:val="18"/>
                <w:szCs w:val="18"/>
                <w:color w:val="0000FF"/>
              </w:rPr>
              <w:t>INDEX TO CONSOLIDATED FINANCIAL STATEMENTS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w w:val="70"/>
              </w:rPr>
              <w:t>F-1</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1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3"/>
          <w:szCs w:val="13"/>
          <w:color w:val="auto"/>
        </w:rPr>
        <w:t>This report on Form 10-K for the year ended June 24, 2023 contains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report on Form 10-K, and other risks as identified from time-to-time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a leading worldwide developer and fabless supplier of premium mixed signal semiconductor solutions that enable people to engage with connected devices and data, engineering exceptional experiences throughout the home, at work, in the car and on the go. We supply connectivity, sensors, and AI-enhanced processor solutions to original equipment manufacturers, or OEMs, that design Internet of Things (IoT) products and devices for automobiles, virtual reality, smartphones, tablets, and notebook computers. Our current served markets include Internet of Things, or IoT, personal computer, or PC, and Mobile. Our solutions either contain or consist of our wireless, voice and speech, video, fingerprint, authentication, display driver, or touch semiconductor solutions, which include our hardware, and, where applicable, firmware and software.</w:t>
      </w:r>
    </w:p>
    <w:p>
      <w:pPr>
        <w:spacing w:after="0" w:line="7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 xml:space="preserve">Our website is located at </w:t>
      </w:r>
      <w:r>
        <w:rPr>
          <w:rFonts w:ascii="Arial" w:cs="Arial" w:eastAsia="Arial" w:hAnsi="Arial"/>
          <w:sz w:val="16"/>
          <w:szCs w:val="16"/>
          <w:u w:val="single" w:color="auto"/>
          <w:color w:val="auto"/>
        </w:rPr>
        <w:t>www.synaptics.com</w:t>
      </w:r>
      <w:r>
        <w:rPr>
          <w:rFonts w:ascii="Arial" w:cs="Arial" w:eastAsia="Arial" w:hAnsi="Arial"/>
          <w:sz w:val="16"/>
          <w:szCs w:val="16"/>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You can also read these SEC filings and reports over the Internet at the SEC’s website at www.sec.gov. Our website also includes corporate governance information, including our Code of Conduct, our Code of Ethics for the Chief Executive Officer and Senior Financial Officers, and our Board Committee Charters. The contents of our website, including the content contained in any website addresses or links included elsewhere in this report, are not incorporated into or deemed to be a part of this report.</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were initially incorporated in California in 1986 and were re-incorporated in Delaware in 2002. Our fiscal year is the 52- or 53-week period ending on the last Saturday in June. The fiscal years presented in this report were the 52-week periods ended June 24, 2023, June 25, 2022, and June 26,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Applications Market</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Our IoT market solutions broadly consist of wireless connectivity (Wi-Fi, Bluetooth and global positioning system, or GPS) products, System-on-Chip, or SoC, products, display and touch integrated circuits for use in automobiles, and a wide range of audio and video products and solutions. Our products enable smart devices at the edge of a network such as smart assistant speakers, over-the-top multimedia devices, wireless speakers, voice driven intelligent devices including those integrating far-field technology, personal voice and audio products, set-top boxes, video interface solutions for docking stations, high-speed connectivity for virtual reality devices, video surveillance, voice over IP SoCs, image processing solutions for use in printers, and fax modems. In addition, our automotive solutions include over a decade of mass production experience in mature touch solutions and display drivers adapted from our mobile consumer business to meet automotive-grade quality standards.</w:t>
      </w:r>
    </w:p>
    <w:p>
      <w:pPr>
        <w:spacing w:after="0" w:line="6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Within the growing consumer IoT market, we continue to expand our footprint in various devices by bringing converged video, vision, audio, and voice technologies coupled with artificial intelligence and wireless connectivity capabilities. Our deep investment in far-field voice technology, our intellectual property portfolio for video, vision, audio and security, and our significant experience enabling Android-based platforms for service providers, coupled with our focus on enabling high performance, low power, and highly secure SoC solutions enable us to effectively serve our existing customers and position us to grow within the addressable market of consumer IoT devices.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Product Applications Market</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provide custom and semi-custom product solutions for navigation, cursor control, access to devices or applications through fingerprint authentication, and human presence detection solutions, for many of the world’s premier PC OEMs. These functions are offered as both stand-alone and integrated touch pads plus fingerprint biometric solutions and as chipsets with integrated visual sensing software algorithms. In addition to notebook applications, other PC product applications for our technology include peripherals, such as high-end keyboards and accessory touchpads.</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continue to expand our available product offerings through technology development enabling us to increase our product content within each notebook unit. We are also applying our technologies to enable adoption of fingerprint recognition solutions to broaden our market opportunities. Based on the strength of our technology and engineering know-how, we believe we are well positioned to continue to take advantage of opportunities in the PC product applications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Mobile Product Applications Markets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believe our intellectual property portfolio, engineering know-how, systems engineering experience, technological expertise, and experience in providing human experience product solutions to major OEMs position us to be a key technological enabler for multiple consumer electronic devices targeted to meet the mobile product applications markets. Mobile product applications include smartphones, tablets, large touchscreen applications, as well as a variety of mobile, handheld, and entertainment devices.</w:t>
      </w:r>
    </w:p>
    <w:p>
      <w:pPr>
        <w:spacing w:after="0" w:line="7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believe our existing technologies, our range of product solutions, and our emphasis on ease of use, advanced functionality, small size, low power consumption, durability, and reliability enable us to serve the markets for mobile product applications and other electronic devices.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February 2023, we completed the acquisition of certain GPS developed technology intangible assets from Broadcom. These assets expand and enhance our wireless connectivity technology product offerings to our customer base.</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October 2022, we completed the acquisition of Emza Visual Sense, Ltd., or Emza, a developer of ultra-low-power artificial intelligence visual sensing solutions. Emza's technology extends our position in Edge AI and allows us to serve the personal computing market with a solution for human presence detection, or HPD.</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December 2021, we completed our merger with DSP Group, Inc, or DSPG, a global provider of voice processing and wireless chipset solutions for converged communications. DSPG's capabilities in low power AI align with our vision of embedding more intelligence in connected devices. The addition of DSPG's Ultra Low Energy, or ULE, wireless technology and Voice over IP, or VOIP, processing solutions enhances our ability to offer and deliver differentiated solutions to our customer base.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objective is to continue to enhance our position as a leading supplier of premium semiconductor product solutions for each of the target markets in which we operate, including the IoT applications market, the PC product applications market, and the mobile product applications markets, with a key focus on expanding our market share. Key aspects of our strategy to achieve this objective include those set forth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 Our Technological Leadership</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cost, and power consumption of our product solutions while increasing their applications, capabilities, and performance. We plan to continue enhancing the ease of use and functionality of our solutions. We plan to invest in our research and development efforts through our engineering activities, including advancement of existing technologies, the hiring of key engineering personnel, and strategic acquisitions and alliances. We believe that these efforts will enable us to meet customer expectations and achieve our goal of supplying, on a timely and cost-effective basis, easy to use, functional human experience semiconductor product solutions to our target markets.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Focus on and Grow in the IoT Market</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intend to capitalize on the growth of the IoT market including solutions for smart home and home automation, video delivery over wired and wireless, voice enabled assistants, virtual reality, video interface docking, and wearables. We intend to build upon our existing innovative and intuitive and intelligent semiconductor product solutions portfolio and continue to address the evolving portability, connectivity, security, and functionality requirements of these new markets. We will offer our solutions to existing and potential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Strategic Relationships and Acquisitions</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intend to develop and expand our strategic relationships to enhance our ability to offer value-added semiconductor product solutions to our customers, penetrate new markets, and strengthen the technological leadership of our product solutions. We also intend to evaluate the potential acquisitions of companies and assets in order to expand our technological expertise and to establish or strengthen our presence in selected target markets.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Fabless Semiconductor Manufacturing</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plan to selectively partner with foundries and backend processors to solidify our longstanding key supply chain relationships. This strategy results in a scalable business model, enables us to concentrate on our core competencies of research and development and product design and engineering, and reduces our capital expenditures and working capital requirements. Our fabless semiconductor manufacturing strategy allows us to maintain a variable cost model, in which we do not incur most of our manufacturing costs until our product solutions have been shipped and invoiced to our customers.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family of product solutions allows our customers to solve their interface needs and differentiate their products from those of their competitors.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Voice Over IP</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Digital Voice Family, or DVF, of SoC products is a comprehensive solution for developing affordable, scalable and power efficient VoIP, home and office products. DVF facilitates rapid introduction of embedded features into residential devices such as cordless IP and instant messaging phones. DVF enables development of low-power enterprise IP, analog terminal adapters, or ATAs, and home VoIP phones that offer superb acoustic echo cancellation, high-quality HD voice, multi-line capabilities, and an enhanced user interface. Built on an open platform with multi-ARM processors running on Linux OS, DVF includes IPfonePro™, an extensive software development kit for IP phones and ATAs.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DECT Cordless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Digital Enhanced Cordless Telecommunications, or DECT, SoC solutions provide integrated digital solutions and include all relevant digital baseband, analog interface and RF functionality. Enhanced with our hardware and software technologies, these chipsets are highly versatile and enable the development of an array of cordless telephony solutions that allow for faster time to market than alternative custom silicon and software offerings. This portfolio supports cordless phones, cordless headsets, remote controls, home DECT-enabled gateways, fixed-mobile convergence solutions and home automation devices.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Ultra-Low Power Edge AI</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ultra-low power edge AI platform includes a highly integrated edge AI SOC designed for battery powered wireless devices equipped with audio or camera capabilities for consumer and industrial IoT applications. These solutions are designed for a wide range of power constrained IoT applications used in office buildings, retail, factories, warehouses, robotics, and smart homes and cities.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Connectivity</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wireless connectivity solutions include state-of-the-art Wi-Fi, Bluetooth, GPS, GNSS, and ULE to address broad IoT market applications including home automation, multimedia streamers, security sensors, surveillance cameras, wireless speakers, games, drones, printers, wearable and fitness devices, in addition to numerous other applications which require a wireless connection.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AudioSmart®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AudioSmart products bring forward optimum analog, mixed-signal and digital signal processor, or DSP, technologies for high-fidelity voice and audio processing. Our AudioSmart products include far-field voice technologies that enable accurate voice command recognition from a distance while disregarding other sounds, such as music, in order to activate smart devices such as smart speakers. AudioSmart also includes personal voice and audio solutions for high-performance headsets that enable active noise cancellation.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ConnectSmart</w:t>
      </w:r>
      <w:r>
        <w:rPr>
          <w:rFonts w:ascii="Arial" w:cs="Arial" w:eastAsia="Arial" w:hAnsi="Arial"/>
          <w:sz w:val="24"/>
          <w:szCs w:val="24"/>
          <w:i w:val="1"/>
          <w:iCs w:val="1"/>
          <w:color w:val="auto"/>
          <w:vertAlign w:val="superscript"/>
        </w:rPr>
        <w:t>™</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ConnectSmart video interface IC portfolio offers a full range of high-speed video/audio/data connectivity solutions that are designed for linking CPUs/GPUs and various endpoints for applications including PC docking stations, travel docks, dongles, protocol converters and virtual reality head mounted displays.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r>
        <w:rPr>
          <w:rFonts w:ascii="Arial" w:cs="Arial" w:eastAsia="Arial" w:hAnsi="Arial"/>
          <w:sz w:val="24"/>
          <w:szCs w:val="24"/>
          <w:i w:val="1"/>
          <w:iCs w:val="1"/>
          <w:color w:val="auto"/>
          <w:vertAlign w:val="superscript"/>
        </w:rPr>
        <w:t>®</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DisplayLink products utilize highly efficient video encode/decode algorithms to deliver a semiconductor-based solution which transmits compressed video frames across low bandwidth connections. These solutions are used in PC docking applications, conference room video display systems, and video casting applications.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VideoSmart™</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VideoSmart series SoCs include CPUs running at up to 40K Dhrystone Million Instructions per Second, gaming-grade Graphics Processing Unit, or GPUs, voice, and neural network processing units, or NPU. These powerful solutions combine a central processing unit, or CPU, NPU, and GPU, into a single software-enriched SoC. They enable smart multimedia devices including set-top boxes, or STB, over-the-top, or OTT, streaming devices, soundbars, surveillance cameras and smart displays.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ImagingSmart</w:t>
      </w:r>
      <w:r>
        <w:rPr>
          <w:rFonts w:ascii="Arial" w:cs="Arial" w:eastAsia="Arial" w:hAnsi="Arial"/>
          <w:sz w:val="24"/>
          <w:szCs w:val="24"/>
          <w:i w:val="1"/>
          <w:iCs w:val="1"/>
          <w:color w:val="auto"/>
          <w:vertAlign w:val="superscript"/>
        </w:rPr>
        <w:t>™</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ImagingSmart solutions include a product portfolio that spans four distinct product areas including document and photo imaging controllers, digital video, fax, and modem solutions. ImagingSmart products leverage image processing IP, JPEG encoders and DSP technology to deliver a wide range of fax, modem, digital video and printer solutions for home, mobile and imaging applications.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ID</w:t>
      </w:r>
      <w:r>
        <w:rPr>
          <w:rFonts w:ascii="Arial" w:cs="Arial" w:eastAsia="Arial" w:hAnsi="Arial"/>
          <w:sz w:val="24"/>
          <w:szCs w:val="24"/>
          <w:color w:val="auto"/>
          <w:vertAlign w:val="superscript"/>
        </w:rPr>
        <w:t>®</w:t>
      </w:r>
    </w:p>
    <w:p>
      <w:pPr>
        <w:spacing w:after="0" w:line="5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Our Natural ID family of capacitive-based fingerprint ID products is designed for use in notebook PCs, PC peripherals, automobiles, and other applications. Thin form factors provide industrial design flexibility, while robust matching algorithms and anti-spoofing technology provide strong security. Our Natural ID family of products spans a range of form factors, colors, and materials suitable for design on the front, back or side of a device.</w:t>
      </w:r>
    </w:p>
    <w:p>
      <w:pPr>
        <w:spacing w:after="0" w:line="1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Natural ID products are designed to be compatible with Fast IDentity Online, or FIDO, protocols, enhancing security and interoperability with a broad range of solutions. FIDO was formed to enhance online authentication by developing open, scalable technical standards to help facilitate the adoption of robust, easy to use authentication that reduces the reliance on passwords. Natural ID products increase the security of automobile and PC products while maintaining ease of use for the customer.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TouchPad</w:t>
      </w:r>
      <w:r>
        <w:rPr>
          <w:rFonts w:ascii="Arial" w:cs="Arial" w:eastAsia="Arial" w:hAnsi="Arial"/>
          <w:sz w:val="24"/>
          <w:szCs w:val="24"/>
          <w:color w:val="auto"/>
          <w:vertAlign w:val="superscript"/>
        </w:rPr>
        <w:t>TM</w:t>
      </w:r>
    </w:p>
    <w:p>
      <w:pPr>
        <w:spacing w:after="0" w:line="5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Our TouchPad family of products, which can take the place of, and exceed the functionality of a mouse, consists of a touch-sensitive pad that senses the position and movement of one or more fingers on its surface through the measurement of capacitance. Our TouchPad provides an accurate, comfortable, and reliable method for screen navigation, cursor movement, and gestures, and provides a platform for interactive input for both the consumer and corporate markets. Our TouchPad solutions allow our OEMs to provide stylish, simple, user-friendly, and intuitive solutions to consumers. Our TouchPad solutions also offer various advanced features, including scrolling, customizable tap zones, tapping and dragging of icons, and device interaction.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SecurePad</w:t>
      </w:r>
      <w:r>
        <w:rPr>
          <w:rFonts w:ascii="Arial" w:cs="Arial" w:eastAsia="Arial" w:hAnsi="Arial"/>
          <w:sz w:val="24"/>
          <w:szCs w:val="24"/>
          <w:color w:val="auto"/>
          <w:vertAlign w:val="superscript"/>
        </w:rPr>
        <w:t>TM</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SecurePad integrates our Natural ID fingerprint sensor directly into the TouchPad area, improving usability and simplifying the supply chain for notebook PC manufacturers.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ClickPad</w:t>
      </w:r>
      <w:r>
        <w:rPr>
          <w:rFonts w:ascii="Arial" w:cs="Arial" w:eastAsia="Arial" w:hAnsi="Arial"/>
          <w:sz w:val="24"/>
          <w:szCs w:val="24"/>
          <w:color w:val="auto"/>
          <w:vertAlign w:val="superscript"/>
        </w:rPr>
        <w:t>TM</w:t>
      </w:r>
    </w:p>
    <w:p>
      <w:pPr>
        <w:spacing w:after="0" w:line="5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ClickPad introduces a clickable mechanical design to the TouchPad solution, eliminating the need for physical buttons. The button-less design of our ClickPad allows for unique, intuitive industrial design and makes an excellent alternative to conventional input and navigation devices. Our ClickPad is activated by pressing down on the internal tact switch to perform left-button or right-button clicks and provides tactile feedback similar to pressing a physical button. The latest version of ClickPad features ClickEQ</w:t>
      </w:r>
      <w:r>
        <w:rPr>
          <w:rFonts w:ascii="Arial" w:cs="Arial" w:eastAsia="Arial" w:hAnsi="Arial"/>
          <w:sz w:val="24"/>
          <w:szCs w:val="24"/>
          <w:color w:val="auto"/>
          <w:vertAlign w:val="superscript"/>
        </w:rPr>
        <w:t>TM</w:t>
      </w:r>
      <w:r>
        <w:rPr>
          <w:rFonts w:ascii="Arial" w:cs="Arial" w:eastAsia="Arial" w:hAnsi="Arial"/>
          <w:sz w:val="18"/>
          <w:szCs w:val="18"/>
          <w:color w:val="auto"/>
        </w:rPr>
        <w:t>, a mechanical solution that provides uniform click depth to maximize the surface area available for gestures and improves click performance over hinged designs.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ForcePad®</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ForcePad is a thinner version of our ClickPad, which introduces a new dimension in control through the addition of variable force sensitivity. ForcePad is designed to provide consistent performance across OEM models through its design intelligence and self-calibration features. By detecting the amount of force applied, ForcePad is engineered to enable more intuitive and precise user interactions in operating system controls and applications. Designed with thin and light notebooks in mind, ForcePad is 40% thinner than a conventional touch pad.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ClearPad</w:t>
      </w:r>
      <w:r>
        <w:rPr>
          <w:rFonts w:ascii="Arial" w:cs="Arial" w:eastAsia="Arial" w:hAnsi="Arial"/>
          <w:sz w:val="24"/>
          <w:szCs w:val="24"/>
          <w:color w:val="auto"/>
          <w:vertAlign w:val="superscript"/>
        </w:rPr>
        <w:t>®</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ClearPad family of products enables the user to interact directly with the display on electronic devices, such as mobile smartphones, tablets, and automobiles. Our ClearPad has distinct advantages, including low-profile form factor; high reliability, durability, and accuracy; and low power consumption. We typically sell our ClearPad solution as a chip, together with customer-specific firmware, to sensor manufacturers, OLED manufacturers or LCD manufacturers, to integrate into their touch-enabled products.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ClearView</w:t>
      </w:r>
      <w:r>
        <w:rPr>
          <w:rFonts w:ascii="Arial" w:cs="Arial" w:eastAsia="Arial" w:hAnsi="Arial"/>
          <w:sz w:val="24"/>
          <w:szCs w:val="24"/>
          <w:color w:val="auto"/>
          <w:vertAlign w:val="superscript"/>
        </w:rPr>
        <w:t>TM</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ClearView display driver products offer advanced image processing and low power technology for displays on electronic devices, including smartphones and tablets. ClearView products include adaptive image processing that works in concert with proprietary customization options to enable development of efficient and cost-effective high-performance solutions and faster time to market. Our display driver products offer automatic regional control of color balance that optimizes light and dark areas of an image simultaneously, and sunlight readability enhancement capabilities that optimize image quality under various lighting conditions. Our virtual reality bridge and virtual reality display driver integrated circuit, or DDIC, chips enable our customers to move to higher resolution and faster response displays.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TouchView</w:t>
      </w:r>
      <w:r>
        <w:rPr>
          <w:rFonts w:ascii="Arial" w:cs="Arial" w:eastAsia="Arial" w:hAnsi="Arial"/>
          <w:sz w:val="24"/>
          <w:szCs w:val="24"/>
          <w:color w:val="auto"/>
          <w:vertAlign w:val="superscript"/>
        </w:rPr>
        <w:t>TM</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TouchView solutions include our TDDI products that combine two functions, a touch controller, and a display driver, into a single chip that incorporates all the features of our ClearView and ClearPad products. TouchView products enable thinner form factors to help customers minimize component count and add flexibility to their industrial designs. These products are used in large screen devices, including notebooks and tablets, and are also certified for automotive display applications.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122"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Other product solutions we offer include Dual Pointing Solutions, and TouchStyk</w:t>
      </w:r>
      <w:r>
        <w:rPr>
          <w:rFonts w:ascii="Arial" w:cs="Arial" w:eastAsia="Arial" w:hAnsi="Arial"/>
          <w:sz w:val="24"/>
          <w:szCs w:val="24"/>
          <w:color w:val="auto"/>
          <w:vertAlign w:val="superscript"/>
        </w:rPr>
        <w:t>TM</w:t>
      </w:r>
      <w:r>
        <w:rPr>
          <w:rFonts w:ascii="Arial" w:cs="Arial" w:eastAsia="Arial" w:hAnsi="Arial"/>
          <w:sz w:val="18"/>
          <w:szCs w:val="18"/>
          <w:color w:val="auto"/>
        </w:rPr>
        <w:t>. Our dual pointing solutions offer TouchPad with a pointing stick in a single notebook computer, enabling users to select their interface of choice. TouchStyk is a self-contained pointing stick module that uses capacitive technology similar to that used in our TouchPad.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developed and own an extensive array of technologies, encompassing ASICs, firmware, software, mechanical and electrical designs, display systems, pattern recognition, touch-sensing technologies, fingerprint sensing, voice, audio, imaging, modem, and multimedia technologies. We continue to develop technology in these areas. We believe these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technologies and the related intellectual property rights create barriers for competitors and allow us to provide high-value human experience semiconductor product solutions in a variety of high-growth markets.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broad line of semiconductor product solutions is currently based upon the following key technologies:</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microcontroller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vector co-processor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Multimedia processing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Voice and audio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Pattern recognition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Deep learning and neural network inferencing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Mixed-signal integrated circuit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Wireless connectivity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interface and compression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Imaging and modem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Capacitive position and force sensing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Capacitive active pen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Multi-touch technology;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Display systems and circuit technology.</w:t>
      </w:r>
    </w:p>
    <w:p>
      <w:pPr>
        <w:spacing w:after="0" w:line="225"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In addition to these technologies, we develop firmware and device driver software that we incorporate into our products, which provide unique and advanced features. In addition, our ability to integrate all our products to interface with major operating systems provides us with a competitive advantage.</w:t>
      </w:r>
    </w:p>
    <w:p>
      <w:pPr>
        <w:spacing w:after="0" w:line="12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Proprietary Microcontroller Technology</w:t>
      </w:r>
      <w:r>
        <w:rPr>
          <w:rFonts w:ascii="Arial" w:cs="Arial" w:eastAsia="Arial" w:hAnsi="Arial"/>
          <w:sz w:val="18"/>
          <w:szCs w:val="18"/>
          <w:color w:val="auto"/>
        </w:rPr>
        <w:t>. One example of our microcontroller technology is our proprietary 16-bit microcontroller core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in the digital portion of our capacitive touch mixed signal ASICs, which is allowing us to optimize our ASICs for position sensing tasks. Our embedded microcontroller provides great flexibility in customizing our products via firmware, which eliminates the need to design new circuitry for each new application.</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 xml:space="preserve">Proprietary Vector Co-Processor Technology. </w:t>
      </w:r>
      <w:r>
        <w:rPr>
          <w:rFonts w:ascii="Arial" w:cs="Arial" w:eastAsia="Arial" w:hAnsi="Arial"/>
          <w:sz w:val="18"/>
          <w:szCs w:val="18"/>
          <w:color w:val="auto"/>
        </w:rPr>
        <w:t>Our vector co-processor technology is designed for use in our ASICs, accompanying either one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proprietary microcontroller cores or a commercially available one. The co-processor boosts an ASIC’s computational performance by efficiently processing vectors of data for a range of mathematical operations. This allows us to implement more computationally intensive algorithms within our firmware.</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Multimedia Processing Technology</w:t>
      </w:r>
      <w:r>
        <w:rPr>
          <w:rFonts w:ascii="Arial" w:cs="Arial" w:eastAsia="Arial" w:hAnsi="Arial"/>
          <w:sz w:val="18"/>
          <w:szCs w:val="18"/>
          <w:color w:val="auto"/>
        </w:rPr>
        <w:t>. This technology allows us to create multimedia SoC products for set-top boxes, soundbars, digital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assistants, smart displays, virtual reality, OTT, audio, and video. Our video processing technology includes hardware and algorithms to reduce analog and digital noise, convert to different video formats, and enhance color and contrast. Our products include security and secure encrypt/decrypt technology, including secure boot and hardware root of trust.</w:t>
      </w:r>
    </w:p>
    <w:p>
      <w:pPr>
        <w:spacing w:after="0" w:line="187"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i w:val="1"/>
          <w:iCs w:val="1"/>
          <w:color w:val="auto"/>
        </w:rPr>
        <w:t xml:space="preserve">Voice and Audio Technology. </w:t>
      </w:r>
      <w:r>
        <w:rPr>
          <w:rFonts w:ascii="Arial" w:cs="Arial" w:eastAsia="Arial" w:hAnsi="Arial"/>
          <w:sz w:val="17"/>
          <w:szCs w:val="17"/>
          <w:color w:val="auto"/>
        </w:rPr>
        <w:t>This technology allows us to develop human experience and communication products based on voice and audio</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The technology embodies a broad range of analog and mixed signal circuits expertise and audio signal processing algorithms, including:</w:t>
      </w:r>
    </w:p>
    <w:p>
      <w:pPr>
        <w:spacing w:after="0" w:line="38"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Noise suppression;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Acoustic echo cancellation;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 noise cancellation;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Trigger word detection;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Mid-field and far-field voice processing;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digital signal processor architecture;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codecs;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post processing;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performance audio analog-to-digital converters, or ADCs, and digital-to-analog converters, or DACs;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amplifiers;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 power audio processing;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Speaker protection;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acoustic design.</w:t>
      </w:r>
    </w:p>
    <w:p>
      <w:pPr>
        <w:spacing w:after="0" w:line="22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i w:val="1"/>
          <w:iCs w:val="1"/>
          <w:color w:val="auto"/>
        </w:rPr>
        <w:t xml:space="preserve">Pattern Recognition Technology. </w:t>
      </w:r>
      <w:r>
        <w:rPr>
          <w:rFonts w:ascii="Arial" w:cs="Arial" w:eastAsia="Arial" w:hAnsi="Arial"/>
          <w:sz w:val="17"/>
          <w:szCs w:val="17"/>
          <w:color w:val="auto"/>
        </w:rPr>
        <w:t>This technology is a set of software algorithms and techniques for converting real world data, such as gestures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 xml:space="preserve">Deep Learning and Neural Network Inferencing Technology. </w:t>
      </w:r>
      <w:r>
        <w:rPr>
          <w:rFonts w:ascii="Arial" w:cs="Arial" w:eastAsia="Arial" w:hAnsi="Arial"/>
          <w:sz w:val="18"/>
          <w:szCs w:val="18"/>
          <w:color w:val="auto"/>
        </w:rPr>
        <w:t>This technology allows us to create and train deep neural networks for audio, image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video processing and computer vision functions. Some of our products contain hardware designed to evaluate deep neural networks securely and with low latency. We also have technology that allows us to compress our trained neural networks for more efficient AI-at-the-edge on our hardware. These neural network algorithms improve the quality of the sensed data (for example, reduce the noise, or increase the resolution) as well as interpret the sensed data.</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Mixed-Signal Integrated Circuit Technology</w:t>
      </w:r>
      <w:r>
        <w:rPr>
          <w:rFonts w:ascii="Arial" w:cs="Arial" w:eastAsia="Arial" w:hAnsi="Arial"/>
          <w:sz w:val="18"/>
          <w:szCs w:val="18"/>
          <w:color w:val="auto"/>
        </w:rPr>
        <w:t>. This hybrid analog-digital integrated circuit technology combines the power of digital computation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79"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High-speed serial interfaces;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Analog-to-digital and digital-to-analog converters;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Electromagnetic emissions suppression and susceptibility hardening;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Very Large Scale Integrated, or VLSI, digital circuits with multiple clock and power domains;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Communications and signal processing circuits;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management (switching converters, charge pumps, and LDOs);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Precision capacitance measurement;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Display timing controllers, or TCONs.</w:t>
      </w:r>
    </w:p>
    <w:p>
      <w:pPr>
        <w:spacing w:after="0" w:line="22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i w:val="1"/>
          <w:iCs w:val="1"/>
          <w:color w:val="auto"/>
        </w:rPr>
        <w:t xml:space="preserve">Wireless Technology. </w:t>
      </w:r>
      <w:r>
        <w:rPr>
          <w:rFonts w:ascii="Arial" w:cs="Arial" w:eastAsia="Arial" w:hAnsi="Arial"/>
          <w:sz w:val="17"/>
          <w:szCs w:val="17"/>
          <w:color w:val="auto"/>
        </w:rPr>
        <w:t>Our wireless connectivity solutions include discrete and integrated Wi-Fi and Bluetooth solutions, and satellite-based</w:t>
      </w:r>
      <w:r>
        <w:rPr>
          <w:rFonts w:ascii="Arial" w:cs="Arial" w:eastAsia="Arial" w:hAnsi="Arial"/>
          <w:sz w:val="17"/>
          <w:szCs w:val="17"/>
          <w:i w:val="1"/>
          <w:iCs w:val="1"/>
          <w:color w:val="auto"/>
        </w:rPr>
        <w:t xml:space="preserve"> </w:t>
      </w:r>
      <w:r>
        <w:rPr>
          <w:rFonts w:ascii="Arial" w:cs="Arial" w:eastAsia="Arial" w:hAnsi="Arial"/>
          <w:sz w:val="17"/>
          <w:szCs w:val="17"/>
          <w:color w:val="auto"/>
        </w:rPr>
        <w:t>GPS/GNSS mobile navigation receivers. Wi-Fi allows devices on a local area network to communicate wirelessly, adding the convenience of mobility to the utility of high-speed data networks. We offer a family of high performance, low power Wi-Fi chipsets. We offer products which incorporate the latest Wi-Fi standards such as 802.11AX, which is known as Wifi-6 and Wifi-6E. Bluetooth is a low power technology that enables direct connectivity between devices. We offer a family of Bluetooth silicon and software solutions that enable customers to easily and cost-effectively add Bluetooth functionality to virtually any device, including Bluetooth 6.0 and Bluetooth Enterprise True Wireless Stereo (TWS). These solutions include combination chips that offer integrated Wi-Fi and Bluetooth functionality, which provides significant performance advantages over discrete solutions.</w:t>
      </w:r>
    </w:p>
    <w:p>
      <w:pPr>
        <w:spacing w:after="0" w:line="1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also offer a family of GPS and GNSS semiconductor products, software, and location data services. These products are part of a broad location platform that enable customer devices to wirelessly communicate and receive precise location and navigational data from satellite constellations for use in various location services applications.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ind w:firstLine="509"/>
        <w:spacing w:after="0" w:line="263" w:lineRule="auto"/>
        <w:rPr>
          <w:sz w:val="20"/>
          <w:szCs w:val="20"/>
          <w:color w:val="auto"/>
        </w:rPr>
      </w:pPr>
      <w:r>
        <w:rPr>
          <w:rFonts w:ascii="Arial" w:cs="Arial" w:eastAsia="Arial" w:hAnsi="Arial"/>
          <w:sz w:val="18"/>
          <w:szCs w:val="18"/>
          <w:color w:val="auto"/>
        </w:rPr>
        <w:t>As part of our wireless technology, DECT based devices provide worldwide coverage for telephony applications, supporting most RF bands and cordless protocols standardized around the world. This includes 1.7GHz -1.9GHz used in Europe, U.S., Korea, Japan and Latin America; and 2.4GHz – used in Japan, China, India and the U.S., along with other proprietary protocols for specific use cases.</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i w:val="1"/>
          <w:iCs w:val="1"/>
          <w:color w:val="auto"/>
        </w:rPr>
        <w:t>Video Compression Technology</w:t>
      </w:r>
      <w:r>
        <w:rPr>
          <w:rFonts w:ascii="Arial" w:cs="Arial" w:eastAsia="Arial" w:hAnsi="Arial"/>
          <w:sz w:val="18"/>
          <w:szCs w:val="18"/>
          <w:color w:val="auto"/>
        </w:rPr>
        <w:t>. Our video interface solutions include our ConnectSmart and DisplayLink portfolios, offering a full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solutions that connect devices to external displays and support the latest versions of the most widely used protocols, connectors, and operating systems. Our flexible product lines for connecting devices combine high-performance interface with low power consumption and are designed for both commercial and consumer end-products. Our solutions have been broadly adopted by the top OEMs and original device manufacturers, or ODMs, to enable video expansion and protocol conversion, leverage high-end features, and deliver the bandwidth needed to drive multiple high-resolution external displays simultaneously.</w:t>
      </w:r>
    </w:p>
    <w:p>
      <w:pPr>
        <w:spacing w:after="0" w:line="1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Imaging and Modem Technology</w:t>
      </w:r>
      <w:r>
        <w:rPr>
          <w:rFonts w:ascii="Arial" w:cs="Arial" w:eastAsia="Arial" w:hAnsi="Arial"/>
          <w:sz w:val="18"/>
          <w:szCs w:val="18"/>
          <w:color w:val="auto"/>
        </w:rPr>
        <w:t>. This technology allows us to create a family of SoC integrated circuits and software for printers, video cameras,</w:t>
      </w:r>
      <w:r>
        <w:rPr>
          <w:rFonts w:ascii="Arial" w:cs="Arial" w:eastAsia="Arial" w:hAnsi="Arial"/>
          <w:sz w:val="18"/>
          <w:szCs w:val="18"/>
          <w:i w:val="1"/>
          <w:iCs w:val="1"/>
          <w:color w:val="auto"/>
        </w:rPr>
        <w:t xml:space="preserve"> </w:t>
      </w:r>
      <w:r>
        <w:rPr>
          <w:rFonts w:ascii="Arial" w:cs="Arial" w:eastAsia="Arial" w:hAnsi="Arial"/>
          <w:sz w:val="18"/>
          <w:szCs w:val="18"/>
          <w:color w:val="auto"/>
        </w:rPr>
        <w:t>fax machines and modems. Key functional blocks include:</w:t>
      </w:r>
    </w:p>
    <w:p>
      <w:pPr>
        <w:spacing w:after="0" w:line="6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 processing hardware accelerators;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Printer imaging pipeline;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Inkjet, laser, and thermal print engine and motor control;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Scan/camera and peripheral control;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and fax modem hardware and firmware.</w:t>
      </w:r>
    </w:p>
    <w:p>
      <w:pPr>
        <w:spacing w:after="0" w:line="22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i w:val="1"/>
          <w:iCs w:val="1"/>
          <w:color w:val="auto"/>
        </w:rPr>
        <w:t>Capacitive Fingerprint Sensing Technology</w:t>
      </w:r>
      <w:r>
        <w:rPr>
          <w:rFonts w:ascii="Arial" w:cs="Arial" w:eastAsia="Arial" w:hAnsi="Arial"/>
          <w:sz w:val="16"/>
          <w:szCs w:val="16"/>
          <w:color w:val="auto"/>
        </w:rPr>
        <w:t>. Our fingerprint sensing technology simplifies the system or application authentication process by</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substituting the user’s fingerprint for the login name and password. Our capacitive fingerprint sensing technology provides for fingerprint authentication by scanning and matching an image of a user’s fingerprint, as well as initial fingerprint enrollment. Our sensing technology also incorporates spoof detection and includes many implementation choices including the back of the phone or PC, button integration, touchpad integration, and under glass.</w:t>
      </w:r>
    </w:p>
    <w:p>
      <w:pPr>
        <w:spacing w:after="0" w:line="1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i w:val="1"/>
          <w:iCs w:val="1"/>
          <w:color w:val="auto"/>
        </w:rPr>
        <w:t>Capacitive Position and Force Sensing Technology</w:t>
      </w:r>
      <w:r>
        <w:rPr>
          <w:rFonts w:ascii="Arial" w:cs="Arial" w:eastAsia="Arial" w:hAnsi="Arial"/>
          <w:sz w:val="18"/>
          <w:szCs w:val="18"/>
          <w:color w:val="auto"/>
        </w:rPr>
        <w:t>. Our Position Sensing technology provides a method for sensing the presence, position,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contact area of one or more fingers or a stylus on a flat or curved surface. Our technology works with very light touch, supports full multi-touch capabilities, and provides highly responsive cursor navigation, scrolling, and selection. It uses no moving parts, can be implemented under plastic or glass, and is extremely durable. Our technology can also track one or more fingers in proximity to the touch surface. Our Force Sensing technology senses the direction and magnitude of a force applied to an object.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19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i w:val="1"/>
          <w:iCs w:val="1"/>
          <w:color w:val="auto"/>
        </w:rPr>
        <w:t>Capacitive Active Pen Technology</w:t>
      </w:r>
      <w:r>
        <w:rPr>
          <w:rFonts w:ascii="Arial" w:cs="Arial" w:eastAsia="Arial" w:hAnsi="Arial"/>
          <w:sz w:val="18"/>
          <w:szCs w:val="18"/>
          <w:color w:val="auto"/>
        </w:rPr>
        <w:t>. This technology allows us to develop a pen that can be used for input on a capacitive touchscreen.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 xml:space="preserve">Multi-touch Technology. </w:t>
      </w:r>
      <w:r>
        <w:rPr>
          <w:rFonts w:ascii="Arial" w:cs="Arial" w:eastAsia="Arial" w:hAnsi="Arial"/>
          <w:sz w:val="18"/>
          <w:szCs w:val="18"/>
          <w:color w:val="auto"/>
        </w:rPr>
        <w:t>This technology allows us to create capacitive touch products that simultaneously track the presence, position,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Display Systems and Circuit Technology</w:t>
      </w:r>
      <w:r>
        <w:rPr>
          <w:rFonts w:ascii="Arial" w:cs="Arial" w:eastAsia="Arial" w:hAnsi="Arial"/>
          <w:sz w:val="18"/>
          <w:szCs w:val="18"/>
          <w:color w:val="auto"/>
        </w:rPr>
        <w:t>. This technology enables us to develop optimized human experience semiconductor product solutions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compatibility with their application environments. This technology consists of mobile and large format display semiconductor expertise, including the following functional blocks:</w:t>
      </w:r>
    </w:p>
    <w:p>
      <w:pPr>
        <w:spacing w:after="0" w:line="76"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TCONs;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Thin-Film-Transistor, or TFT, gamma references;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Smooth dimming and content adaptive brightness control;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Contrast enhancement;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Color enhancement;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Gamma curve control;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Force, touch, and display synchronization;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area active contrast optimization;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Adaptive image compression and decompression;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Sub-pixel rendering;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Demura compensation;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Rounded corner processing;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Frame rate control;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High-speed serial interfaces such as mobile industry processor interface display serial interface, or MIPI DSI, and Qualcomm mobile display digital interface, or MDDI;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Display power circuits such as inductive switchers, charge pumps, and LDOs.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latest addition to our automotive portfolio is an automotive-grade TDDI for indium gallium zinc oxide and amorphous silicon gate-in-panel displays and low-temperature polycrystalline panels up to 4K resolution.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conduct ongoing research and development programs that focus on advancing our existing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w:t>
      </w:r>
    </w:p>
    <w:p>
      <w:pPr>
        <w:spacing w:after="0" w:line="18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research and development programs focus on the development of accurate, easy to use, reliable, and intuitive human experiences for electronic devices. We believe our innovative interface technologies can be applied to many diverse products, and we believe the interface is a key factor in the differentiation of many products. AI-at-the-edge is a focus area for us in enabling better performance and enhancing user experience in many of these products. We believe that our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6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the end of fiscal 2023, we employed 1,416 people in our technology, engineering, and product design functions in the United States, China, Taiwan, Japan, Israel, the United Kingdom, India, Germany, Poland, and Korea.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success and ability to compete depend in part on our ability to maintain the proprietary aspects of our technologies and products. We rely on a combination of patents, trademarks, trade secrets, copyrights, confidentiality agreements, and other statutory and contractual provisions to protect our intellectual property, but these measures may provide only limited protection.</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2023, we held 2,583 active patents and 569 pending patent applications worldwide that expire between 2023 and 2043. Collectively, these patents and patent applications cover various aspects of our key technologies, including those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for touch sensing, voice processing, secure biometrics, display drivers, touch and display integration, docks and adapters, video interfaces, wired and wireless connectivity, audio processing, video processing, edge computing, open AI tools, and computer vision. Our proprietary firmware and software, including source code, are also protected by copyright laws and applicable trade secret laws.</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extensive array of technologies includes those related to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within the products we provide to our customers also serve to protect our intellectual property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customers include many of the world’s largest mobile and PC OEMs, based on unit shipments, as well as many large IoT OEMs, automotive manufacturers and a variety of consumer electronics manufacturers. Our demonstrated track record of technological leadership, design innovation, product performance, cost-effectiveness, and on-time deliveries have resulted in our leadership position in providing human experience semiconductor product solutions. We believe our strong relationship with our OEM customers, many of which are also currently developing product solutions which are focused in several of our target markets, will continue to position us as a source of supply for their product offerings.</w:t>
      </w:r>
    </w:p>
    <w:p>
      <w:pPr>
        <w:spacing w:after="0" w:line="17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generally supply our products to OEMs through their contract manufacturers, supply chain or distributors. 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human experience semiconductor product solutions in their products. The contract manufacturers and distributors place orders with us for the purchase of our products, take title to the products purchased upon delivery by us, and pay us directly for those purchases. The majority of these customers do not have return rights except for warranty provisions.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sell our product solutions for incorporation into the products of our OEM customers. We generate sales through direct sales employees as well as outside sales representatives, distributors and value-added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8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the end of fiscal 2023, we employed 399 sales and marketing professionals. We maintain customer support offices domestically and internationally, which are located in the U.S., Taiwan, China, India, Korea, Japan, United Kingdom and Switzerland. In addition, we utilize value-added resellers and sales distributors that are primarily located in the U.S., China, Korea, Japan, Taiwan and Germany.</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International sales constituted nearly all of our revenue for each of fiscal 2023, 2022, and 2021. Approximately 63%, 66% and 68% of our sales in fiscal 2023, 2022 and 2021, respectively, were made to companies located in China and Taiwan that provide design and manufacturing services for major IoT, notebook computer, and mobile product applications OEMs. Our sales are almost exclusively denominated in U.S. dollars. This information should be read in conjunction with Note 15 Segment, Customers, and Geographic Information to the consolidated financial statements contained elsewhere in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employ a fabless semiconductor manufacturing platform through third-party relationships. We currently utilize third-party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module products or processed as our ASIC-based solution.</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product solutions or the ASIC is maintained as a standalone finished good. The finished assembled product is subsequently shipped directly to our customers or by our contract manufacturers directly to our customers for integration into their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ind w:firstLine="509"/>
        <w:spacing w:after="0" w:line="308" w:lineRule="auto"/>
        <w:rPr>
          <w:sz w:val="20"/>
          <w:szCs w:val="20"/>
          <w:color w:val="auto"/>
        </w:rPr>
      </w:pPr>
      <w:r>
        <w:rPr>
          <w:rFonts w:ascii="Arial" w:cs="Arial" w:eastAsia="Arial" w:hAnsi="Arial"/>
          <w:sz w:val="17"/>
          <w:szCs w:val="17"/>
          <w:color w:val="auto"/>
        </w:rPr>
        <w:t>We believe our third-party manufacturing strategy provides a scalable business model, enables us to concentrate on our core competencies of research and development, technological advances, and product design and engineering, and reduces our capital investment.</w:t>
      </w:r>
    </w:p>
    <w:p>
      <w:pPr>
        <w:spacing w:after="0" w:line="14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third-party contract manufacturers and semiconductor fabricators are predominately Asia-based organizations. We generally provide our contract manufacturers with six-month rolling forecasts of our production requirements. As a result of recent supply constraints and capacity shortages affecting the global semiconductor industry, we have entered into long-term capacity and pricing agreements with some suppliers. Our reliance on these parties exposes us to vulnerability owing to our dependence on a few sources of supply. In some cases, we have alternative sources of suppliers to mitigate supplier risk; however, in the current environment, all of them could be constrained. We may establish relationships with other contract manufacturers in order to reduce our dependence on any single source of supply.</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 In addition, the impact of entering into long-term capacity agreements could create significant inventory write-down if the end customer demand substantially declines.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diverse SoC solutions integrate artificial intelligence hardware engines, video processing, far-field voice and linguistics processing products and are sold into market segments that offer significant potential growth, ranging from home automation applications, smart assistant platforms, surveillance cameras, to set-top-box/over-the-top, or STB/OTT platforms to a wide variety of embedded products in the broader IoT market. The markets for STB/OTT products, surveillance cameras, home automation, smart assistant solutions and embedded IoT products require strong technology innovation in silicon and software along with deep systems and systems engineering expertise. Our principal competition in these markets include Broadcom, MediaTek, NXP, AmLogic, and Ambarella, among others.</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provide voice processing silicon and software solutions for voice-enabled devices, consumer and commercial imaging, and next-generation audio applications. In addition to our voice solutions, we support the audio headphone and virtual reality head mounted display industry with universal serial bus-c, or USB-C, audio codec solutions for next generation wireless audio devices and wearables. Our competitors in the sale of audio products include Cirrus Logic, BES Technic, Realtek, and Qualcomm.</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wireless products for use in IoT application markets include our technologies such as Wi-Fi, Bluetooth, Wi-Fi-Bluetooth combinations, and GPS/GNSS support our customers’ need to develop products which can wirelessly communicate to networks, remote control of edge-devices, machine-to-machine communication, among other purposes. Our principal competition includes Infineon, Qualcomm, MediaTek, NXP, and Silicon Labs, among others.</w:t>
      </w:r>
    </w:p>
    <w:p>
      <w:pPr>
        <w:spacing w:after="0" w:line="7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Our automotive products include touch, display driver, SmartBridge, and TDDI solutions for major automotive OEMs. Our principal competitors for these products include Focaltech, Himax, Novatek Microelectronics and Microchip. Our IoT video interface products are sold into PC and smartphone docks and wireless adapter market applications. Our principal competitors in the sale of IoT interface products are Parade, Megachips, and Realtek.</w:t>
      </w:r>
    </w:p>
    <w:p>
      <w:pPr>
        <w:spacing w:after="0" w:line="4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also provide fax, modem and image processors and software solutions for printers, fax machines, point of sale terminals, and medical applications. Our principal competitors in these markets are Skyworks, Marvell, and Qbit.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and Mobile</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touch, display and fingerprint-based semiconductor products are sold into markets for PC product applications, mobile product applications, and other electronic devices. The markets for touchscreen products are characterized by rapidly changing technology and intense competition. Our principal competition in the sale of touchscreen products includes Broadcom, Goodix, Focaltech, ST Micro and various other companies involved in human experience semiconductor product solutions. Our principal competitors in the sale of notebook touch pads are Cirque Corporation, Elan Microelectronics and Goodix. Our principal competitors in the sale of display driver products for mobile product applications market include Novatek Microelectronics, Samsung LSI, LX Semicon and Raydium. Our principal competitors in the sale of display driver products for virtual reality applications market include Novatek Microelectronics and Samsung LSI Our principal competitors in the sale of fingerprint authentication solutions for PC product applications markets are Egis Technology, Elan Microelectronics, and Goodix.</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strive to be a leading corporate citizen. We uphold the most ethical standards in our business practices and policies, and we believe that sustainable corporate practices and consistent attention to social and governance priorities will help enhance long-term value for our stockholders. With guidance from our Board of Directors, our management team applies an integrated methodology to financial matters, corporate governance, and corporate responsibility, leading to increased accountability, better decision making and ultimately enhanced long-term value. This focus on the environment, social, and governance, or ESG, influences the way we consider our business goals and strategies.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the last several years, we have improved our internal and external policies, better aligning our corporate actions with our commitment to a greener planet. We have implemented internal green programs and initiatives to reinforce our commitment to minimizing natural resource consumption, improving sustainability, disposing of end-of-life products in an environmentally safe manner, reducing waste, and increasing reuse and recycling programs company-wide. In addition, we recently completed a comprehensive review of Scope 3 GHG emissions across our Company.</w:t>
      </w:r>
    </w:p>
    <w:p>
      <w:pPr>
        <w:spacing w:after="0" w:line="6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 xml:space="preserve">We participate in the Climate Disclosure Program (CDP) and have also implemented a Supplier environmental conservation program. We have set specific goals to reduce Scope 1 and Scope 2 GHG emissions, increase the use of renewable energy, and reduce waste generation at our facilities. These goals can be found on our website at </w:t>
      </w:r>
      <w:r>
        <w:rPr>
          <w:rFonts w:ascii="Arial" w:cs="Arial" w:eastAsia="Arial" w:hAnsi="Arial"/>
          <w:sz w:val="16"/>
          <w:szCs w:val="16"/>
          <w:u w:val="single" w:color="auto"/>
          <w:color w:val="0000FF"/>
        </w:rPr>
        <w:t>www.synaptics.com/corporate-environmental-policy</w:t>
      </w:r>
      <w:r>
        <w:rPr>
          <w:rFonts w:ascii="Arial" w:cs="Arial" w:eastAsia="Arial" w:hAnsi="Arial"/>
          <w:sz w:val="16"/>
          <w:szCs w:val="16"/>
          <w:color w:val="auto"/>
        </w:rPr>
        <w:t>. Our climate change management currently involves a focus on education, increasing internal awareness of climate change mitigation and impact reduction through on-going training and internal education.</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Chief Information Officer, or CIO, also acts as our Chief Sustainability Officer and has responsibility for our Global Workplace Resources function and executes our climate strategy and related issues. The CIO is responsible for assessing and leading the management of climate-related risks and opportunities, elevating stakeholder concerns and guiding the implementation of climate-related policies, programs and disclosures. As a member of our senior executive team, the CIO is responsible for elevating climate topics to senior leadership and, ultimately, to the Board’s Nominations and Corporate Governance Committee and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employees and communities are the heart of our company, and we take pride in our social responsibility to them as well becoming better global citizens. We support our local communities through charitable causes and events, and we have numerous programs in place around the world that promote our commitments to diversity, equality of opportunity, non-discrimination, and the highest standards of human rights.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support and contribute toward educational programs with the intent to help reduce social and economic inequalities. Our employees are passionate about their communities, and we support global causes that they care about and volunteer toward.</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are committed to the use of a socially responsible supply chain. We have adopted a supplier and vendor code of conduct, and businesses in our supply chain are contractually obligated to comply with and support the Responsible Business Alliance (RBA) Code of Conduct. We expect suppliers and vendors to uphold the highest standards of human rights including anti-discrimination and humane treatment, freedom of association and collective bargaining, prevention of child labor, limits on working hours, minimum fair and living wage, worker feedback and grievance systems. We expect suppliers to exercise due diligence on relevant minerals in their supply chains and to have a policy to reasonably assure that the tantalum, tin, tungsten, and gold in the products they manufacture does not directly or indirectly finance or benefit armed groups that perpetrate serious human rights abuses in the Democratic Republic of the Congo or an adjoining country. Our vendors and suppliers are also required to obtain and maintain all required health and safety permits, provide reasonable working and living conditions, have incident management systems and emergency preparedness and response protocols.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are dedicated to supporting leading corporate governance and board practices to ensure oversight accountability and transparency in our business practices. We place a high value on ethical actions, individual integrity, and fair dealing in every aspect of what we do. Our Board of Directors is responsible for overseeing our ESG policies and practices generally. The Nominations and Corporate Governance Committee has oversight of ESG strategy and receives regular updates from management on our ESG performance. The Audit Committee provides oversight of business risks and our company’s Code of Business Conduct and Ethics. Our Board of Directors receives periodic updates from Nominations and Corporate Governance Committee and management on our ESG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Accountability</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Board of Directors and management are strongly committed to our corporate responsibility policies and will continue to regularly evaluate these policies to ensure an effective outcome and strict adherence by our employees, suppliers, vendors, and partners. We actively monitor and evaluate our internal compliance with our Code of Conduct and other corporate social responsibility policies and programs.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Our company has been built on the collective contributions from people of many countries, religions, and ethnic backgrounds. People are our most critical asset and are the core component behind our success. We want to attract, develop, and retain the world’s best talent.</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Competition for talent in our industry is extremely intense. Our human resource strategy and programs are focused on attracting, engaging, developing and retaining this talent. We believe our company attributes differentiate us and, in part, allow us to consistently retain our employees throughout fiscal year 2023, as our attrition rate continues to be lower than benchmark data. Our employee average tenure globally is 7.6 years.</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Board of Directors and Board committees provide oversight on certain workforce management matters including, among other aspects, management depth and strength assessment, diversity, equity, inclusion and belonging, and our employee survey results. The Audit Committee’s oversight of business risks and our company’s Code of Business Conduct and Ethics is relevant to human capital management. The Nominations and Corporate Governance Committee’s oversight of ESG strategy includes talent attraction and retention and inclusion and diversity. The Compensation Committee provides oversight of our overall compensation philosophy, policies, and programs, and assesses whether our compensation establishes appropriate incentives for executive officers and other employees.</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24, 2023, we employed 1,891 employees. Our workforce is distributed globally across 16 countries with 23% of our employees located in North America, 60% located in Asia Pacific and 17% located in Europe and the Middle East, or EMEA.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Compensation and Benefits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provide competitive benefits related to health, wellness, mental health and family resources designed to meet the needs of our diverse global workforce. We have a robust pay for performance philosophy and compensation framework to reward high performance. We align executive compensation with our corporate strategies, business objectives and the creation of long-term value for our stockholders without encouraging unnecessary or excessive risk-taking.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and Development</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strive to create exceptional employee experiences. Our focus is on creating a space for employees to do their best work and feel valued and engaged. As part of our dedication to and investment in our employees, we conduct organizational health surveys designed to assess employee engagement, leadership, work environment, and culture.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Employees have various opportunities to learn though technical, compliance and other professional trainings. We offer career advancement opportunities to our employees and are focused on leadership development. Investing in our employees and their professional development is a priority for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Inclusion and Belonging</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embrace diversity and inclusion and strive to provide a rich environment with diverse skills, backgrounds and perspectives. We strongly believe diverse teams are more innovative and productive. Our goal is to cultivate an environment that not only allows for, but also encourages, everyone to collaborate and participate equally to foster individual and company growth. As of June 2023, 20% of global employees and 38% of our board of directors identified as female. We are committed to diversity, equity and inclusion. Fiscal 2023 was a year of program development and growth around this topic including a comprehensive internal assessment, internal communications campaign, several diversity, equity, inclusion, and belonging events, and employee resource group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Impact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believe in giving back to the communities where our employees live and work. We provide opportunities for employees to donate or volunteer their time through various programs and charitable events. Our employees regularly participate in events focused on youth and underrepresented communities.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regarding our executive officers as of August 11,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Age</w:t>
            </w:r>
          </w:p>
        </w:tc>
        <w:tc>
          <w:tcPr>
            <w:tcW w:w="620" w:type="dxa"/>
            <w:vAlign w:val="bottom"/>
          </w:tcPr>
          <w:p>
            <w:pPr>
              <w:spacing w:after="0"/>
              <w:rPr>
                <w:sz w:val="16"/>
                <w:szCs w:val="16"/>
                <w:color w:val="auto"/>
              </w:rPr>
            </w:pPr>
          </w:p>
        </w:tc>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Michael Hurlston</w:t>
            </w:r>
          </w:p>
        </w:tc>
        <w:tc>
          <w:tcPr>
            <w:tcW w:w="240" w:type="dxa"/>
            <w:vAlign w:val="bottom"/>
          </w:tcPr>
          <w:p>
            <w:pPr>
              <w:spacing w:after="0"/>
              <w:rPr>
                <w:sz w:val="19"/>
                <w:szCs w:val="19"/>
                <w:color w:val="auto"/>
              </w:rPr>
            </w:pPr>
          </w:p>
        </w:tc>
        <w:tc>
          <w:tcPr>
            <w:tcW w:w="1060" w:type="dxa"/>
            <w:vAlign w:val="bottom"/>
          </w:tcPr>
          <w:p>
            <w:pPr>
              <w:jc w:val="right"/>
              <w:ind w:right="299"/>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Dean Butler</w:t>
            </w:r>
          </w:p>
        </w:tc>
        <w:tc>
          <w:tcPr>
            <w:tcW w:w="1300" w:type="dxa"/>
            <w:vAlign w:val="bottom"/>
            <w:gridSpan w:val="2"/>
          </w:tcPr>
          <w:p>
            <w:pPr>
              <w:jc w:val="right"/>
              <w:ind w:right="299"/>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Saleel Awsare</w:t>
            </w:r>
          </w:p>
        </w:tc>
        <w:tc>
          <w:tcPr>
            <w:tcW w:w="1300" w:type="dxa"/>
            <w:vAlign w:val="bottom"/>
            <w:gridSpan w:val="2"/>
          </w:tcPr>
          <w:p>
            <w:pPr>
              <w:jc w:val="right"/>
              <w:ind w:right="299"/>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Senior Vice President and General Manager, PC &amp; Peripherals Divisions</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John McFarland</w:t>
            </w:r>
          </w:p>
        </w:tc>
        <w:tc>
          <w:tcPr>
            <w:tcW w:w="1300" w:type="dxa"/>
            <w:vAlign w:val="bottom"/>
            <w:gridSpan w:val="2"/>
          </w:tcPr>
          <w:p>
            <w:pPr>
              <w:jc w:val="right"/>
              <w:ind w:right="299"/>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Vikram Gupta</w:t>
            </w:r>
          </w:p>
        </w:tc>
        <w:tc>
          <w:tcPr>
            <w:tcW w:w="1300" w:type="dxa"/>
            <w:vAlign w:val="bottom"/>
            <w:gridSpan w:val="2"/>
          </w:tcPr>
          <w:p>
            <w:pPr>
              <w:jc w:val="right"/>
              <w:ind w:right="299"/>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Senior Vice President and General Manager, IoT Processors and Chief Product Officer</w:t>
            </w:r>
          </w:p>
        </w:tc>
      </w:tr>
    </w:tbl>
    <w:p>
      <w:pPr>
        <w:spacing w:after="0" w:line="21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i w:val="1"/>
          <w:iCs w:val="1"/>
          <w:color w:val="auto"/>
        </w:rPr>
        <w:t xml:space="preserve">Michael Hurlston </w:t>
      </w:r>
      <w:r>
        <w:rPr>
          <w:rFonts w:ascii="Arial" w:cs="Arial" w:eastAsia="Arial" w:hAnsi="Arial"/>
          <w:sz w:val="17"/>
          <w:szCs w:val="17"/>
          <w:color w:val="auto"/>
        </w:rPr>
        <w:t>has been the President and Chief Executive Officer of our company since August 19, 2019.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Hurlston served as the Chief Executive Officer and a member of the Board of Directors of Finisar Corporation (“Finisar”) from January 2018 to August 2019. Prior to joining Finisar, he served as Senior Vice President and General Manager of the Mobile Connectivity Products/Wireless Communications and Connectivity Division and held senior leadership positions in sales, marketing, and general management at Broadcom Limited (“Broadcom”) and its predecessor corporation from November 2001 through October 2017. Prior to joining Broadcom in 2001, Mr. Hurlston held senior marketing and engineering positions at Oren Semiconductor, Inc., Avasem, Integrated Circuit Systems, Micro Power Systems, Exar and IC Works from 1991 until 2001. Mr. Hurlston is a member of the board of directors of Flex Ltd. Mr. Hurlston serves on the Board of Executive Trustees of the UC Davis Foundation and on the Dean’s Executive Committee for the College of Engineering and the Dean’s Advisory Counsel for the Graduate School of Management at the University of California, Davis. Mr. Hurlston holds Bachelor of Science and Master of Science degrees in Electrical Engineering and a Master of Business Administration degree from the University of California, Davis.</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 xml:space="preserve">Dean Butler </w:t>
      </w:r>
      <w:r>
        <w:rPr>
          <w:rFonts w:ascii="Arial" w:cs="Arial" w:eastAsia="Arial" w:hAnsi="Arial"/>
          <w:sz w:val="18"/>
          <w:szCs w:val="18"/>
          <w:color w:val="auto"/>
        </w:rPr>
        <w:t>has been the Chief Financial Officer of our company since October 21, 2019. Prior to joining our company, Mr. Butler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Finance at Marvell Technology Inc. (“Marvell”) from July 2016 to October 2019. Prior to joining Marvell, he served as Controller of the Ethernet Switching Division at Broadcom from January 2015 through July 2016. Prior to joining Broadcom, Mr. Butler held senior finance positions at Maxim Integrated from May 2007 to December 2014. Mr. Butler holds a Bachelor of Business Administration degree in Finance from the University of Minnesota Duluth.</w:t>
      </w:r>
    </w:p>
    <w:p>
      <w:pPr>
        <w:spacing w:after="0" w:line="18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i w:val="1"/>
          <w:iCs w:val="1"/>
          <w:color w:val="auto"/>
        </w:rPr>
        <w:t xml:space="preserve">Saleel Awsare </w:t>
      </w:r>
      <w:r>
        <w:rPr>
          <w:rFonts w:ascii="Arial" w:cs="Arial" w:eastAsia="Arial" w:hAnsi="Arial"/>
          <w:sz w:val="16"/>
          <w:szCs w:val="16"/>
          <w:color w:val="auto"/>
        </w:rPr>
        <w:t>has been the Senior Vice President and General Manager of our PC and Peripherals unit since July 2020. Previously, Mr. Awsare was</w:t>
      </w:r>
      <w:r>
        <w:rPr>
          <w:rFonts w:ascii="Arial" w:cs="Arial" w:eastAsia="Arial" w:hAnsi="Arial"/>
          <w:sz w:val="16"/>
          <w:szCs w:val="16"/>
          <w:i w:val="1"/>
          <w:iCs w:val="1"/>
          <w:color w:val="auto"/>
        </w:rPr>
        <w:t xml:space="preserve"> </w:t>
      </w:r>
      <w:r>
        <w:rPr>
          <w:rFonts w:ascii="Arial" w:cs="Arial" w:eastAsia="Arial" w:hAnsi="Arial"/>
          <w:sz w:val="16"/>
          <w:szCs w:val="16"/>
          <w:color w:val="auto"/>
        </w:rPr>
        <w:t>the Senior Vice President and General Manager of our IoT Division from April 2019 to July 2020 and the Senior Vice President of Corporate Marketing &amp; Investor Relations from December 2018 until April 2019. Prior to joining our company as Corporate Vice President and General Manager of Audio &amp; Imaging Products in July 2017, he was President of Conexant Systems, LLC (“Conexant”) from March 2016 to July 2017, and Senior Vice President &amp; General Manager of Audio &amp; Imaging from April 2012 to March 2016. Synaptics acquired Conexant in July 2017. Prior to joining Conexant, Mr. Awsare served as President of Nuvoton Technology Corporation's (“Nuvoton”) U.S. operations and General Manager of Nuvoton’s audio and voice divisions from December 2008 to March 2012. Prior to joining Nuvoton, Mr. Awsare was the Executive Vice President and General Manager of mixed signal products for Winbond Electronics Corporation America (“Winbond”). Prior to joining Winbond, Mr. Awsare was a director of engineering for Information Storage Devices. Mr. Awsare is a member of the Board of Trustees of Stevens Institute of Technology. Mr. Awsare holds a Bachelor of Science degree in Electrical Engineering from Stevens Institute of Technology and a Master of Science degree in Engineering Management from Santa Clara University.</w:t>
      </w:r>
    </w:p>
    <w:p>
      <w:pPr>
        <w:spacing w:after="0" w:line="1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i w:val="1"/>
          <w:iCs w:val="1"/>
          <w:color w:val="auto"/>
        </w:rPr>
        <w:t xml:space="preserve">Vikram Gupta </w:t>
      </w:r>
      <w:r>
        <w:rPr>
          <w:rFonts w:ascii="Arial" w:cs="Arial" w:eastAsia="Arial" w:hAnsi="Arial"/>
          <w:sz w:val="18"/>
          <w:szCs w:val="18"/>
          <w:color w:val="auto"/>
        </w:rPr>
        <w:t>has been the SVP and GM of IoT Processors and Chief Product Officer since January 2023. Prior to joining Synaptics, Mr. Gupta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SVP and GM of IoT Compute and Wireless Business Lines for Infineon Technologies, where he led the integration and transformation efforts for the $1B+ multi-site business with three product lines following Infineon’s acquisition of Cypress Semiconductor, where he served as VP of Engineering of the IoT Business Unit. Prior to Cypress Semiconductor, Mr. Gupta navigated a progressive tenure with Broadcom, advancing in leadership and responsibility across both engineering and business. Earlier in his career he was a co-founder of Zeevo, a developer of system-on-chip solutions for Bluetooth and other wireless communications applications, which was ultimately purchased by Broadcom. He holds a Bachelor’s Degree in Electrical and Electronics Engineering from Birla Institute of Technology &amp; Science in India and a Master’s Degree in Electrical Engineering from the University of Hawaii at Manoa.</w:t>
      </w:r>
    </w:p>
    <w:p>
      <w:pPr>
        <w:spacing w:after="0" w:line="19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John McFarland </w:t>
      </w:r>
      <w:r>
        <w:rPr>
          <w:rFonts w:ascii="Arial" w:cs="Arial" w:eastAsia="Arial" w:hAnsi="Arial"/>
          <w:sz w:val="18"/>
          <w:szCs w:val="18"/>
          <w:color w:val="auto"/>
        </w:rPr>
        <w:t>has been the Senior Vice President, General Counsel and Secretary of our company since November 2013.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McFarland served for nine years as the Executive Vice President, General Counsel and Secretary of Magnachip Semiconductor. Mr. McFarland spent his early career at law firms in Palo Alto, California,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Seoul, Korea. Mr. McFarland holds a Bachelor of Arts degree in Asian Studies, conferred with highest distinction from the University of Michigan, and a Juris Doctor degree from the University of California, Los Angeles,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left="520"/>
        <w:spacing w:after="0"/>
        <w:tabs>
          <w:tab w:leader="none" w:pos="15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You should carefully consider the following factors, together with all the other information included in this report, in evaluating our company and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Markets and Customers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currently depend on our solutions for the IoT, PC, and mobile product applications markets for a substantial portion of our revenue, and any downturn in sales of these products would adversely affect our business, revenue, operating results, and financial condition.</w:t>
      </w:r>
    </w:p>
    <w:p>
      <w:pPr>
        <w:spacing w:after="0" w:line="36"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currently depend on our solutions for the IoT, PC, and mobile product applications markets for a substantial portion of our revenue. Any downturn in sales of our products into any of these markets would adversely affect our business, revenue, operating results, and financial condition. Similarly, a softening of demand in any of these markets, or a slowdown of growth in any of these markets because of changes in customer preferences, the emergence of applications not including our solutions, or other factors would cause our business, operating results, and financial position to suffer.</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portion of our sales comes from one or more large customers, the loss of which could harm our business, financial condition, and operating results.</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one direct customer accounted for 10% or more of our net revenue in fiscal 2023. During fiscal 2023, we had five OEM customers that integrated our products into their products representing approximately 37%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9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recessions, inflation, stagflation and other macroeconomic conditions</w:t>
      </w:r>
    </w:p>
    <w:p>
      <w:pPr>
        <w:spacing w:after="0" w:line="22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Customer demand for our products may be impacted by weak macroeconomic conditions, inflation, stagflation, recessionary or lower-growth environments, rising interest rates, equity market volatility or other negative economic factors in the U.S. or other nations. For example, under these conditions or expectation of such conditions, our customers may cancel orders, delay purchasing decisions or reduce their use of our services. In addition, these economic conditions could result in higher inventory levels and the possibility of resulting excess capacity charges from our manufacturing partners if we need to slow production to reduce inventory levels. Further, in the event of a recession or threat of a recession, our manufacturing partners, suppliers, distributors, and other third-party partners may suffer their own financial and economic challenges, and as a result they may demand pricing accommodations, delay payment, or become insolvent, which could harm our ability to meet our customer demands or collect revenue or otherwise harm our business. Similarly, disruptions in financial and/or credit markets may impact our ability to manage normal commercial relationships with our manufacturing partners, customers, suppliers and creditors and might prevent us from accessing preferred sources of liquidity, and causing our borrowing costs to potentially increase. Thus, if general macroeconomic conditions, conditions in the semiconductor industry, or conditions in our customer end markets continue to deteriorate or experience a sustained period of weakness or slower growth, our business and financial results could be materially and adversely affected.</w:t>
      </w:r>
    </w:p>
    <w:p>
      <w:pPr>
        <w:spacing w:after="0" w:line="1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we are subject to risk from inflation and increasing market prices of certain components and supplies, which are incorporated into our end products or used by our manufacturing partners or suppliers to manufacture our end products. These components and supplies have, from time-to-time, become restricted. Additionally, general market factors and conditions have in the past, and may in the future, affect pricing of such components and supplies (such as inflation or supply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chain constraints). See also, “Our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for other reasons.”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consumer electronics industry has experienced significant economic downturns at various times. These downturns are characterized by diminished product demand, accelerated erosion of average selling prices, production overcapacity, and increased inventory and credit risk.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cannot assure you that our product solutions for new markets will be successful or that we will be able to continue to generate significant revenue from these markets.</w:t>
      </w:r>
    </w:p>
    <w:p>
      <w:pPr>
        <w:spacing w:after="0" w:line="5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product solutions may not be successful in new markets. Various target markets for our product solutions, such as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and growth of these markets;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technologies and product solutions to address the needs of these markets, the price and performance requirements of OEMs, and the preferences of end users;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1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and build relationships with our customers, or our customers’ products that utilize our solutions do not gain widespread market acceptance, our revenue may stagnate or decline.</w:t>
      </w:r>
    </w:p>
    <w:p>
      <w:pPr>
        <w:spacing w:after="0" w:line="5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7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must maintain our relationships with our existing customers and expand our relationships with OEMs in new markets. Our customers generally do not provide us with firm, long-term volume purchase commitments, opting instead to issue purchase orders that they can cancel, reduce, or delay, subject to certain limitations. In order to meet the expectations of our customers, we must provide innovative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6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in the markets in which we operate, particularly in the IoT market, or our failure to establish and maintain relationships with OEMs in those markets, would prevent our business from growing in those markets.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ind w:right="340"/>
        <w:spacing w:after="0" w:line="266" w:lineRule="auto"/>
        <w:rPr>
          <w:sz w:val="20"/>
          <w:szCs w:val="20"/>
          <w:color w:val="auto"/>
        </w:rPr>
      </w:pPr>
      <w:r>
        <w:rPr>
          <w:rFonts w:ascii="Arial" w:cs="Arial" w:eastAsia="Arial" w:hAnsi="Arial"/>
          <w:sz w:val="18"/>
          <w:szCs w:val="18"/>
          <w:b w:val="1"/>
          <w:bCs w:val="1"/>
          <w:color w:val="auto"/>
        </w:rPr>
        <w:t>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other reasons.</w:t>
      </w:r>
    </w:p>
    <w:p>
      <w:pPr>
        <w:spacing w:after="0" w:line="18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expect that the average unit selling prices of our products will continue to be subject to significant pricing pressures. In addition, our more recently introduced products tend to have higher associated costs because of initial overall development and production expenses. Therefore, over time, we may not be able to maintain or improve our gross margins. Our financial results could suffer if we are unable to offset any reductions in our average selling prices by other cost reductions through efficiencies, introduction of higher margin products and other means.</w:t>
      </w:r>
    </w:p>
    <w:p>
      <w:pPr>
        <w:spacing w:after="0" w:line="17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To attract new customers or retain existing customers, we may offer certain price concessions to certain customers, which could cause our average selling prices and gross margins to decline. In the past, we have reduced the average selling prices of our products in anticipation of future competitive pricing pressures, new product introductions by us or by our competitors and other factors. We expect to continue to have to reduce prices of existing products in the future. Moreover, because of the wide price differences across the markets we serve, the mix and types of performance capabilities of our products sold may affect the average selling prices of our products and have a substantial impact on our revenue and gross margin. We may enter new markets in which a significant amount of competition exists, and this may require us to sell our products with lower gross margins than we earn in our established businesses. If we are successful in growing revenue in these markets, our overall gross margin may decline. Fluctuations in the mix and types of our products may also affect the extent to which we are able to recover the fixed costs and investments associated with a particular product, and as a result may harm our financial results.</w:t>
      </w:r>
    </w:p>
    <w:p>
      <w:pPr>
        <w:spacing w:after="0" w:line="18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Additionally, because we do not operate our own manufacturing, assembly, testing or packaging facilities, we are not able to reduce our costs as rapidly as companies that operate their own facilities and our costs may even increase, which could also reduce our gross margins. Our gross margin could also be impacted, for example, by the following factors: increased costs (including increased costs caused by tariffs, inflation, higher interest rates, or supply chain constraints); loss of cost savings if parts ordering does not correctly anticipate product demand or if the financial health of either our manufacturers partners or our suppliers deteriorates; excess inventory, or inventory holding and obsolescence charges. In addition, we are subject to risks from fluctuating market prices of certain components, which are incorporated into our products or used by our suppliers to manufacture our products. Supplies of these components may from time-to-time become restricted, or general market factors and conditions such as inflation or supply chain constraints have in the past affected and may in the future affect pricing of such commodities. Any increase in the price of components used in our products will adversely affect our gross margins.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are subject to order and shipment uncertainties. If we are unable to accurately predict customer demand, we may hold excess or obsolete inventory, which would reduce our gross margin. Conversely, we may have insufficient inventory or be unable to obtain the supplies or contract manufacturing capacity to meet that demand, which would result in lost revenue opportunities and potential loss of market share as well as damaged customer relationships.</w:t>
      </w:r>
    </w:p>
    <w:p>
      <w:pPr>
        <w:spacing w:after="0" w:line="1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typically sell products pursuant to purchase orders rather than long-term purchase commitments. Some of our customers have, and others may in the future, cancel or defer purchase orders on short notice without incurring a significant penalty. In addition, customers who have purchase commitments may not honor those commitments. Due to their inability to predict demand or other reasons during our fiscal 2023, some of our customers have accumulated excess inventories and, as a consequence, they either have deferred or they may defer future purchases of our products. We cannot accurately predict what or how many products our customers will need in the future. Anticipating demand is difficult because our customers face unpredictable demand for their own products and are increasingly focused more on cash preservation and tighter inventory management.</w:t>
      </w:r>
    </w:p>
    <w:p>
      <w:pPr>
        <w:spacing w:after="0" w:line="16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place orders with our suppliers based on forecasts of customer demand and, in some instances, may establish buffer inventories to accommodate anticipated demand. Our forecasts are based on multiple assumptions, each of which may introduce error into our estimates. For example, our ability to accurately forecast customer demand may be impaired by the delays inherent in our customer’s product development processes, which may include extensive qualification and testing of components included in their products, including ours. In many cases, they design their products to use components from multiple suppliers. This creates the risk that our customers may decide to cancel or change product plans for products incorporating our semiconductor solutions prior to completion, which makes it even more difficult to forecast customer demand. In addition, while many of our customers are subject to purchase orders or other agreements that do not allow for cancellation, there can be no assurance that these customers will honor these contract terms and cancellation of these orders may adversely affect our business operations and demand forecast which is the basis for us to have products made.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509"/>
        <w:spacing w:after="0" w:line="273" w:lineRule="auto"/>
        <w:rPr>
          <w:sz w:val="20"/>
          <w:szCs w:val="20"/>
          <w:color w:val="auto"/>
        </w:rPr>
      </w:pPr>
      <w:r>
        <w:rPr>
          <w:rFonts w:ascii="Arial" w:cs="Arial" w:eastAsia="Arial" w:hAnsi="Arial"/>
          <w:sz w:val="17"/>
          <w:szCs w:val="17"/>
          <w:color w:val="auto"/>
        </w:rPr>
        <w:t>Our products are incorporated into complex devices and systems, which creates supply chain cross-dependencies. Due to cross dependencies, supply chain disruptions have in the past, and may in the future, negatively impact the demand for our products. We have a limited ability to predict the timing of a supply chain correction. If we cannot predict future customer demand or supply chain disruptions, then we may hold excess or obsolete inventory. Moreover, significant supply chain disruption may negatively impact the timing of our product shipments and revenue shipment linearity, which may impact and extend our cash conversion cycle. In addition, the market share of our customers could be adversely impacted on a long-term basis due to any continued supply chain disruption, which could negatively affect our results of operations.</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we overestimate customer demand, our excess or obsolete inventory may increase significantly, which would reduce our gross margin and adversely affect our financial results. The risk of obsolescence and/or excess inventory is heightened for semiconductor solutions due to the rapidly changing market for these types of products. Conversely, if we underestimate customer demand or if insufficient manufacturing capacity is available, we would miss revenue opportunities and potentially lose market share and damage our customer relationships. In addition, any future significant cancellations or deferrals of product orders, or the return of previously sold products, could materially and adversely affect our profit margins, increase product obsolescence and restrict our ability to fund our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Supply Chain</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1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depend on our contract manufacturers and semiconductor fabricators to maintain high levels of productivity and satisfactory delivery schedules at manufacturing and assembly facilities located primarily in Asia. We provide our contract manufacturers with six-month rolling forecasts of our production requirements. We generally do not, however, have long-term agreements with our contract manufacturers that guarantee production capacity, prices, lead times, or delivery schedules. In our fiscal 2022, we faced manufacturing capacity constraints as a result of the supply constraints and capacity shortages affecting the global semiconductor industry that materially limited our ability to meet our customers’ demand forecasts, thereby limiting our potential revenue growth during the fiscal year. As a result of the supply shortages, we have entered into long-term capacity and pricing agreements with certain of our suppliers. If end customer demand declines, these long-term capacity agreements could result in significant write-downs of inventory.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enable us to meet our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w:t>
      </w:r>
    </w:p>
    <w:p>
      <w:pPr>
        <w:spacing w:after="0" w:line="7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Shortages of components and materials may delay or reduce our sales and increase our costs, thereby harming our operating results.</w:t>
      </w:r>
    </w:p>
    <w:p>
      <w:pPr>
        <w:spacing w:after="0" w:line="13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Product Development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lengthy development periods and product acceptance cycles, which can result in development and engineering costs without any future revenue.</w:t>
      </w:r>
    </w:p>
    <w:p>
      <w:pPr>
        <w:spacing w:after="0" w:line="5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markets in which we operate, the emergence of new products not including our product solutions, rapid changes in the markets in which we operate, and competitive pressures may result in lower demand for our product solutions and reduced unit margins.</w:t>
      </w:r>
    </w:p>
    <w:p>
      <w:pPr>
        <w:spacing w:after="0" w:line="1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Some of our competitors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keep pace with technological innovations, our products may not remain competitive and our revenue and operating results may suffer.</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may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future operating results will depend to a significant extent on our ability to continue to provide new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7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innovative development of new solutions for customer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utilization of advances in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maintenance of quality standards;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advantages;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and cost-effective solutions;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completion of the design and introduction of new solutions.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inability to enhance our existing product solutions and develop new product solutions on a timely basis could harm our operating results and impede our growth.</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become subject to product returns or claims resulting from defects in our products, we may incur significant costs resulting in a decrease in revenue.</w:t>
      </w:r>
    </w:p>
    <w:p>
      <w:pPr>
        <w:spacing w:after="0" w:line="5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develop complex products in an evolving marketplace and generally warrant our products for a period of 12 months from the date of delivery. Despite testing by us and our customers, defects may be found in existing or new products. We handle product quality matters sustainably by working on a one-on-one basis with our customers. We have never formally recalled a product or had a mass defect that affected an entire product line. Nevertheless,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finance the growth of our business and the development of new products, which could have an adverse effect on our operating results.</w:t>
      </w:r>
    </w:p>
    <w:p>
      <w:pPr>
        <w:spacing w:after="0" w:line="14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From time-to-time,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Risks Related to International Sales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to import, export and economic sanction laws may expose us to liability, increase our costs and adversely affect our operating results.</w:t>
      </w:r>
    </w:p>
    <w:p>
      <w:pPr>
        <w:spacing w:after="0" w:line="14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operating results.</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operating results.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5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1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manufacturing and assembly operations are primarily conducted in Taiwan, China, and Korea by contract manufacturers and semiconductor fabricators. We have sales and logistics operations in Hong Kong, and sales and engineering design support operations in China, France, Germany, India, Israel, Japan, Korea, Poland, Switzerland, Taiwan, and the U.K. These international operations expose us to various economic, political, regulatory, and other risks that could adversely affect our operations and operating results, including the following:</w:t>
      </w:r>
    </w:p>
    <w:p>
      <w:pPr>
        <w:spacing w:after="0" w:line="6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a multinational organization;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environmental laws and regulations, including in response to climate change;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employee turnover or labor unrest;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or economic instability in certain parts of the world;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including earthquakes or tsunamis.</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2023, approximately 13% of our costs were denominated in non-U.S. currencies, including British pounds, Canadian dollars, European Union euro, Hong Kong dollars, Indian rupee, New Taiwan dollars, Japanese yen, Korean won, Chinese yuan, Polish zloty, Israeli New Shekel, and Swiss francs.</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Employees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key personnel who would be difficult to replace, and our business will likely be harmed if we lose their services or cannot hire additional qualified personnel.</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U.S., could delay the development and sale of our products, disrupt our business, and interfere with our ability to execute our business plan.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7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compete successfully and continue growing as a company depends on our ability to adequately protect our proprietary technology and confidential information.</w:t>
      </w:r>
    </w:p>
    <w:p>
      <w:pPr>
        <w:spacing w:after="0" w:line="5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protect our proprietary technology and confidential information through the use of patents, trade secrets, trademarks, copyrights,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7"/>
          <w:szCs w:val="17"/>
          <w:color w:val="auto"/>
        </w:rPr>
        <w:t>advantage. Failure to obtain trademark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U.S.</w:t>
      </w:r>
    </w:p>
    <w:p>
      <w:pPr>
        <w:spacing w:after="0" w:line="1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that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pursue, and from time-to-time defend, litigation to enforce our intellectual property rights, to protect our trade secrets, and to determine the validity and scope of the proprietary rights of others. Litigation whether successful or unsuccessful, could result in substantial costs and diversion of resources, which could have a material adverse effect on our business, financial condition, and operating results.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cannot be certain that our technologies and products do not and will not infringe issued patents or other third-party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5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 Any breach or violation of the terms and conditions specified in these license agreements could have significant adverse consequences on our operations and financial performance and may result in legal action, monetary penalties, or the termination of the license, which would impact our ability to offer certain products or services</w:t>
      </w:r>
      <w:r>
        <w:rPr>
          <w:rFonts w:ascii="Arial" w:cs="Arial" w:eastAsia="Arial" w:hAnsi="Arial"/>
          <w:sz w:val="14"/>
          <w:szCs w:val="14"/>
          <w:color w:val="auto"/>
        </w:rPr>
        <w:t>.</w:t>
      </w:r>
    </w:p>
    <w:p>
      <w:pPr>
        <w:spacing w:after="0" w:line="1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acquisitions that we undertake could be difficult to integrate, disrupt our business, dilute stockholder value, and harm our operating results.</w:t>
      </w:r>
    </w:p>
    <w:p>
      <w:pPr>
        <w:spacing w:after="0" w:line="14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8"/>
          <w:szCs w:val="18"/>
          <w:color w:val="auto"/>
        </w:rPr>
        <w:t>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9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8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disruption of our core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reporting systems and procedures;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relating to liabilities which we agree to assume;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assimilating the purchased operations, technologies, or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acquired businesses to achieve expected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inability to create uniform standards, controls, procedures, policies, and information systems.</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environmental liabilities as a result of prior operations at an acquired company.</w:t>
      </w:r>
    </w:p>
    <w:p>
      <w:pPr>
        <w:spacing w:after="0" w:line="13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connection with our acquisition in July 2017 of Conexant Systems,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Factors Related to Our Indebtedness</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time-to-time.</w:t>
      </w:r>
    </w:p>
    <w:p>
      <w:pPr>
        <w:spacing w:after="0" w:line="1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March 11, 2021, we completed the offering of the Senior Notes in the aggregate principal amount of $400.0 million, with a corresponding amendment and restatement of our credit agreement, or as amended and supplemented, the Credit Agreement, with the lenders party thereto, or the Lenders, and Wells Fargo Bank, National Association, or the Administrative Agent, as administrative agent for the Lenders. The Senior Notes include a mandatory semi-annual payment of a 4.000% coupon. We are permitted under the indenture governing our Senior Notes and the Credit Agreement to incur additional debt under certain conditions, including additional secured debt. If new debt were to be incurred in the future, the related risks that we now face could intensify.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117" w:lineRule="exact"/>
        <w:rPr>
          <w:sz w:val="20"/>
          <w:szCs w:val="20"/>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the Notes, the Credit Agreement, or our other outstanding debt from time-to-time;</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risking an event of default if we fail to comply with the financial and other covenants contained in the Notes indenture or the Credit Agreement, which could result in the Senior Notes or any outstanding bank debt becoming immediately due and payable and could permit the lenders under the Credit Agreement to foreclose on the assets securing such bank debt;</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debt that we may incur under the Credit Agreement;</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under the Credit Agreement, the indenture governing the Senior Notes or otherwise in an amount sufficient to enable us to pay our debt or to fund our other liquidity needs.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covenants in the Credit Agreement and Senior Notes impose restrictions that may limit our operating and financial flexibility.</w:t>
      </w:r>
    </w:p>
    <w:p>
      <w:pPr>
        <w:spacing w:after="0" w:line="12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and (x) engage in a new line of business. In addition, the Credit Agreement contains financial covenants that (i) require the ratio of the amount of our consolidated total indebtedness to consolidated EBITDA to be less than certain maximum ratio levels, and (ii) require the ratio of the amount of our consolidated EBITDA to consolidated interest expense to be greater than a certain minimum ratio level.</w:t>
      </w:r>
    </w:p>
    <w:p>
      <w:pPr>
        <w:spacing w:after="0" w:line="19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difficult for us to successfully execute our business strategy and compete against companies that are not subject to such restrictions.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76"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hire, train, retain, and motivate additional employees, including employees outside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efficiently plan, expand, or cost-effectively reduce our facilities to meet headcount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global operational, financial, and management infrastructure;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development and production capacity.</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connection with the expansion and diversification of our product and customer base, we may increase our personnel and make other expenditures to meet demand for our expanding product offerings, including offerings in the IoT market, the PC applications market, and the mobile product applications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face risks associated with security breaches or cyberattacks.</w:t>
      </w:r>
    </w:p>
    <w:p>
      <w:pPr>
        <w:spacing w:after="0" w:line="12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18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1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governmental laws, regulations and other legal obligations related to privacy and data protection.</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collect, use, and store personally identifiable information, or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our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could make it more difficult for a third-party to acquire us and discourage a takeover.</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to fill vacancies or newly created directorships. A majority of the directors then in office may elect a successor to fill any vacancies or newly created directorships, thereby increasing the difficulty of, or delaying a third-party’s efforts in, replacing a majority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in response to various factors, including the following:</w:t>
      </w:r>
    </w:p>
    <w:p>
      <w:pPr>
        <w:spacing w:after="0" w:line="62"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industry or securities analysts or our failure to meet such estimates;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suppliers, our competitors, or a potential acquisition of our company;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competitors, or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our competitors, or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or strategic alliances by us, our competitors, or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or loss of significant orders;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positions held by investors;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federal and state laws and regulations affecting our industry; and</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financial market conditions or occurrences, including market volatility resulting from geopolitical risks, and rivalries, acts of war, terrorist attacks, cybersecurity attacks, health pandemics, financial market technological glitches and interruptions of trading activity.</w:t>
      </w:r>
    </w:p>
    <w:p>
      <w:pPr>
        <w:spacing w:after="0" w:line="14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principal executive offices, as well as our principal research and development, sales, marketing, and administrative functions, are located in San Jose, California, where we lease approximately 111,000 square feet of facilities. We also have research and development functions in leased offices in California, Georgia, and Massachusetts. Our two Asia Pacific principal offices are located in leased offices in Hong Kong and Japan, where we have sales, operations, and research and development functions. We have a leased facility with logistics operations in Taiwan, leased facilities with sales and support operations in China, Hong Kong, Japan, Korea, Switzerland, and Taiwan, and leased facilities with engineering design support operations in China, France, Germany, India, Israel, Japan, Korea, Poland, Switzerland, Taiwan, the U.K. and California,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party to various litigation matters and claims arising from time-to-time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ind w:right="20" w:firstLine="509"/>
        <w:spacing w:after="0" w:line="277" w:lineRule="auto"/>
        <w:rPr>
          <w:sz w:val="20"/>
          <w:szCs w:val="20"/>
          <w:color w:val="auto"/>
        </w:rPr>
      </w:pPr>
      <w:r>
        <w:rPr>
          <w:rFonts w:ascii="Arial" w:cs="Arial" w:eastAsia="Arial" w:hAnsi="Arial"/>
          <w:sz w:val="18"/>
          <w:szCs w:val="18"/>
          <w:color w:val="auto"/>
        </w:rPr>
        <w:t>For further information regarding current legal proceedings, see Note 10, Indemnifications and Contingencies to the consolidated financial statements contained elsewhere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160" w:right="20" w:hanging="1152"/>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 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common stock has been listed on the Nasdaq Global Select Market (formerly the Nasdaq National Market) under the symbol "SYNA" since January 29, 2002. Prior to that time,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August 11, 2023, there were approximately 115 holders of record of our common stock. The closing price of our common stock as quoted on the Nasdaq Global Select Market as of August 11, 2023 was $89.20.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Credit Agreement and the indenture governing our Senior Notes also place restrictions on the payment of any dividends. For a further description of the terms of the Credit Agreement and our Senior Notes indenture, see Note 8 Debt to the consolidated financial statements contained elsewhere in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From April 2005 through April 2023, our Board of Directors cumulatively authorized the repurchase of up to $2.3 billion for our common stock under our stock repurchase program, which expires in July 2025. As of the end of fiscal 2023, the remaining amount authorized for repurchase under our stock repurchase program was $893.9 million. During the three-month period ended June 24, 2023, repurchases under the stock repurchase program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May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Paid</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Period</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per</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26, 2023 - April 22, 2023</w:t>
            </w: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April 23, 2023 - May 20, 2023</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May 21, 2023 - June 24, 2023</w:t>
            </w:r>
          </w:p>
        </w:tc>
        <w:tc>
          <w:tcPr>
            <w:tcW w:w="1500" w:type="dxa"/>
            <w:vAlign w:val="bottom"/>
            <w:tcBorders>
              <w:bottom w:val="single" w:sz="8" w:color="CFF0FC"/>
            </w:tcBorders>
            <w:gridSpan w:val="2"/>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998,942</w:t>
            </w:r>
          </w:p>
        </w:tc>
        <w:tc>
          <w:tcPr>
            <w:tcW w:w="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998,942</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$ 893,922,447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00"/>
              <w:spacing w:after="0"/>
              <w:rPr>
                <w:sz w:val="20"/>
                <w:szCs w:val="20"/>
                <w:color w:val="auto"/>
              </w:rPr>
            </w:pPr>
            <w:r>
              <w:rPr>
                <w:rFonts w:ascii="Arial" w:cs="Arial" w:eastAsia="Arial" w:hAnsi="Arial"/>
                <w:sz w:val="18"/>
                <w:szCs w:val="18"/>
                <w:color w:val="auto"/>
              </w:rPr>
              <w:t>Total</w:t>
            </w:r>
          </w:p>
        </w:tc>
        <w:tc>
          <w:tcPr>
            <w:tcW w:w="2680" w:type="dxa"/>
            <w:vAlign w:val="bottom"/>
            <w:gridSpan w:val="3"/>
          </w:tcPr>
          <w:p>
            <w:pPr>
              <w:jc w:val="right"/>
              <w:spacing w:after="0"/>
              <w:rPr>
                <w:sz w:val="20"/>
                <w:szCs w:val="20"/>
                <w:color w:val="auto"/>
              </w:rPr>
            </w:pPr>
            <w:r>
              <w:rPr>
                <w:rFonts w:ascii="Arial" w:cs="Arial" w:eastAsia="Arial" w:hAnsi="Arial"/>
                <w:sz w:val="18"/>
                <w:szCs w:val="18"/>
                <w:color w:val="auto"/>
              </w:rPr>
              <w:t>998,942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30</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-685165</wp:posOffset>
            </wp:positionV>
            <wp:extent cx="7683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following line graph compares cumulative total stockholder returns for the five years ended June 24, 2023 for (i) our common stock, (ii) the Nasdaq Composite Index and (iii) the Russell 2000 Index. The graph assumes an investment of $100 on June 30, 2018. The calculations of cumulative stockholder return on the Nasdaq Composite Index and the Russell 2000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128270</wp:posOffset>
            </wp:positionV>
            <wp:extent cx="5760720" cy="4174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072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122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 and Factors That May Affect Results</w:t>
      </w:r>
    </w:p>
    <w:p>
      <w:pPr>
        <w:jc w:val="both"/>
        <w:ind w:firstLine="509"/>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Many of the restrictions and other containment measures implemented by governmental authorities in response to the COVID-19 pandemic have since been lifted or scaled back. We did not incur significant disruptions to our business or a materially negative impact on our consolidated results of operations and financial condition from the COVID-19 pandemic and our business was not severely impacted.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7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recognize revenue when control of the promised goods or services is transferred to our customers, in an amount that reflects the consideration we expect to receive in exchange for those goods or services. Most of our revenue is recognized at a point in time, either on shipment or delivery of the product, depending on customer terms and conditions. We also generate revenue from license-based arrangements. We license the rights to certain of our intellectual properties to customers granting them the right to manufacture and sell licensed products. For fiscal 2023, revenue from the IoT product applications market accounted for 70.0% of our net revenue, revenue from the PC product applications market accounted for 16.0% of our net revenue, and revenue from the mobile product applications market accounted for 14.0% of our net revenue.</w:t>
      </w:r>
    </w:p>
    <w:p>
      <w:pPr>
        <w:spacing w:after="0" w:line="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w:t>
      </w:r>
    </w:p>
    <w:p>
      <w:pPr>
        <w:spacing w:after="0" w:line="79"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As a result of recent supply constraints and capacity shortages affecting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6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509"/>
        <w:spacing w:after="0" w:line="296"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53"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Restructuring costs primarily reflect severance costs related to the restructuring of our operations to reduce operating expenses and gain efficiencies from our recent acquisitions. These headcount related costs were in cost of revenue, research and development, and selling, general and administrative expenses. See Note 16 Restructuring Activities to the consolidated financial statements contained elsewhere in this report.</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Interest and other expense, net, primarily reflects interest expense on our Senior Notes, Term Loan Facility and revolving line of credit as well as the amortization of debt issuance costs and discount on our debt, partially offset by interest income earned on our cash, cash equivalents and short-term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 February 2023, we completed the acquisition of certain GPS developed technology intangible assets from Broadcom for an aggregate consideration of $30.0 million, which was paid in cash in the previous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Emza</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October 2022, we completed the acquisition of Emza Visual Sense, Ltd., or Emza, for total purchase consideration of $15.8 million. Emza is a developer of ultra-low-power artificial intelligence visual sensing solutions. Emza's technology extends our position in Edge AI and allows us to serve the personal computing market with a solution for human presence detection, or HPD. For further discussion of the Emza acquisition, see Note 4 Acquisitions, Divestiture and Investment included in the consolidated financial statements contained elsewhere in this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or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53"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7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4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509"/>
        <w:spacing w:after="0" w:line="286"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within Other Accrued Liabilities as disclosed in Note 1 Organization and Summary of Significant Accounting Policies to the consolidated financial statements contained elsewhere in this report.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invoice customers and recognize all of our revenue, except an inconsequential amount, at a point in time, either on shipment or delivery of the product, depending on customer terms and conditions. We account for shipping and handling costs as fulfillment costs before the customer obtains control of the goods. We continue to account for collection of all taxes on a net basis.</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owed after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state our inventories at the lower of cost or net realizable value.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excess,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6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allocate the fair value of the purchase consideration of a business acquisition to the tangible assets, liabilities, and intangible assets acquired, including in-process research and development (“IPR&amp;D”), based on their estimated fair values. The excess of the fair value of purchase consideration over the fair values of these identifiable assets and liabilities is recorded as goodwill. IPR&amp;D is initially recorded at fair value as an intangible asset with an indefinite life and assessed for impairment thereafter. When an IPR&amp;D project is completed, IPR&amp;D is reclassified as an amortizable intangible asset and amortized over the asset’s estimated useful life. Our valuation of acquired assets and assumed liabilities requires significant estimates, especially with respect to intangible assets. The valuation of intangible assets requires that we use valuation techniques such as the income approach that includes the use of a discounted cash flow model, which includes discounted cash flow scenarios and requires the following significant estimates: future expected revenue, expenses, capital expenditures and other costs,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discount rates. We estimate the fair value based upon assumptions we believe to be reasonable, but which are inherently uncertain and unpredictable and, as a result, actual results may differ from estimates. Estimates associated with the accounting for acquisitions may change as additional information becomes available regarding the assets acquired and liabilities assumed. Acquisition-related expenses and related restructuring costs are recognized separately from the business combination and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estimate our income taxes in each of the jurisdictions in which we operate. This process involves estimating our actual tax exposure together with assessing temporary differences resulting from the differing treatment of certain items for tax return and financial statement purposes. These differences result in deferred tax assets and liabilities, which are included in our consolidated balance sheets.</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recognize income taxes using an asset and liability approach. This approach requires the recognition of taxes payable or refundable for the current year, and deferred tax liabilities and assets for the future tax consequences of events that have been recognized in our consolidated financial statements or tax returns. The measurement of current and deferred taxes is based on the provisions of enacted tax law and the effects of future changes in tax laws or rates are not anticipated. Taxes payable on Global Intangible Low-Taxed Income, or GILTI, inclusions in the U.S. are recognized as a current period expense when incurred.</w:t>
      </w:r>
    </w:p>
    <w:p>
      <w:pPr>
        <w:spacing w:after="0" w:line="8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Evaluating the need for a valuation allowance for deferred tax assets requires judgment and analysis of all positive and negative evidence available, including recent earnings history and taxable income in recent years, reversals of deferred tax liabilities, projected future taxable income, and tax planning strategies to determine whether all or some portion of the deferred tax assets will not be realized. Using available evidence and judgment, we establish a valuation allowance for deferred tax assets when it is determined that it is more likely than not that they will not be realized. Valuation allowances have been provided primarily against state research and development credits and certain capital losses of foreign subsidiaries. A change in the assessment of the realizability of deferred tax assets may materially impact our tax provision in the period in which a change of assessment occurs.</w:t>
      </w:r>
    </w:p>
    <w:p>
      <w:pPr>
        <w:spacing w:after="0" w:line="5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various and sometimes conflicting tax laws and regulations as well as multinational tax conventions. Our effective tax rate is highly dependent upon the geographic distribution of our worldwide earnings or losses, tax laws and regulations in various jurisdictions, tax incentives, the availability of tax credits and loss carryforwards, and the effectiveness of our tax planning strategies, which includes our estimates of the fair value of our intellectual property. The application of tax laws and regulations is subject to legal and factual interpretation, judgment and uncertainty. Tax laws themselves are subject to change as a result of changes in fiscal policy, changes in legislation, and the evolution of regulations and court rulings and tax audits. There can be no assurance that we will accurately predict the outcome of audits, and the amounts ultimately paid on resolution of audits could be materially different than the amounts previously included in our income tax expense and therefore, could have a material impact on our tax provision, results of operations, and cash flows. Consequently, taxing authorities may impose tax assessments or judgments against us that could materially impact our tax liability and/or our effective income tax rate.</w:t>
      </w:r>
    </w:p>
    <w:p>
      <w:pPr>
        <w:spacing w:after="0" w:line="7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are subject to income tax audits by the respective tax authorities in the jurisdictions in which we operate. We recognize the effect of income tax positions only if these positions are more likely than not to be sustained. Recognized income tax positions are measured at the largest amount that is more than 50% likely to be realized. Changes in recognition or measurement with respect to our uncertain tax positions are reflected in the period in which a change in judgment occurs. We record interest and penalties related to unrecognized tax benefits in income tax expense. The calculation of our tax liabilities involves the inherent uncertainty associated with complex tax laws. We believe we have adequately provided for in our financial statements additional taxes that we estimate to be required as a result of such examinations. While we believe that we have adequately provided for all tax positions, amounts asserted by tax authorities could be greater or less than our accrued position. Any unpaid tax liabilities, including the interest and penalties, are released pursuant to a final settlement with tax authorities, completion of audit or expiration of various statutes of limitation. The material jurisdictions in which we are subject to potential examination by tax authorities throughout the world include Japan, India, Hong Kong, Israel and the United States.</w:t>
      </w:r>
    </w:p>
    <w:p>
      <w:pPr>
        <w:spacing w:after="0" w:line="58"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recognition and measurement of income taxes payable or refundable, and deferred tax assets and liabilities require that we make certain estimates and judgments. Changes to these estimates or judgments may have a material effect on our income tax provision in a future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Goodwill is the excess of the aggregate of the consideration transferred over the identifiable assets acquired and liabilities assumed in connection with business combinations. Our reporting units are at the operating segment level. Our goodwill is contained within two reporting units: IoT, and Mobile/PC.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ind w:firstLine="509"/>
        <w:spacing w:after="0" w:line="287" w:lineRule="auto"/>
        <w:rPr>
          <w:sz w:val="20"/>
          <w:szCs w:val="20"/>
          <w:color w:val="auto"/>
        </w:rPr>
      </w:pPr>
      <w:r>
        <w:rPr>
          <w:rFonts w:ascii="Arial" w:cs="Arial" w:eastAsia="Arial" w:hAnsi="Arial"/>
          <w:sz w:val="16"/>
          <w:szCs w:val="16"/>
          <w:color w:val="auto"/>
        </w:rPr>
        <w:t>We perform our goodwill impairment analysis in the fourth quarter of each year and, if certain events or circumstances indicate that an impairment loss may have been incurred, on a more frequent basis. The analysis may include both qualitative and quantitative factors to assess the likelihood of an impairment, which occurs when the carrying value of a reporting unit exceeds its fair value. Significant judgment is required in estimating the fair value of our reporting units to determine if the fair values of those units exceed their carrying values and an impairment to goodwill is required when a quantitative goodwill impairment test is performed. The fair values of our reporting units are estimated using a combination of the income approach, which requires estimating the present value of expected future cash flows of a reporting unit, and the market approach, which uses various financial data and ratios of comparable companies to arrive at an estimated value for the reporting unit. Significant estimates and assumptions used in the income approach include assessments of macroeconomic conditions, projected growth rates of our reporting units in the near and long-term, expectations of our ability to execute on our roadmap, and the discount rate applied to cash flows. Significant estimates used in the market approach include the identification of comparable companies for each reporting unit, the determination of an appropriate control premium that a market participant would apply to a reporting unit, and the determination of appropriate multiples to apply to a reporting unit based on adjustments and consideration of specific attributes of that reporting unit.</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quantitative assessment for the current year indicated that the fair value of our reporting units substantially exceeded their carrying value.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Economic Conditions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impact of rising rates over the course of the past 18 months has had a material impact on many sectors of the economy leading to broad-based workforce reductions, a slowing or deferral of investment in information technology spending, and increased concern of a global recession. We believe the threat of global recession is the primary driver for the slowdown in orders from our customer base that we have experienced. During fiscal 2023, we experienced a broad reduction in demand in most of our product applications as many customers and channel partners continue to consume their accumulation of inventories, combined with customer requests to delay orders. Inflation in the costs of goods and services has not had a material impact on our results of operations, but rising inflation could increase our operating expenses and reduce our net income. Further, rising interest rates have increased our borrowing costs on our variable rate Term Loan Facility, which will continue to drive an increase in interest costs in future accounting periods and potentially limit our borrowing capacity if a future acquisition opportunity requiring financing presents itself.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sets forth certain of our consolidated statements of operations data for fiscal 2023 and 2022 along with comparative information regarding the absolute and percentage changes in these amounts (in millions, except percentages):</w:t>
      </w:r>
    </w:p>
    <w:p>
      <w:pPr>
        <w:sectPr>
          <w:pgSz w:w="11900" w:h="16838" w:orient="portrait"/>
          <w:cols w:equalWidth="0" w:num="1">
            <w:col w:w="11340"/>
          </w:cols>
          <w:pgMar w:left="320" w:top="337"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IoT product applications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PC product applications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Mobile product applications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revenue</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Gross margin</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Research and development</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Selling, general, and administrative</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Acquired intangibles amortization</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Restructuring costs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Operating income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and other income, net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on extinguishment of debt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Gain from sale and leaseback transaction</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Income before provision for income taxes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investment loss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946.3</w:t>
            </w:r>
          </w:p>
        </w:tc>
        <w:tc>
          <w:tcPr>
            <w:tcW w:w="24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1,100.9</w:t>
            </w:r>
          </w:p>
        </w:tc>
        <w:tc>
          <w:tcPr>
            <w:tcW w:w="20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(154.6 )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217.3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(125.7 )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(36.6 %)</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(104.3 )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(35.3 %)</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(384.6 )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(22.1 %)</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(227.2 )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(24.1 %)</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351.2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367.3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(16.1 )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(3.3 )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(18.3 )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(196.1 )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(56.0 %)</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w:t>
            </w:r>
          </w:p>
        </w:tc>
        <w:tc>
          <w:tcPr>
            <w:tcW w:w="2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806.7 %</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(55.5 )</w:t>
            </w: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(30.2 )</w:t>
            </w:r>
          </w:p>
        </w:tc>
        <w:tc>
          <w:tcPr>
            <w:tcW w:w="180" w:type="dxa"/>
            <w:vAlign w:val="bottom"/>
          </w:tcPr>
          <w:p>
            <w:pPr>
              <w:spacing w:after="0"/>
              <w:rPr>
                <w:sz w:val="21"/>
                <w:szCs w:val="21"/>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(25.3 )</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83.8 %</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(8.1 )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w:t>
            </w:r>
          </w:p>
        </w:tc>
        <w:tc>
          <w:tcPr>
            <w:tcW w:w="2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(5.4 )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6"/>
        </w:trPr>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126.0</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320.5</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(194.5</w:t>
            </w:r>
          </w:p>
        </w:tc>
        <w:tc>
          <w:tcPr>
            <w:tcW w:w="200" w:type="dxa"/>
            <w:vAlign w:val="bottom"/>
          </w:tcPr>
          <w:p>
            <w:pPr>
              <w:jc w:val="right"/>
              <w:ind w:right="68"/>
              <w:spacing w:after="0"/>
              <w:rPr>
                <w:sz w:val="20"/>
                <w:szCs w:val="20"/>
                <w:color w:val="auto"/>
              </w:rPr>
            </w:pPr>
            <w:r>
              <w:rPr>
                <w:rFonts w:ascii="Arial" w:cs="Arial" w:eastAsia="Arial" w:hAnsi="Arial"/>
                <w:sz w:val="14"/>
                <w:szCs w:val="14"/>
                <w:color w:val="auto"/>
                <w:w w:val="84"/>
              </w:rPr>
              <w:t>)</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(60.7 %)</w:t>
            </w:r>
          </w:p>
        </w:tc>
        <w:tc>
          <w:tcPr>
            <w:tcW w:w="0" w:type="dxa"/>
            <w:vAlign w:val="bottom"/>
          </w:tcPr>
          <w:p>
            <w:pPr>
              <w:spacing w:after="0"/>
              <w:rPr>
                <w:sz w:val="1"/>
                <w:szCs w:val="1"/>
                <w:color w:val="auto"/>
              </w:rPr>
            </w:pPr>
          </w:p>
        </w:tc>
      </w:tr>
      <w:tr>
        <w:trPr>
          <w:trHeight w:val="62"/>
        </w:trPr>
        <w:tc>
          <w:tcPr>
            <w:tcW w:w="26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52.4</w:t>
            </w: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64.6</w:t>
            </w: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(12.2 )</w:t>
            </w: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(1.6 )</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53"/>
        </w:trPr>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73.6</w:t>
            </w:r>
          </w:p>
        </w:tc>
        <w:tc>
          <w:tcPr>
            <w:tcW w:w="24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257.5</w:t>
            </w:r>
          </w:p>
        </w:tc>
        <w:tc>
          <w:tcPr>
            <w:tcW w:w="2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(183.9 )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(71.4 %)</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-3085465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-2776855</wp:posOffset>
            </wp:positionV>
            <wp:extent cx="7132320" cy="77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77152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-1851025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-1542415</wp:posOffset>
            </wp:positionV>
            <wp:extent cx="7132320" cy="462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-925195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-616585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-307975</wp:posOffset>
            </wp:positionV>
            <wp:extent cx="713232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560"/>
          </w:cols>
          <w:pgMar w:left="320" w:top="337" w:right="239" w:bottom="1440" w:gutter="0" w:footer="0" w:header="0"/>
          <w:type w:val="continuous"/>
        </w:sectPr>
      </w:pPr>
    </w:p>
    <w:p>
      <w:pPr>
        <w:spacing w:after="0" w:line="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sets forth certain of our consolidated statements of operations data as a percentage of net revenues for fiscal 2023 and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Point</w:t>
            </w:r>
          </w:p>
        </w:tc>
        <w:tc>
          <w:tcPr>
            <w:tcW w:w="0" w:type="dxa"/>
            <w:vAlign w:val="bottom"/>
          </w:tcPr>
          <w:p>
            <w:pPr>
              <w:spacing w:after="0"/>
              <w:rPr>
                <w:sz w:val="1"/>
                <w:szCs w:val="1"/>
                <w:color w:val="auto"/>
              </w:rPr>
            </w:pPr>
          </w:p>
        </w:tc>
      </w:tr>
      <w:tr>
        <w:trPr>
          <w:trHeight w:val="176"/>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5"/>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IoT product applications</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69.8 %</w:t>
            </w:r>
          </w:p>
        </w:tc>
        <w:tc>
          <w:tcPr>
            <w:tcW w:w="9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63.3 %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PC product applications</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16.0 %</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19.7 %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46"/>
        </w:trPr>
        <w:tc>
          <w:tcPr>
            <w:tcW w:w="6480" w:type="dxa"/>
            <w:vAlign w:val="bottom"/>
          </w:tcPr>
          <w:p>
            <w:pPr>
              <w:ind w:left="20"/>
              <w:spacing w:after="0"/>
              <w:rPr>
                <w:sz w:val="20"/>
                <w:szCs w:val="20"/>
                <w:color w:val="auto"/>
              </w:rPr>
            </w:pPr>
            <w:r>
              <w:rPr>
                <w:rFonts w:ascii="Arial" w:cs="Arial" w:eastAsia="Arial" w:hAnsi="Arial"/>
                <w:sz w:val="16"/>
                <w:szCs w:val="16"/>
                <w:color w:val="auto"/>
              </w:rPr>
              <w:t>Mobile product applications</w:t>
            </w:r>
          </w:p>
        </w:tc>
        <w:tc>
          <w:tcPr>
            <w:tcW w:w="9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14.2 %</w:t>
            </w:r>
          </w:p>
        </w:tc>
        <w:tc>
          <w:tcPr>
            <w:tcW w:w="9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17.0 %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Pr>
          <w:p>
            <w:pPr>
              <w:ind w:left="200"/>
              <w:spacing w:after="0"/>
              <w:rPr>
                <w:sz w:val="20"/>
                <w:szCs w:val="20"/>
                <w:color w:val="auto"/>
              </w:rPr>
            </w:pPr>
            <w:r>
              <w:rPr>
                <w:rFonts w:ascii="Arial" w:cs="Arial" w:eastAsia="Arial" w:hAnsi="Arial"/>
                <w:sz w:val="16"/>
                <w:szCs w:val="16"/>
                <w:color w:val="auto"/>
              </w:rPr>
              <w:t>Net revenue</w:t>
            </w:r>
          </w:p>
        </w:tc>
        <w:tc>
          <w:tcPr>
            <w:tcW w:w="9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color w:val="auto"/>
                <w:highlight w:val="white"/>
              </w:rPr>
              <w:t>%</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color w:val="auto"/>
                <w:highlight w:val="white"/>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Pr>
          <w:p>
            <w:pPr>
              <w:ind w:left="200"/>
              <w:spacing w:after="0"/>
              <w:rPr>
                <w:sz w:val="20"/>
                <w:szCs w:val="20"/>
                <w:color w:val="auto"/>
              </w:rPr>
            </w:pPr>
            <w:r>
              <w:rPr>
                <w:rFonts w:ascii="Arial" w:cs="Arial" w:eastAsia="Arial" w:hAnsi="Arial"/>
                <w:sz w:val="16"/>
                <w:szCs w:val="16"/>
                <w:color w:val="auto"/>
              </w:rPr>
              <w:t>Gross margin</w:t>
            </w:r>
          </w:p>
        </w:tc>
        <w:tc>
          <w:tcPr>
            <w:tcW w:w="9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52.8 %</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54.2 %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26"/>
        </w:trPr>
        <w:tc>
          <w:tcPr>
            <w:tcW w:w="6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20" w:type="dxa"/>
            <w:vAlign w:val="bottom"/>
            <w:gridSpan w:val="2"/>
          </w:tcPr>
          <w:p>
            <w:pPr>
              <w:ind w:left="200"/>
              <w:spacing w:after="0"/>
              <w:rPr>
                <w:sz w:val="20"/>
                <w:szCs w:val="20"/>
                <w:color w:val="auto"/>
              </w:rPr>
            </w:pPr>
            <w:r>
              <w:rPr>
                <w:rFonts w:ascii="Arial" w:cs="Arial" w:eastAsia="Arial" w:hAnsi="Arial"/>
                <w:sz w:val="16"/>
                <w:szCs w:val="16"/>
                <w:color w:val="auto"/>
              </w:rPr>
              <w:t>Research and development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25.9 %</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21.1 %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0"/>
              <w:spacing w:after="0"/>
              <w:rPr>
                <w:sz w:val="20"/>
                <w:szCs w:val="20"/>
                <w:color w:val="auto"/>
              </w:rPr>
            </w:pPr>
            <w:r>
              <w:rPr>
                <w:rFonts w:ascii="Arial" w:cs="Arial" w:eastAsia="Arial" w:hAnsi="Arial"/>
                <w:sz w:val="16"/>
                <w:szCs w:val="16"/>
                <w:color w:val="auto"/>
              </w:rPr>
              <w:t>Selling, general, and administrative</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12.9 %</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9.7 %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0"/>
              <w:spacing w:after="0"/>
              <w:rPr>
                <w:sz w:val="20"/>
                <w:szCs w:val="20"/>
                <w:color w:val="auto"/>
              </w:rPr>
            </w:pPr>
            <w:r>
              <w:rPr>
                <w:rFonts w:ascii="Arial" w:cs="Arial" w:eastAsia="Arial" w:hAnsi="Arial"/>
                <w:sz w:val="16"/>
                <w:szCs w:val="16"/>
                <w:color w:val="auto"/>
              </w:rPr>
              <w:t>Acquired intangibles amortization</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2.6 %</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2.2 %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9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9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line="20" w:lineRule="exact"/>
              <w:rPr>
                <w:sz w:val="1"/>
                <w:szCs w:val="1"/>
                <w:color w:val="auto"/>
              </w:rPr>
            </w:pPr>
          </w:p>
        </w:tc>
      </w:tr>
      <w:tr>
        <w:trPr>
          <w:trHeight w:val="210"/>
        </w:trPr>
        <w:tc>
          <w:tcPr>
            <w:tcW w:w="648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color w:val="auto"/>
                <w:highlight w:val="white"/>
              </w:rPr>
              <w: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color w:val="auto"/>
                <w:highlight w:val="white"/>
              </w:rPr>
              <w:t>%</w:t>
            </w:r>
          </w:p>
        </w:tc>
        <w:tc>
          <w:tcPr>
            <w:tcW w:w="1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Interest and other income, net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2.0 %</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0.2 %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(4.1 %)</w:t>
            </w:r>
          </w:p>
        </w:tc>
        <w:tc>
          <w:tcPr>
            <w:tcW w:w="9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(1.7 %)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Loss on extinguishment of debt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9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(0.5 %)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Gain from sale and leaseback transaction</w:t>
            </w:r>
          </w:p>
        </w:tc>
        <w:tc>
          <w:tcPr>
            <w:tcW w:w="9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9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0.3 %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line="20" w:lineRule="exact"/>
              <w:rPr>
                <w:sz w:val="1"/>
                <w:szCs w:val="1"/>
                <w:color w:val="auto"/>
              </w:rPr>
            </w:pPr>
          </w:p>
        </w:tc>
      </w:tr>
      <w:tr>
        <w:trPr>
          <w:trHeight w:val="210"/>
        </w:trPr>
        <w:tc>
          <w:tcPr>
            <w:tcW w:w="6480" w:type="dxa"/>
            <w:vAlign w:val="bottom"/>
          </w:tcPr>
          <w:p>
            <w:pPr>
              <w:ind w:left="200"/>
              <w:spacing w:after="0"/>
              <w:rPr>
                <w:sz w:val="20"/>
                <w:szCs w:val="20"/>
                <w:color w:val="auto"/>
              </w:rPr>
            </w:pPr>
            <w:r>
              <w:rPr>
                <w:rFonts w:ascii="Arial" w:cs="Arial" w:eastAsia="Arial" w:hAnsi="Arial"/>
                <w:sz w:val="16"/>
                <w:szCs w:val="16"/>
                <w:color w:val="auto"/>
              </w:rPr>
              <w:t>Income before provision for income taxes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9.3 %</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18.4 %</w:t>
            </w:r>
          </w:p>
        </w:tc>
        <w:tc>
          <w:tcPr>
            <w:tcW w:w="1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3.9 %</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3.7 %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46"/>
        </w:trPr>
        <w:tc>
          <w:tcPr>
            <w:tcW w:w="6480" w:type="dxa"/>
            <w:vAlign w:val="bottom"/>
          </w:tcPr>
          <w:p>
            <w:pPr>
              <w:ind w:left="20"/>
              <w:spacing w:after="0"/>
              <w:rPr>
                <w:sz w:val="20"/>
                <w:szCs w:val="20"/>
                <w:color w:val="auto"/>
              </w:rPr>
            </w:pPr>
            <w:r>
              <w:rPr>
                <w:rFonts w:ascii="Arial" w:cs="Arial" w:eastAsia="Arial" w:hAnsi="Arial"/>
                <w:sz w:val="16"/>
                <w:szCs w:val="16"/>
                <w:color w:val="auto"/>
              </w:rPr>
              <w:t>Equity investment loss</w:t>
            </w:r>
          </w:p>
        </w:tc>
        <w:tc>
          <w:tcPr>
            <w:tcW w:w="9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9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0.1 %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4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9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color w:val="auto"/>
                <w:highlight w:val="white"/>
              </w:rPr>
              <w:t>%</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color w:val="auto"/>
                <w:highlight w:val="white"/>
              </w:rPr>
              <w:t>%</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7"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Fiscal 2023 Compared with Fiscal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Net revenue was $1,355.1 million for fiscal 2023 compared with $1,739.7 for fiscal 2022, a decrease of $384.6 million, or 22.1%. Of our fiscal 2023 net revenue, $946.3 million, or 69.8%, of net revenue was from the IoT product applications market, $217.3 million, or 16.0%, of net revenue was from the PC product applications market, and $191.5 million, or 14.2%, of net revenue was from the mobile product applications market. The overall decrease in net revenue for fiscal 2023 was due to demand and inventory corrections in our market areas resulting in a decrease in revenues in all our product applications. Net revenue from IoT product applications decreased $154.6 million, or 14.0%, net revenue from PC product applications decreased $125.7 million, or 36.6%, and net revenue from mobile product applications decreased $104.3 million, or 35.3%. The decrease in net revenue from IoT product applications was primarily driven by a 11.6% decrease in the units sold as well as a 2.7% decrease in average selling prices. The decrease in net revenue from PC product applications was driven by a 38.3% decrease in the units sold, partially offset by a 2.7% increase in average selling prices. The decrease in mobile product applications was driven by a 29.3% decrease in the units sold as well as a 8.4% decrease in average selling prices.</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overall decrease in our revenues in fiscal 2023 compared to fiscal 2022 is the result of a broad reduction in demand in most of our product applications as many customers and channel partners continued to consume their accumulation of inventories, combined with customer requests to delay orders and downward pressure on product pricing.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Gross margin as a percentage of net revenue was 52.8%, or $715.9 million, for fiscal 2023 compared with 54.2%, or $943.1 million, for fiscal 2022. The 140 basis point decrease in gross margin was primarily due to a decrease in units sold as well as an overall decline in average selling prices in all our product applications.</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We charge losses on inventory purchase obligations and write-downs to reduce the carrying value of obsolete, slow moving, and non-usable inventory to net realizable value (including warranty costs) to cost of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$16.1 million, to $351.2 million, for fiscal 2023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fiscal 2022. The decrease in research and development expenses primarily reflected a $21.8 million decrease in variable compensation and a $17.0 million decrease in share-based compensation costs primarily related to our phantom stock awards. The final vesting of our phantom stock awards occurred in the second quarter of fiscal 2023 and there are no phantom stock awards outstanding. Total compensation costs associated with our phantom stock awards for fiscal 2023 and 2022 were $0.3 million and $27.2 million, respectively. These decreases were partially offset by an increase in payroll related costs of $17.8 million as a result of increases in headcount and an increase of $3.9 million in new product development activities.</w:t>
      </w:r>
    </w:p>
    <w:p>
      <w:pPr>
        <w:spacing w:after="0" w:line="5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$6.6 million, to $175.0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with fiscal 2022. The increase in selling, general, and administrative expenses primarily reflected a net increase of $6.8 million in share-based compensation costs. The net increase in share-based compensation was a combination of increases in share-based compensation from equity awards granted during fiscal 2023, partially offset by decreases in phantom stock and performance-based stock awards year over year. Payroll related costs increased $4.1 million as a result of increases in headcount. The increase in selling, general and administrative expense was partially offset by a decrease of $11.2 million in variable compensation costs.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Acquired Intangibles Amortization. </w:t>
      </w:r>
      <w:r>
        <w:rPr>
          <w:rFonts w:ascii="Arial" w:cs="Arial" w:eastAsia="Arial" w:hAnsi="Arial"/>
          <w:sz w:val="16"/>
          <w:szCs w:val="16"/>
          <w:color w:val="auto"/>
        </w:rPr>
        <w:t>Acquired intangibles amortization reflects the amortization of intangibles acquired through recent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7 Goodwill and Acquired Intangible Assets to the consolidated financial statements contained elsewhere in this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both"/>
        <w:ind w:firstLine="509"/>
        <w:spacing w:after="0" w:line="257"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primarily reflect employee severance costs and facilities consolidation costs related to the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improve efficiencies in our operational activities and gain synergies from acquisitions. These headcount-related costs included personnel in operations, research and development, and selling, general and administrative functions. There were no restructuring costs incurred during fiscal 2023. Restructuring costs incurred in fiscal 2022 were $18.3 million. See Note 16 Restructuring Activities to the consolidated financial statements contained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Interest and Other Income, Net. </w:t>
      </w:r>
      <w:r>
        <w:rPr>
          <w:rFonts w:ascii="Arial" w:cs="Arial" w:eastAsia="Arial" w:hAnsi="Arial"/>
          <w:sz w:val="16"/>
          <w:szCs w:val="16"/>
          <w:color w:val="auto"/>
        </w:rPr>
        <w:t>Interest and other income, net increased $24.2 million, to $27.2 million for fiscal 2023 compared with fiscal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due to higher interest rates on our cash, cash equivalents and short-term investments.</w:t>
      </w:r>
    </w:p>
    <w:p>
      <w:pPr>
        <w:spacing w:after="0" w:line="10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and amortization of debt issuance costs increased $25.3 million to $55.5 million during fiscal 2023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$30.2 million during fiscal 2022. Interest expense on the $600 million incremental Term Loan Facility increased by $26.0 million during fiscal 2023 compared to the same period a year ago, as the interest rate on the Term Loan Facility increased by approximately 340 basis points period-over-period. Additionally, the Term Loan Facility was funded in December 2021 and included approximately seven months of interest expense during fiscal 2022. The interest expense on the Term Loan Facility during fiscal 2023 and 2022 was $36.2 million and $10.2 million, respectively.</w:t>
      </w:r>
    </w:p>
    <w:p>
      <w:pPr>
        <w:spacing w:after="0" w:line="68"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i w:val="1"/>
          <w:iCs w:val="1"/>
          <w:color w:val="auto"/>
        </w:rPr>
        <w:t>Loss on redemption of convertible notes</w:t>
      </w:r>
      <w:r>
        <w:rPr>
          <w:rFonts w:ascii="Arial" w:cs="Arial" w:eastAsia="Arial" w:hAnsi="Arial"/>
          <w:sz w:val="17"/>
          <w:szCs w:val="17"/>
          <w:color w:val="auto"/>
        </w:rPr>
        <w:t>. Loss on redemption of convertible notes represents the difference between fair value and the carrying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redemption date of the convertible notes. The loss on redemption of convertible notes for fiscal 2022 was $8.1 million.</w:t>
      </w:r>
    </w:p>
    <w:p>
      <w:pPr>
        <w:spacing w:after="0" w:line="38"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i w:val="1"/>
          <w:iCs w:val="1"/>
          <w:color w:val="auto"/>
        </w:rPr>
        <w:t>Gain from sale and leaseback transaction</w:t>
      </w:r>
      <w:r>
        <w:rPr>
          <w:rFonts w:ascii="Arial" w:cs="Arial" w:eastAsia="Arial" w:hAnsi="Arial"/>
          <w:sz w:val="17"/>
          <w:szCs w:val="17"/>
          <w:color w:val="auto"/>
        </w:rPr>
        <w:t>. Gain from sale and leaseback transaction represents the gain from the sale of our headquarters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properties located San Jose, California in fiscal 2022. The gain from the sale and leaseback transaction for fiscal 2022 was $5.4 million.</w:t>
      </w:r>
    </w:p>
    <w:p>
      <w:pPr>
        <w:spacing w:after="0" w:line="3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provision for income taxes was $52.4 million and $64.6 million in fiscal 2023 and 2022, respectively, represented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federal, foreign, and state income taxes. The effective tax rate for fiscal 2023 diverged from the combined U.S. federal and state statutory tax rate primarily due to tax law changes becoming effective in our fiscal 2023, including non-creditable foreign withholding taxes resulting from the final foreign tax credit regulations published in January 2022 and the research and development capitalization rules increasing our GILTI, resulting from the U.S. Tax Cuts and Jobs Act of 2017, and non-deductible officer compensation, partially offset by the benefit of foreign income taxed at lower rates, and research credits. See “Note 14 Income Taxes” to the consolidated financial statements contained elsewhere in this report for the table reconciling the provision for income taxes from the federal statutory rate for fiscal 2023, 2022 and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2022 Compared with Fiscal 2021.</w:t>
      </w:r>
    </w:p>
    <w:p>
      <w:pPr>
        <w:spacing w:after="0" w:line="13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discussion related to the results of operations and changes in financial condition for fiscal 2022 compared to fiscal 2021, please refer to “Part II, Item 7. Management’s Discussion and Analysis of Financial Conditions and Results of Operations” in our fiscal 2022 Form 10-K, which was filed with the SEC on August 22,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cash and cash equivalents were $924.7 million as of the end of fiscal 2023 compared with $824.0 million as of the end of fiscal 2022, an increase of $100.7 million. The increase primarily reflected cash flows provided by operating activities of $331.5 million, offset by $221.3 million of cash used by financing activities.</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consider almost all earnings of our foreign subsidiaries as not indefinitely reinvested overseas and have made appropriate provisions for income or withholding taxes, that may result from a future repatriation of those earnings. As of the end of fiscal 2023, $824.4 million of cash and cash equivalents was held by our foreign subsidiaries. If these funds are needed for our operations in the U.S., we will be able to repatriate these funds without any further impact on our tax provision.</w:t>
      </w:r>
    </w:p>
    <w:p>
      <w:pPr>
        <w:spacing w:after="0" w:line="18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For fiscal 2023, the $331.5 million in net cash provided by operating activities was primarily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net income of $73.6 million plus adjustments for non-cash charges, including acquired intangibles amortization of $130.4 million, share-based compensation costs of $122.0 million, depreciation and amortization of $27.4 million, as well as other non-cash adjustments of $1.5 million, and a net change in operating assets and liabilities of $23.4 million. The net change in operating assets and liabilities related primarily to a $161.3 million decrease in accounts receivable primarily related to a decrease in sales, a decrease of $24.6 million in inventories as we continued our efforts to control inventory spend while turning over the inventories we accumulated during the first half of fiscal 2023, a decrease of $95.6 million in accounts payable due to timing of payments and a decrease of $45.4 in accrued compensation primarily related to decreases in our annual bonus accrual. Our days sales outstanding was 65 days in fiscal 2023 as compared to 61 days in fiscal 2022. Our inventory turns decreased to three times in fiscal 2023 from four times in fiscal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ind w:firstLine="509"/>
        <w:spacing w:after="0" w:line="254" w:lineRule="auto"/>
        <w:rPr>
          <w:sz w:val="20"/>
          <w:szCs w:val="20"/>
          <w:color w:val="auto"/>
        </w:rPr>
      </w:pPr>
      <w:r>
        <w:rPr>
          <w:rFonts w:ascii="Arial" w:cs="Arial" w:eastAsia="Arial" w:hAnsi="Arial"/>
          <w:sz w:val="18"/>
          <w:szCs w:val="18"/>
          <w:color w:val="auto"/>
        </w:rPr>
        <w:t>For fiscal 2022, the $462.7 million in net cash provided by operating activities was primarily attributable to net income of $257.5 million plus adjustments for non-cash charges, including acquired intangibles amortization of $123.5 million, share-based compensation costs of $100.8 million, depreciation and amortization of $24.0 million, as well as other non-cash adjustments of $24.2 million, and a net change in operating assets and liabilities of $18.9 million. The net change in operating assets and liabilities related primarily to an $81.1 million increase in accounts receivable, an increase of $54.2 million in inventories, an increase of $23.2 million in accounts payable, an increase of $48.6 million in income taxes payable and an increase of $17.4 million in other accrued liabilities. Our days sales outstanding was 61 days in fiscal 2022 as compared to 63 days in fiscal 2021. Our inventory turns decreased to four times in fiscal 2022 from seven times from fiscal 2021.</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Net cash used in investing activities for fiscal 2023 was $6.0 million and consisted primarily of $15.5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the acquisition of businesses, net of cash and cash equivalents acquired, and $34.2 million used for the purchases of property and equipment; partially offset by $43.6 in proceeds from maturities and sales of our short-term investments.</w:t>
      </w:r>
    </w:p>
    <w:p>
      <w:pPr>
        <w:spacing w:after="0" w:line="76"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Net cash used in investing activities for fiscal 2022 was $482.7 million and consisted primarily of $501.1 million used for the acquisition of businesses, net of cash and cash equivalents acquired, and $31.1 million used for the purchases of property and equipment; partially offset by proceeds from sale and leaseback transaction of $55.9 million and $24.4 million in proceeds from sales of investments.</w:t>
      </w:r>
    </w:p>
    <w:p>
      <w:pPr>
        <w:spacing w:after="0" w:line="1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Net cash used in financing activities for fiscal 2023 was $221.3 million and was primarily attributable to</w:t>
      </w:r>
      <w:r>
        <w:rPr>
          <w:rFonts w:ascii="Arial" w:cs="Arial" w:eastAsia="Arial" w:hAnsi="Arial"/>
          <w:sz w:val="17"/>
          <w:szCs w:val="17"/>
          <w:i w:val="1"/>
          <w:iCs w:val="1"/>
          <w:color w:val="auto"/>
        </w:rPr>
        <w:t xml:space="preserve"> </w:t>
      </w:r>
      <w:r>
        <w:rPr>
          <w:rFonts w:ascii="Arial" w:cs="Arial" w:eastAsia="Arial" w:hAnsi="Arial"/>
          <w:sz w:val="17"/>
          <w:szCs w:val="17"/>
          <w:color w:val="auto"/>
        </w:rPr>
        <w:t>$183.5 million in repurchases of our common stock, $6.0 in debt repayments and $54.5 million used for payroll taxes for restricted stock units, or RSUs, market stock units, or MSUs, and performance stock units, or PSUs, partially offset by $17.6 million in proceeds from issuance of shares.</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net cash provided by financing activities for fiscal 2022 was $14.3 million and was primarily attributable to $600.0 million in proceeds from issuance of debt and $15.2 million in proceeds from issuance of shares, partially offset by $3.0 million of payment on debt, $67.3 million used for payroll taxes for restricted stock units, or RSUs, market stock units, or MSUs, and performance stock units, or PSUs, and $505.6 million used for payment for redemption of convertible notes.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discussion related to the statement of cash flows for fiscal 2021, please refer to “Part II, Item 7. Management’s Discussion and Analysis of Financial Conditions and Results of Operations” in our fiscal 2021 Form 10-K, which was filed with the SEC on August 23, 2021.</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i w:val="1"/>
          <w:iCs w:val="1"/>
          <w:color w:val="auto"/>
        </w:rPr>
        <w:t xml:space="preserve">Common Stock Repurchase Program. </w:t>
      </w:r>
      <w:r>
        <w:rPr>
          <w:rFonts w:ascii="Arial" w:cs="Arial" w:eastAsia="Arial" w:hAnsi="Arial"/>
          <w:sz w:val="18"/>
          <w:szCs w:val="18"/>
          <w:color w:val="auto"/>
        </w:rPr>
        <w:t>As of the end of fiscal 2023, our Board of Directors had cumulatively authorized the purchase of up to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$2.3 billion of our common stock pursuant to our common stock repurchase program through July 2025.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2023, we purchased, net of issuances for settlement of our convertible notes, 30,116,439 shares of our common stock in the open market for an aggregate cost of $878.0 million. As of the end of fiscal 2023, the remaining available authorization under our common stock repurchase program was $893.9 million.</w:t>
      </w:r>
    </w:p>
    <w:p>
      <w:pPr>
        <w:spacing w:after="0" w:line="1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On March 11, 2021, we completed an offering of $400.0 million aggregate principal amount of 4.0% senior notes due 2029,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in a private offering. The Senior Notes were issued pursuant to an Indenture, dated as of March 11, 2021, or the Indenture, by and among our company, the guarantors named therein and Wells Fargo Bank, National Association, as trustee. The Senior Notes requires bi-annual interest only payments. In fiscal 2023, we paid interest expense of $16.0 million on the Senior Notes.</w:t>
      </w:r>
    </w:p>
    <w:p>
      <w:pPr>
        <w:spacing w:after="0" w:line="18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On March 16, 2023, we entered into the Second Amendment to our Credit Agreement, dated March 11, 2021.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replaces the LIBOR-based interest rate applicable to borrowings under the Credit Agreement with SOFR-based interest rate</w:t>
      </w:r>
      <w:r>
        <w:rPr>
          <w:rFonts w:ascii="Arial" w:cs="Arial" w:eastAsia="Arial" w:hAnsi="Arial"/>
          <w:sz w:val="20"/>
          <w:szCs w:val="20"/>
          <w:color w:val="auto"/>
        </w:rPr>
        <w:t>.</w:t>
      </w:r>
      <w:r>
        <w:rPr>
          <w:rFonts w:ascii="Arial" w:cs="Arial" w:eastAsia="Arial" w:hAnsi="Arial"/>
          <w:sz w:val="17"/>
          <w:szCs w:val="17"/>
          <w:color w:val="auto"/>
        </w:rPr>
        <w:t xml:space="preserve"> On July 28, 2023, we entered into the Third Amendment to our Credit Agreement, which provides that the consolidated interest coverage ratio financial covenant will only apply if, as of the last day of any fiscal quarter, our aggregate cash and cash equivalents are less than $450 million. 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June 2023, there was no balance outstanding under the revolving credit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ind w:firstLine="509"/>
        <w:spacing w:after="0" w:line="255" w:lineRule="auto"/>
        <w:rPr>
          <w:sz w:val="20"/>
          <w:szCs w:val="20"/>
          <w:color w:val="auto"/>
        </w:rPr>
      </w:pPr>
      <w:r>
        <w:rPr>
          <w:rFonts w:ascii="Arial" w:cs="Arial" w:eastAsia="Arial" w:hAnsi="Arial"/>
          <w:sz w:val="18"/>
          <w:szCs w:val="18"/>
          <w:i w:val="1"/>
          <w:iCs w:val="1"/>
          <w:color w:val="auto"/>
        </w:rPr>
        <w:t>Term Loan Facility</w:t>
      </w:r>
      <w:r>
        <w:rPr>
          <w:rFonts w:ascii="Arial" w:cs="Arial" w:eastAsia="Arial" w:hAnsi="Arial"/>
          <w:sz w:val="18"/>
          <w:szCs w:val="18"/>
          <w:color w:val="auto"/>
        </w:rPr>
        <w:t>. In December 2021, we entered into that certain First Amendment and Lender Joinder Agreement to the Credit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establish a new $600.0 million incremental term loan facility, or the Term Loan Facility. The Term Loan Facility was advanced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 plus an applicable margin. For the year-ended June 2023, we repaid $6.0 million of the principal outstanding on the Term Loan Facility.</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8. Debt” in the Notes to the Condensed Consolidated Financial Statements for additional information on our outstanding debt obligations.</w:t>
      </w:r>
    </w:p>
    <w:p>
      <w:pPr>
        <w:spacing w:after="0" w:line="248"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4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i w:val="1"/>
          <w:iCs w:val="1"/>
          <w:color w:val="auto"/>
        </w:rPr>
        <w:t xml:space="preserve">Working Capital Needs. </w:t>
      </w:r>
      <w:r>
        <w:rPr>
          <w:rFonts w:ascii="Arial" w:cs="Arial" w:eastAsia="Arial" w:hAnsi="Arial"/>
          <w:sz w:val="16"/>
          <w:szCs w:val="16"/>
          <w:color w:val="auto"/>
        </w:rPr>
        <w:t>We believe our existing cash and cash equivalents, anticipated cash flows from operating activities, anticipated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from financing activities, and available credit under our 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 xml:space="preserve">Contractual Obligations and Commercial Commitments. </w:t>
      </w:r>
      <w:r>
        <w:rPr>
          <w:rFonts w:ascii="Arial" w:cs="Arial" w:eastAsia="Arial" w:hAnsi="Arial"/>
          <w:sz w:val="18"/>
          <w:szCs w:val="18"/>
          <w:color w:val="auto"/>
        </w:rPr>
        <w:t>The following table sets forth a summary of our material contractual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commitments as of the end of fiscal 2023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8"/>
              <w:spacing w:after="0" w:line="133"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auto"/>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(1)</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1,339.0</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gridSpan w:val="2"/>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24"/>
                <w:szCs w:val="24"/>
                <w:color w:val="auto"/>
                <w:vertAlign w:val="superscript"/>
              </w:rPr>
              <w:t>(2)</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223.6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-187960</wp:posOffset>
            </wp:positionV>
            <wp:extent cx="7747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1912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principal and interest payable through the maturity date of the underlying contractual obligation.</w:t>
      </w:r>
    </w:p>
    <w:p>
      <w:pPr>
        <w:ind w:left="380" w:hanging="372"/>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Purchase obligations and other commitments include payments due for inventory purchase obligations with contract manufacturers, long-term software tool licenses, and other licenses.</w:t>
      </w:r>
    </w:p>
    <w:p>
      <w:pPr>
        <w:spacing w:after="0" w:line="20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$43.7 million. As of the end of fiscal 2023, we were unable to make a reasonably reliable estimate of when cash settlement with a taxing authority may occur in connection with our gross unrecognized tax benefit.</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Please see "Note 1 - Organization and Summary of Significant Accounting Policies - Accounting Pronouncements Issued But Not Yet Adopted” in our Notes to the Consolidated Financial Statements set forth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5" w:name="page46"/>
    <w:bookmarkEnd w:id="45"/>
    <w:p>
      <w:pPr>
        <w:ind w:right="3460"/>
        <w:spacing w:after="0" w:line="445"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color w:val="auto"/>
        </w:rPr>
        <w:t>We are exposed to certain market risks in the ordinary course of our business. These risks primarily include: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total net revenue for fiscal 2023 and 2022 was denominated in U.S. dollars. Costs denominated in foreign currencies were approximately 13% of our total costs in each of fiscal years 2023 and 2022.</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face the risk that our accounts payable and acquisition-related liabilities denominated in foreign currencies will increase if such foreign currencies strengthen quickly and significantly against the U.S. dollar. Approximately 12% and 2% of our accounts payable were denominated in foreign currencies in June 2023 and June 2022, respectively.</w:t>
      </w:r>
    </w:p>
    <w:p>
      <w:pPr>
        <w:spacing w:after="0" w:line="7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income before taxes by approximately $15.5 million and our net income by approximately $19.3 million for fiscal 2023, assuming no offsetting hedge positions. However, this quantitative measure has inherent limitations. The sensitivity analysis disregards the possibility that U.S. dollar and other exchange rates can move in opposite directions and that gains from one currency may or may not be offset by losses from another currency.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Cash, Cash Equivalents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exposure to market risk for changes in interest rates relates primarily to our cash and cash equivalents and short-term investments. We do not use our investment portfolio for trading or other speculative purposes. There have been no significant changes in the maturity dates and average interest rates for our cash equivalents subsequent to fiscal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Debt</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With our outstanding debt, we are exposed to various forms of market risk, including the potential losses arising from adverse changes in interest rates on our outstanding Term Loan. See “Note 8. Debt” for further information. A hypothetical increase in the interest rate by 1% would result in an increase in annual interest expense by approximately $6.0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Reference is made to the financial statements, the report of our independent registered public accounting firm, and the notes thereto commencing at page F-1 of this report, which financial statements, report, and notes are incorporated herein by reference. Reference is also made to the quarterly results of operations included elsewhere in this report, which are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24, 2023,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2013 framework).</w:t>
      </w:r>
    </w:p>
    <w:p>
      <w:pPr>
        <w:spacing w:after="0" w:line="80"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Based on our evaluation under the COSO 2013 framework and the satisfactory completion of the remediation actions described below, our management concluded that our internal control over financial reporting was effective, at the reasonable assurance level, as of June 24, 2023. The effectiveness of our internal control over financial reporting, as of June 24, 2023, has been audited by KPMG LLP, an independent registered public accounting firm, as stated in their report included herein on page F-2.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Remediated Material Weakness</w:t>
      </w:r>
    </w:p>
    <w:p>
      <w:pPr>
        <w:spacing w:after="0" w:line="12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 During the quarter ended June 24, 2023, the Company identified a material weakness in internal control related to the identification and monitoring of the sales reporting requirements of a single non-royalty bearing intellectual property license agreement. The material weakness was primarily due to ineffective risk assessment related to identifying and analyzing risks and ineffective information and communication processes related to identifying and assessing the accuracy of the information used in reporting under certain non-royalty bearing intellectual property license agreements. As a result of this lack of controls, an immaterial error in financial reporting was identified.</w:t>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has concluded that the material weakness described above was fully remediated as of June 24, 2023, due to the implementation of specific processes and controls to identify reporting requirements for non-royalty bearing intellectual property license agreements and to monitor the Company’s ongoing compliance with periodic sales reporting in accordance with the terms of such agreements. These controls were tested and determined to be operating effectively as of June 24,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Except for the identified material weakness and remediation described above under the heading “</w:t>
      </w:r>
      <w:r>
        <w:rPr>
          <w:rFonts w:ascii="Arial" w:cs="Arial" w:eastAsia="Arial" w:hAnsi="Arial"/>
          <w:sz w:val="16"/>
          <w:szCs w:val="16"/>
          <w:i w:val="1"/>
          <w:iCs w:val="1"/>
          <w:color w:val="auto"/>
        </w:rPr>
        <w:t>Remediated Material Weakness</w:t>
      </w:r>
      <w:r>
        <w:rPr>
          <w:rFonts w:ascii="Arial" w:cs="Arial" w:eastAsia="Arial" w:hAnsi="Arial"/>
          <w:sz w:val="16"/>
          <w:szCs w:val="16"/>
          <w:color w:val="auto"/>
        </w:rPr>
        <w:t>,” there were no other changes to our internal control over financial reporting (as defined in Rules 13a-15(f) and 15d-15(f) under the Exchange Act) that occurred during the quarter ended June 24, 2023, that have materially affected, or are reasonably likely to materially affect, our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items requiring reporting on Form 8-K that were not reported on Form 8-K during the fourth quarter of the year covered by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information required by this Item relating to directors of our company and corporate governance is incorporated herein by reference to the definitive Proxy Statement to be filed pursuant to Regulation 14A of the Exchange Act for our 2023 Annual Meeting of Stockholders. The information required by this Item relating to our executive officers is included in Item 1. Business – Information about our Executive Officers.</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 xml:space="preserve">We have adopted a code of ethics that applies to our chief executive officer, chief financial officer, chief accounting officer, and other senior accounting personnel. The “Code of Ethics for the CEO and Senior Financial Officers” is located on our website at </w:t>
      </w:r>
      <w:r>
        <w:rPr>
          <w:rFonts w:ascii="Arial" w:cs="Arial" w:eastAsia="Arial" w:hAnsi="Arial"/>
          <w:sz w:val="18"/>
          <w:szCs w:val="18"/>
          <w:u w:val="single" w:color="auto"/>
          <w:color w:val="auto"/>
        </w:rPr>
        <w:t>www.synaptics.com</w:t>
      </w:r>
      <w:r>
        <w:rPr>
          <w:rFonts w:ascii="Arial" w:cs="Arial" w:eastAsia="Arial" w:hAnsi="Arial"/>
          <w:sz w:val="18"/>
          <w:szCs w:val="18"/>
          <w:color w:val="auto"/>
        </w:rPr>
        <w:t xml:space="preserve"> in the Investor Relations section under Corporate Governance.</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“Executive Compensation”) to be filed pursuant to Regulation 14A of the Exchange Act for our 2023 Annual Meeting of Stockholders.</w:t>
      </w:r>
    </w:p>
    <w:p>
      <w:pPr>
        <w:spacing w:after="0" w:line="274" w:lineRule="exact"/>
        <w:rPr>
          <w:sz w:val="20"/>
          <w:szCs w:val="20"/>
          <w:color w:val="auto"/>
        </w:rPr>
      </w:pPr>
    </w:p>
    <w:p>
      <w:pPr>
        <w:jc w:val="both"/>
        <w:ind w:left="1080" w:hanging="115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 NERS AND MANAGEMENT AND RELATED STOCKHOLDER MATTERS</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2023 Annual Meeting of Stockholders.</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definitive Proxy Statement (particularly under the caption “Certain Relationships and Related Transactions”) to be filed pursuant to Regulation 14A of the Exchange Act for our 2023 Annual Meeting of Stockholders.</w:t>
      </w: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2023 Annual Meeting of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21" w:lineRule="exact"/>
        <w:rPr>
          <w:rFonts w:ascii="Arial" w:cs="Arial" w:eastAsia="Arial" w:hAnsi="Arial"/>
          <w:sz w:val="18"/>
          <w:szCs w:val="18"/>
          <w:b w:val="1"/>
          <w:bCs w:val="1"/>
          <w:color w:val="auto"/>
        </w:rPr>
      </w:pPr>
    </w:p>
    <w:p>
      <w:pPr>
        <w:ind w:left="900" w:hanging="359"/>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report.</w:t>
      </w:r>
    </w:p>
    <w:p>
      <w:pPr>
        <w:spacing w:after="0" w:line="113"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w w:val="92"/>
              </w:rPr>
              <w:t>Incorporated by Reference</w:t>
            </w:r>
          </w:p>
        </w:tc>
        <w:tc>
          <w:tcPr>
            <w:tcW w:w="1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0" w:type="dxa"/>
            <w:vAlign w:val="bottom"/>
            <w:gridSpan w:val="8"/>
            <w:vMerge w:val="restart"/>
          </w:tcPr>
          <w:p>
            <w:pPr>
              <w:ind w:left="640"/>
              <w:spacing w:after="0"/>
              <w:rPr>
                <w:sz w:val="20"/>
                <w:szCs w:val="20"/>
                <w:color w:val="auto"/>
              </w:rPr>
            </w:pPr>
            <w:r>
              <w:rPr>
                <w:rFonts w:ascii="Arial" w:cs="Arial" w:eastAsia="Arial" w:hAnsi="Arial"/>
                <w:sz w:val="14"/>
                <w:szCs w:val="14"/>
                <w:b w:val="1"/>
                <w:bCs w:val="1"/>
                <w:color w:val="auto"/>
              </w:rPr>
              <w:t>Exhibit</w:t>
            </w:r>
          </w:p>
        </w:tc>
        <w:tc>
          <w:tcPr>
            <w:tcW w:w="36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To</w:t>
            </w:r>
          </w:p>
        </w:tc>
        <w:tc>
          <w:tcPr>
            <w:tcW w:w="19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vMerge w:val="continue"/>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60" w:type="dxa"/>
            <w:vAlign w:val="bottom"/>
          </w:tcPr>
          <w:p>
            <w:pPr>
              <w:ind w:left="120"/>
              <w:spacing w:after="0"/>
              <w:rPr>
                <w:sz w:val="20"/>
                <w:szCs w:val="20"/>
                <w:color w:val="auto"/>
              </w:rPr>
            </w:pPr>
            <w:r>
              <w:rPr>
                <w:rFonts w:ascii="Arial" w:cs="Arial" w:eastAsia="Arial" w:hAnsi="Arial"/>
                <w:sz w:val="18"/>
                <w:szCs w:val="18"/>
                <w:color w:val="auto"/>
              </w:rPr>
              <w:t>2.2</w:t>
            </w:r>
            <w:r>
              <w:rPr>
                <w:rFonts w:ascii="Arial" w:cs="Arial" w:eastAsia="Arial" w:hAnsi="Arial"/>
                <w:sz w:val="24"/>
                <w:szCs w:val="24"/>
                <w:color w:val="auto"/>
                <w:vertAlign w:val="superscript"/>
              </w:rPr>
              <w:t>#</w:t>
            </w:r>
          </w:p>
        </w:tc>
        <w:tc>
          <w:tcPr>
            <w:tcW w:w="140" w:type="dxa"/>
            <w:vAlign w:val="bottom"/>
          </w:tcPr>
          <w:p>
            <w:pPr>
              <w:spacing w:after="0"/>
              <w:rPr>
                <w:sz w:val="24"/>
                <w:szCs w:val="24"/>
                <w:color w:val="auto"/>
              </w:rPr>
            </w:pPr>
          </w:p>
        </w:tc>
        <w:tc>
          <w:tcPr>
            <w:tcW w:w="4340" w:type="dxa"/>
            <w:vAlign w:val="bottom"/>
            <w:tcBorders>
              <w:bottom w:val="single" w:sz="8" w:color="0000FF"/>
            </w:tcBorders>
            <w:gridSpan w:val="5"/>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Agreement and Plan of Merger, dated July 17, 2020, by and</w:t>
              </w:r>
            </w:hyperlink>
          </w:p>
        </w:tc>
        <w:tc>
          <w:tcPr>
            <w:tcW w:w="300" w:type="dxa"/>
            <w:vAlign w:val="bottom"/>
            <w:gridSpan w:val="4"/>
          </w:tcPr>
          <w:p>
            <w:pPr>
              <w:spacing w:after="0"/>
              <w:rPr>
                <w:sz w:val="24"/>
                <w:szCs w:val="24"/>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ind w:left="20"/>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among Synaptics Incorporated, DisplayLink Corp., Falcon</w:t>
              </w:r>
            </w:hyperlink>
          </w:p>
        </w:tc>
        <w:tc>
          <w:tcPr>
            <w:tcW w:w="380" w:type="dxa"/>
            <w:vAlign w:val="bottom"/>
            <w:gridSpan w:val="5"/>
          </w:tcPr>
          <w:p>
            <w:pPr>
              <w:spacing w:after="0"/>
              <w:rPr>
                <w:sz w:val="17"/>
                <w:szCs w:val="17"/>
                <w:color w:val="auto"/>
              </w:rPr>
            </w:pPr>
          </w:p>
        </w:tc>
        <w:tc>
          <w:tcPr>
            <w:tcW w:w="3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Merger Sub, Inc., the sellers who became parties thereto and</w:t>
              </w:r>
            </w:hyperlink>
          </w:p>
        </w:tc>
        <w:tc>
          <w:tcPr>
            <w:tcW w:w="240" w:type="dxa"/>
            <w:vAlign w:val="bottom"/>
            <w:gridSpan w:val="3"/>
          </w:tcPr>
          <w:p>
            <w:pPr>
              <w:spacing w:after="0"/>
              <w:rPr>
                <w:sz w:val="17"/>
                <w:szCs w:val="17"/>
                <w:color w:val="auto"/>
              </w:rPr>
            </w:pPr>
          </w:p>
        </w:tc>
        <w:tc>
          <w:tcPr>
            <w:tcW w:w="3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Shareholder Representative Services LLC</w:t>
              </w:r>
            </w:hyperlink>
          </w:p>
        </w:tc>
        <w:tc>
          <w:tcPr>
            <w:tcW w:w="20" w:type="dxa"/>
            <w:vAlign w:val="bottom"/>
            <w:tcBorders>
              <w:bottom w:val="single" w:sz="8" w:color="0000EE"/>
            </w:tcBorders>
          </w:tcPr>
          <w:p>
            <w:pPr>
              <w:spacing w:after="0"/>
              <w:rPr>
                <w:sz w:val="17"/>
                <w:szCs w:val="17"/>
                <w:color w:val="auto"/>
              </w:rPr>
            </w:pPr>
          </w:p>
        </w:tc>
        <w:tc>
          <w:tcPr>
            <w:tcW w:w="1600" w:type="dxa"/>
            <w:vAlign w:val="bottom"/>
            <w:gridSpan w:val="6"/>
          </w:tcPr>
          <w:p>
            <w:pPr>
              <w:spacing w:after="0"/>
              <w:rPr>
                <w:sz w:val="17"/>
                <w:szCs w:val="17"/>
                <w:color w:val="auto"/>
              </w:rPr>
            </w:pPr>
          </w:p>
        </w:tc>
        <w:tc>
          <w:tcPr>
            <w:tcW w:w="3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tcPr>
          <w:p>
            <w:pPr>
              <w:ind w:lef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4620" w:type="dxa"/>
            <w:vAlign w:val="bottom"/>
            <w:tcBorders>
              <w:bottom w:val="single" w:sz="8" w:color="0000FF"/>
            </w:tcBorders>
            <w:gridSpan w:val="8"/>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Agreement and Plan of Merger by and among DSP Group, Inc.,</w:t>
              </w:r>
            </w:hyperlink>
          </w:p>
        </w:tc>
        <w:tc>
          <w:tcPr>
            <w:tcW w:w="20" w:type="dxa"/>
            <w:vAlign w:val="bottom"/>
          </w:tcPr>
          <w:p>
            <w:pPr>
              <w:spacing w:after="0"/>
              <w:rPr>
                <w:sz w:val="24"/>
                <w:szCs w:val="24"/>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ind w:left="20"/>
              <w:spacing w:after="0"/>
              <w:rPr>
                <w:sz w:val="20"/>
                <w:szCs w:val="20"/>
                <w:color w:val="auto"/>
              </w:rPr>
            </w:pPr>
            <w:r>
              <w:rPr>
                <w:rFonts w:ascii="Arial" w:cs="Arial" w:eastAsia="Arial" w:hAnsi="Arial"/>
                <w:sz w:val="18"/>
                <w:szCs w:val="18"/>
                <w:color w:val="auto"/>
              </w:rPr>
              <w:t>November 4, 2021</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Synaptics Incorporated and Osprey Merger Sub, Inc., dated as</w:t>
              </w:r>
            </w:hyperlink>
          </w:p>
        </w:tc>
        <w:tc>
          <w:tcPr>
            <w:tcW w:w="140" w:type="dxa"/>
            <w:vAlign w:val="bottom"/>
            <w:gridSpan w:val="2"/>
          </w:tcPr>
          <w:p>
            <w:pPr>
              <w:spacing w:after="0"/>
              <w:rPr>
                <w:sz w:val="17"/>
                <w:szCs w:val="17"/>
                <w:color w:val="auto"/>
              </w:rPr>
            </w:pPr>
          </w:p>
        </w:tc>
        <w:tc>
          <w:tcPr>
            <w:tcW w:w="3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9"/>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of August 30, 2021.</w:t>
              </w:r>
            </w:hyperlink>
          </w:p>
        </w:tc>
        <w:tc>
          <w:tcPr>
            <w:tcW w:w="3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120" w:type="dxa"/>
        <w:tblCellMar>
          <w:top w:w="0" w:type="dxa"/>
          <w:left w:w="0" w:type="dxa"/>
          <w:bottom w:w="0" w:type="dxa"/>
          <w:right w:w="0" w:type="dxa"/>
        </w:tblCellMar>
      </w:tblPr>
      <w:tr>
        <w:trPr>
          <w:trHeight w:val="20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3.1</w:t>
            </w:r>
          </w:p>
        </w:tc>
        <w:tc>
          <w:tcPr>
            <w:tcW w:w="4580" w:type="dxa"/>
            <w:vAlign w:val="bottom"/>
            <w:gridSpan w:val="9"/>
          </w:tcPr>
          <w:p>
            <w:pPr>
              <w:spacing w:after="0"/>
              <w:rPr>
                <w:rFonts w:ascii="Arial" w:cs="Arial" w:eastAsia="Arial" w:hAnsi="Arial"/>
                <w:sz w:val="18"/>
                <w:szCs w:val="18"/>
                <w:color w:val="0000FF"/>
              </w:rPr>
            </w:pPr>
            <w:hyperlink r:id="rId87">
              <w:r>
                <w:rPr>
                  <w:rFonts w:ascii="Arial" w:cs="Arial" w:eastAsia="Arial" w:hAnsi="Arial"/>
                  <w:sz w:val="18"/>
                  <w:szCs w:val="18"/>
                  <w:color w:val="0000FF"/>
                </w:rPr>
                <w:t>Certificate of Incorporation</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2"/>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3.2</w:t>
            </w:r>
          </w:p>
        </w:tc>
        <w:tc>
          <w:tcPr>
            <w:tcW w:w="4580" w:type="dxa"/>
            <w:vAlign w:val="bottom"/>
            <w:gridSpan w:val="9"/>
          </w:tcPr>
          <w:p>
            <w:pPr>
              <w:spacing w:after="0"/>
              <w:rPr>
                <w:rFonts w:ascii="Arial" w:cs="Arial" w:eastAsia="Arial" w:hAnsi="Arial"/>
                <w:sz w:val="18"/>
                <w:szCs w:val="18"/>
                <w:color w:val="0000FF"/>
              </w:rPr>
            </w:pPr>
            <w:hyperlink r:id="rId88">
              <w:r>
                <w:rPr>
                  <w:rFonts w:ascii="Arial" w:cs="Arial" w:eastAsia="Arial" w:hAnsi="Arial"/>
                  <w:sz w:val="18"/>
                  <w:szCs w:val="18"/>
                  <w:color w:val="0000FF"/>
                </w:rPr>
                <w:t>Certificate of Designation of Series A Junior Participating</w:t>
              </w:r>
            </w:hyperlink>
          </w:p>
        </w:tc>
      </w:tr>
      <w:tr>
        <w:trPr>
          <w:trHeight w:val="20"/>
        </w:trPr>
        <w:tc>
          <w:tcPr>
            <w:tcW w:w="90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gridSpan w:val="9"/>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Preferred Stock</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2"/>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3.3</w:t>
            </w:r>
          </w:p>
        </w:tc>
        <w:tc>
          <w:tcPr>
            <w:tcW w:w="4580" w:type="dxa"/>
            <w:vAlign w:val="bottom"/>
            <w:gridSpan w:val="9"/>
          </w:tcPr>
          <w:p>
            <w:pPr>
              <w:spacing w:after="0"/>
              <w:rPr>
                <w:rFonts w:ascii="Arial" w:cs="Arial" w:eastAsia="Arial" w:hAnsi="Arial"/>
                <w:sz w:val="18"/>
                <w:szCs w:val="18"/>
                <w:color w:val="0000FF"/>
                <w:w w:val="89"/>
              </w:rPr>
            </w:pPr>
            <w:hyperlink r:id="rId89">
              <w:r>
                <w:rPr>
                  <w:rFonts w:ascii="Arial" w:cs="Arial" w:eastAsia="Arial" w:hAnsi="Arial"/>
                  <w:sz w:val="18"/>
                  <w:szCs w:val="18"/>
                  <w:color w:val="0000FF"/>
                  <w:w w:val="89"/>
                </w:rPr>
                <w:t>Third Amended and Restated Bylaws (amended and restated as</w:t>
              </w:r>
            </w:hyperlink>
          </w:p>
        </w:tc>
      </w:tr>
      <w:tr>
        <w:trPr>
          <w:trHeight w:val="20"/>
        </w:trPr>
        <w:tc>
          <w:tcPr>
            <w:tcW w:w="90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gridSpan w:val="9"/>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of July 27, 2010)</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3.4</w:t>
            </w:r>
          </w:p>
        </w:tc>
        <w:tc>
          <w:tcPr>
            <w:tcW w:w="4580" w:type="dxa"/>
            <w:vAlign w:val="bottom"/>
            <w:gridSpan w:val="9"/>
          </w:tcPr>
          <w:p>
            <w:pPr>
              <w:spacing w:after="0"/>
              <w:rPr>
                <w:rFonts w:ascii="Arial" w:cs="Arial" w:eastAsia="Arial" w:hAnsi="Arial"/>
                <w:sz w:val="18"/>
                <w:szCs w:val="18"/>
                <w:color w:val="0000FF"/>
                <w:w w:val="93"/>
              </w:rPr>
            </w:pPr>
            <w:hyperlink r:id="rId90">
              <w:r>
                <w:rPr>
                  <w:rFonts w:ascii="Arial" w:cs="Arial" w:eastAsia="Arial" w:hAnsi="Arial"/>
                  <w:sz w:val="18"/>
                  <w:szCs w:val="18"/>
                  <w:color w:val="0000FF"/>
                  <w:w w:val="93"/>
                </w:rPr>
                <w:t>Certificate of Amendment of Certificate of Incorporation of the</w:t>
              </w:r>
            </w:hyperlink>
          </w:p>
        </w:tc>
      </w:tr>
      <w:tr>
        <w:trPr>
          <w:trHeight w:val="20"/>
        </w:trPr>
        <w:tc>
          <w:tcPr>
            <w:tcW w:w="90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gridSpan w:val="9"/>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registrant</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3.5</w:t>
            </w:r>
          </w:p>
        </w:tc>
        <w:tc>
          <w:tcPr>
            <w:tcW w:w="4580" w:type="dxa"/>
            <w:vAlign w:val="bottom"/>
            <w:gridSpan w:val="9"/>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Certificate of Amendment of Certificate of Incorporation of the</w:t>
              </w:r>
            </w:hyperlink>
          </w:p>
        </w:tc>
      </w:tr>
      <w:tr>
        <w:trPr>
          <w:trHeight w:val="20"/>
        </w:trPr>
        <w:tc>
          <w:tcPr>
            <w:tcW w:w="90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gridSpan w:val="9"/>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registrant</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2"/>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4.1</w:t>
            </w:r>
          </w:p>
        </w:tc>
        <w:tc>
          <w:tcPr>
            <w:tcW w:w="4580" w:type="dxa"/>
            <w:vAlign w:val="bottom"/>
            <w:gridSpan w:val="9"/>
          </w:tcPr>
          <w:p>
            <w:pPr>
              <w:spacing w:after="0"/>
              <w:rPr>
                <w:rFonts w:ascii="Arial" w:cs="Arial" w:eastAsia="Arial" w:hAnsi="Arial"/>
                <w:sz w:val="18"/>
                <w:szCs w:val="18"/>
                <w:color w:val="0000FF"/>
              </w:rPr>
            </w:pPr>
            <w:hyperlink r:id="rId92">
              <w:r>
                <w:rPr>
                  <w:rFonts w:ascii="Arial" w:cs="Arial" w:eastAsia="Arial" w:hAnsi="Arial"/>
                  <w:sz w:val="18"/>
                  <w:szCs w:val="18"/>
                  <w:color w:val="0000FF"/>
                </w:rPr>
                <w:t>Form of Common Stock Certificate</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4.2</w:t>
            </w:r>
          </w:p>
        </w:tc>
        <w:tc>
          <w:tcPr>
            <w:tcW w:w="4580" w:type="dxa"/>
            <w:vAlign w:val="bottom"/>
            <w:gridSpan w:val="9"/>
          </w:tcPr>
          <w:p>
            <w:pPr>
              <w:spacing w:after="0"/>
              <w:rPr>
                <w:rFonts w:ascii="Arial" w:cs="Arial" w:eastAsia="Arial" w:hAnsi="Arial"/>
                <w:sz w:val="18"/>
                <w:szCs w:val="18"/>
                <w:color w:val="0000FF"/>
              </w:rPr>
            </w:pPr>
            <w:hyperlink r:id="rId93">
              <w:r>
                <w:rPr>
                  <w:rFonts w:ascii="Arial" w:cs="Arial" w:eastAsia="Arial" w:hAnsi="Arial"/>
                  <w:sz w:val="18"/>
                  <w:szCs w:val="18"/>
                  <w:color w:val="0000FF"/>
                </w:rPr>
                <w:t>Description of Registrant’s Securities</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2"/>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4.3</w:t>
            </w:r>
          </w:p>
        </w:tc>
        <w:tc>
          <w:tcPr>
            <w:tcW w:w="4580" w:type="dxa"/>
            <w:vAlign w:val="bottom"/>
            <w:gridSpan w:val="9"/>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Indenture, dated as of March 11, 2021, by and among the</w:t>
              </w:r>
            </w:hyperlink>
          </w:p>
        </w:tc>
      </w:tr>
      <w:tr>
        <w:trPr>
          <w:trHeight w:val="20"/>
        </w:trPr>
        <w:tc>
          <w:tcPr>
            <w:tcW w:w="90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gridSpan w:val="9"/>
          </w:tcPr>
          <w:p>
            <w:pPr>
              <w:spacing w:after="0" w:line="19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Company, the guarantors named therein and Wells Fargo Bank,</w:t>
              </w:r>
            </w:hyperlink>
          </w:p>
        </w:tc>
      </w:tr>
      <w:tr>
        <w:trPr>
          <w:trHeight w:val="20"/>
        </w:trPr>
        <w:tc>
          <w:tcPr>
            <w:tcW w:w="90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gridSpan w:val="9"/>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National Association, as trustee</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480" w:val="left"/>
        </w:tabs>
        <w:rPr>
          <w:sz w:val="20"/>
          <w:szCs w:val="20"/>
          <w:color w:val="auto"/>
        </w:rPr>
      </w:pPr>
      <w:r>
        <w:rPr>
          <w:rFonts w:ascii="Arial" w:cs="Arial" w:eastAsia="Arial" w:hAnsi="Arial"/>
          <w:sz w:val="18"/>
          <w:szCs w:val="18"/>
          <w:color w:val="auto"/>
        </w:rPr>
        <w:t>Quarterly Report on Form 10-Q</w:t>
      </w:r>
      <w:r>
        <w:rPr>
          <w:sz w:val="20"/>
          <w:szCs w:val="20"/>
          <w:color w:val="auto"/>
        </w:rPr>
        <w:tab/>
      </w:r>
      <w:r>
        <w:rPr>
          <w:rFonts w:ascii="Arial" w:cs="Arial" w:eastAsia="Arial" w:hAnsi="Arial"/>
          <w:sz w:val="16"/>
          <w:szCs w:val="16"/>
          <w:color w:val="auto"/>
        </w:rPr>
        <w:t>February 21, 2002</w:t>
      </w:r>
    </w:p>
    <w:p>
      <w:pPr>
        <w:spacing w:after="0" w:line="185"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Registration Statement on Form 8-A</w:t>
      </w:r>
      <w:r>
        <w:rPr>
          <w:sz w:val="20"/>
          <w:szCs w:val="20"/>
          <w:color w:val="auto"/>
        </w:rPr>
        <w:tab/>
      </w:r>
      <w:r>
        <w:rPr>
          <w:rFonts w:ascii="Arial" w:cs="Arial" w:eastAsia="Arial" w:hAnsi="Arial"/>
          <w:sz w:val="16"/>
          <w:szCs w:val="16"/>
          <w:color w:val="auto"/>
        </w:rPr>
        <w:t>August 16, 2002</w:t>
      </w:r>
    </w:p>
    <w:p>
      <w:pPr>
        <w:spacing w:after="0" w:line="200" w:lineRule="exact"/>
        <w:rPr>
          <w:sz w:val="20"/>
          <w:szCs w:val="20"/>
          <w:color w:val="auto"/>
        </w:rPr>
      </w:pPr>
    </w:p>
    <w:p>
      <w:pPr>
        <w:spacing w:after="0" w:line="201"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August 2,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December 7, 2004</w:t>
      </w:r>
    </w:p>
    <w:p>
      <w:pPr>
        <w:spacing w:after="0" w:line="200" w:lineRule="exact"/>
        <w:rPr>
          <w:sz w:val="20"/>
          <w:szCs w:val="20"/>
          <w:color w:val="auto"/>
        </w:rPr>
      </w:pPr>
    </w:p>
    <w:p>
      <w:pPr>
        <w:spacing w:after="0" w:line="201"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October 22,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Annual Report on Form 10-K</w:t>
      </w:r>
      <w:r>
        <w:rPr>
          <w:sz w:val="20"/>
          <w:szCs w:val="20"/>
          <w:color w:val="auto"/>
        </w:rPr>
        <w:tab/>
      </w:r>
      <w:r>
        <w:rPr>
          <w:rFonts w:ascii="Arial" w:cs="Arial" w:eastAsia="Arial" w:hAnsi="Arial"/>
          <w:sz w:val="15"/>
          <w:szCs w:val="15"/>
          <w:color w:val="auto"/>
        </w:rPr>
        <w:t>September 12, 2002</w:t>
      </w:r>
    </w:p>
    <w:p>
      <w:pPr>
        <w:spacing w:after="0" w:line="185"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Annual Report on Form 10-K</w:t>
      </w:r>
      <w:r>
        <w:rPr>
          <w:sz w:val="20"/>
          <w:szCs w:val="20"/>
          <w:color w:val="auto"/>
        </w:rPr>
        <w:tab/>
      </w:r>
      <w:r>
        <w:rPr>
          <w:rFonts w:ascii="Arial" w:cs="Arial" w:eastAsia="Arial" w:hAnsi="Arial"/>
          <w:sz w:val="16"/>
          <w:szCs w:val="16"/>
          <w:color w:val="auto"/>
        </w:rPr>
        <w:t>August 23, 2019</w:t>
      </w:r>
    </w:p>
    <w:p>
      <w:pPr>
        <w:spacing w:after="0" w:line="185"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March 11, 2021</w:t>
      </w:r>
    </w:p>
    <w:p>
      <w:pPr>
        <w:spacing w:after="0" w:line="599" w:lineRule="exact"/>
        <w:rPr>
          <w:sz w:val="20"/>
          <w:szCs w:val="20"/>
          <w:color w:val="auto"/>
        </w:rPr>
      </w:pPr>
    </w:p>
    <w:p>
      <w:pPr>
        <w:sectPr>
          <w:pgSz w:w="11900" w:h="16838" w:orient="portrait"/>
          <w:cols w:equalWidth="0" w:num="2">
            <w:col w:w="5600" w:space="200"/>
            <w:col w:w="544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590"/>
              <w:spacing w:after="0"/>
              <w:rPr>
                <w:sz w:val="20"/>
                <w:szCs w:val="20"/>
                <w:color w:val="auto"/>
              </w:rPr>
            </w:pPr>
            <w:r>
              <w:rPr>
                <w:rFonts w:ascii="Arial" w:cs="Arial" w:eastAsia="Arial" w:hAnsi="Arial"/>
                <w:sz w:val="18"/>
                <w:szCs w:val="18"/>
                <w:color w:val="auto"/>
              </w:rPr>
              <w:t>4.6</w:t>
            </w:r>
          </w:p>
        </w:tc>
        <w:tc>
          <w:tcPr>
            <w:tcW w:w="4740" w:type="dxa"/>
            <w:vAlign w:val="bottom"/>
            <w:gridSpan w:val="11"/>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Form of 4.000% Senior Notes due 2029 (included in Exhibit</w:t>
              </w:r>
            </w:hyperlink>
          </w:p>
        </w:tc>
        <w:tc>
          <w:tcPr>
            <w:tcW w:w="28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FF"/>
                <w:w w:val="77"/>
              </w:rPr>
            </w:pPr>
            <w:hyperlink r:id="rId94">
              <w:r>
                <w:rPr>
                  <w:rFonts w:ascii="Arial" w:cs="Arial" w:eastAsia="Arial" w:hAnsi="Arial"/>
                  <w:sz w:val="18"/>
                  <w:szCs w:val="18"/>
                  <w:color w:val="0000FF"/>
                  <w:w w:val="77"/>
                </w:rPr>
                <w:t>4.</w:t>
              </w:r>
              <w:r>
                <w:rPr>
                  <w:rFonts w:ascii="Arial" w:cs="Arial" w:eastAsia="Arial" w:hAnsi="Arial"/>
                  <w:sz w:val="18"/>
                  <w:szCs w:val="18"/>
                  <w:u w:val="single" w:color="auto"/>
                  <w:color w:val="0000FF"/>
                  <w:w w:val="77"/>
                </w:rPr>
                <w:t>3)</w:t>
              </w:r>
              <w:r>
                <w:rPr>
                  <w:rFonts w:ascii="Arial" w:cs="Arial" w:eastAsia="Arial" w:hAnsi="Arial"/>
                  <w:sz w:val="18"/>
                  <w:szCs w:val="18"/>
                  <w:color w:val="0000FF"/>
                  <w:w w:val="77"/>
                </w:rPr>
                <w:t>.</w:t>
              </w:r>
            </w:hyperlink>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72"/>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1"/>
              </w:rPr>
              <w:t>10.1(a)</w:t>
            </w:r>
          </w:p>
        </w:tc>
        <w:tc>
          <w:tcPr>
            <w:tcW w:w="4740" w:type="dxa"/>
            <w:vAlign w:val="bottom"/>
            <w:gridSpan w:val="11"/>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Second Amended and Restated Credit Agreement, dated March</w:t>
              </w:r>
            </w:hyperlink>
          </w:p>
        </w:tc>
        <w:tc>
          <w:tcPr>
            <w:tcW w:w="282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2660" w:type="dxa"/>
            <w:vAlign w:val="bottom"/>
          </w:tcPr>
          <w:p>
            <w:pPr>
              <w:ind w:left="720"/>
              <w:spacing w:after="0"/>
              <w:rPr>
                <w:sz w:val="20"/>
                <w:szCs w:val="20"/>
                <w:color w:val="auto"/>
              </w:rPr>
            </w:pPr>
            <w:r>
              <w:rPr>
                <w:rFonts w:ascii="Arial" w:cs="Arial" w:eastAsia="Arial" w:hAnsi="Arial"/>
                <w:sz w:val="18"/>
                <w:szCs w:val="18"/>
                <w:color w:val="auto"/>
              </w:rPr>
              <w:t>March 11, 2021</w:t>
            </w: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w w:val="95"/>
              </w:rPr>
            </w:pPr>
            <w:hyperlink r:id="rId95">
              <w:r>
                <w:rPr>
                  <w:rFonts w:ascii="Arial" w:cs="Arial" w:eastAsia="Arial" w:hAnsi="Arial"/>
                  <w:sz w:val="18"/>
                  <w:szCs w:val="18"/>
                  <w:color w:val="0000FF"/>
                  <w:w w:val="95"/>
                </w:rPr>
                <w:t>11, 2021, by and among Synaptics Incorporated, as borrower,</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w w:val="96"/>
              </w:rPr>
            </w:pPr>
            <w:hyperlink r:id="rId95">
              <w:r>
                <w:rPr>
                  <w:rFonts w:ascii="Arial" w:cs="Arial" w:eastAsia="Arial" w:hAnsi="Arial"/>
                  <w:sz w:val="18"/>
                  <w:szCs w:val="18"/>
                  <w:color w:val="0000FF"/>
                  <w:w w:val="96"/>
                </w:rPr>
                <w:t>the lenders from time to time party thereto, Wells Fargo Bank,</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National Association, as administrative agent, swingline lender</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w w:val="97"/>
              </w:rPr>
            </w:pPr>
            <w:hyperlink r:id="rId95">
              <w:r>
                <w:rPr>
                  <w:rFonts w:ascii="Arial" w:cs="Arial" w:eastAsia="Arial" w:hAnsi="Arial"/>
                  <w:sz w:val="18"/>
                  <w:szCs w:val="18"/>
                  <w:color w:val="0000FF"/>
                  <w:w w:val="97"/>
                </w:rPr>
                <w:t>and issuing lender, Wells Fargo Securities, LLC, as joint lead</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arranger and joint bookrunner, MUFG Union Bank, N.A. and</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BMO Capital Markets Corp., as joint lead arrangers, joint</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bookrunners and co-syndication agents</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72"/>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1"/>
              </w:rPr>
              <w:t>10.1(b)</w:t>
            </w:r>
          </w:p>
        </w:tc>
        <w:tc>
          <w:tcPr>
            <w:tcW w:w="4740" w:type="dxa"/>
            <w:vAlign w:val="bottom"/>
            <w:gridSpan w:val="11"/>
          </w:tcPr>
          <w:p>
            <w:pPr>
              <w:spacing w:after="0"/>
              <w:rPr>
                <w:rFonts w:ascii="Arial" w:cs="Arial" w:eastAsia="Arial" w:hAnsi="Arial"/>
                <w:sz w:val="18"/>
                <w:szCs w:val="18"/>
                <w:color w:val="0000FF"/>
                <w:w w:val="96"/>
              </w:rPr>
            </w:pPr>
            <w:hyperlink r:id="rId96">
              <w:r>
                <w:rPr>
                  <w:rFonts w:ascii="Arial" w:cs="Arial" w:eastAsia="Arial" w:hAnsi="Arial"/>
                  <w:sz w:val="18"/>
                  <w:szCs w:val="18"/>
                  <w:color w:val="0000FF"/>
                  <w:w w:val="96"/>
                </w:rPr>
                <w:t>First Amendment and Lender Joinder Agreement, dated as of</w:t>
              </w:r>
            </w:hyperlink>
          </w:p>
        </w:tc>
        <w:tc>
          <w:tcPr>
            <w:tcW w:w="282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2660" w:type="dxa"/>
            <w:vAlign w:val="bottom"/>
          </w:tcPr>
          <w:p>
            <w:pPr>
              <w:ind w:left="720"/>
              <w:spacing w:after="0"/>
              <w:rPr>
                <w:sz w:val="20"/>
                <w:szCs w:val="20"/>
                <w:color w:val="auto"/>
              </w:rPr>
            </w:pPr>
            <w:r>
              <w:rPr>
                <w:rFonts w:ascii="Arial" w:cs="Arial" w:eastAsia="Arial" w:hAnsi="Arial"/>
                <w:sz w:val="18"/>
                <w:szCs w:val="18"/>
                <w:color w:val="auto"/>
              </w:rPr>
              <w:t>December 2, 2021</w:t>
            </w: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December 2, 2021, by and among Synaptics Incorporated, the</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Lenders party thereto, and Wells Fargo Bank, National</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11"/>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Association, as Administrative Agent</w:t>
              </w:r>
            </w:hyperlink>
          </w:p>
        </w:tc>
        <w:tc>
          <w:tcPr>
            <w:tcW w:w="2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614"/>
        </w:trPr>
        <w:tc>
          <w:tcPr>
            <w:tcW w:w="1020" w:type="dxa"/>
            <w:vAlign w:val="bottom"/>
          </w:tcPr>
          <w:p>
            <w:pPr>
              <w:spacing w:after="0"/>
              <w:rPr>
                <w:sz w:val="24"/>
                <w:szCs w:val="24"/>
                <w:color w:val="auto"/>
              </w:rPr>
            </w:pPr>
          </w:p>
        </w:tc>
        <w:tc>
          <w:tcPr>
            <w:tcW w:w="2680" w:type="dxa"/>
            <w:vAlign w:val="bottom"/>
            <w:tcBorders>
              <w:top w:val="single" w:sz="8" w:color="0000FF"/>
            </w:tcBorders>
            <w:gridSpan w:val="2"/>
          </w:tcPr>
          <w:p>
            <w:pPr>
              <w:spacing w:after="0"/>
              <w:rPr>
                <w:sz w:val="24"/>
                <w:szCs w:val="24"/>
                <w:color w:val="auto"/>
              </w:rPr>
            </w:pPr>
          </w:p>
        </w:tc>
        <w:tc>
          <w:tcPr>
            <w:tcW w:w="2060" w:type="dxa"/>
            <w:vAlign w:val="bottom"/>
            <w:gridSpan w:val="9"/>
          </w:tcPr>
          <w:p>
            <w:pPr>
              <w:jc w:val="right"/>
              <w:ind w:right="40"/>
              <w:spacing w:after="0"/>
              <w:rPr>
                <w:sz w:val="20"/>
                <w:szCs w:val="20"/>
                <w:color w:val="auto"/>
              </w:rPr>
            </w:pPr>
            <w:r>
              <w:rPr>
                <w:rFonts w:ascii="Arial" w:cs="Arial" w:eastAsia="Arial" w:hAnsi="Arial"/>
                <w:sz w:val="18"/>
                <w:szCs w:val="18"/>
                <w:color w:val="auto"/>
              </w:rPr>
              <w:t>47</w:t>
            </w:r>
          </w:p>
        </w:tc>
        <w:tc>
          <w:tcPr>
            <w:tcW w:w="28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10.1(c)</w:t>
            </w:r>
          </w:p>
        </w:tc>
        <w:tc>
          <w:tcPr>
            <w:tcW w:w="4740" w:type="dxa"/>
            <w:vAlign w:val="bottom"/>
            <w:gridSpan w:val="19"/>
          </w:tcPr>
          <w:p>
            <w:pPr>
              <w:spacing w:after="0"/>
              <w:rPr>
                <w:rFonts w:ascii="Arial" w:cs="Arial" w:eastAsia="Arial" w:hAnsi="Arial"/>
                <w:sz w:val="18"/>
                <w:szCs w:val="18"/>
                <w:color w:val="0000FF"/>
              </w:rPr>
            </w:pPr>
            <w:hyperlink r:id="rId99">
              <w:r>
                <w:rPr>
                  <w:rFonts w:ascii="Arial" w:cs="Arial" w:eastAsia="Arial" w:hAnsi="Arial"/>
                  <w:sz w:val="18"/>
                  <w:szCs w:val="18"/>
                  <w:color w:val="0000FF"/>
                </w:rPr>
                <w:t>Second Amendment, dated as of March 16, 2023, by and</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among Synaptics Incorporated, the Lenders party thereto, and</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Wells Fargo Bank, National Association, as Administrative</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Agent</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10.1(d)</w:t>
            </w:r>
          </w:p>
        </w:tc>
        <w:tc>
          <w:tcPr>
            <w:tcW w:w="4740" w:type="dxa"/>
            <w:vAlign w:val="bottom"/>
            <w:gridSpan w:val="19"/>
          </w:tcPr>
          <w:p>
            <w:pPr>
              <w:spacing w:after="0"/>
              <w:rPr>
                <w:rFonts w:ascii="Arial" w:cs="Arial" w:eastAsia="Arial" w:hAnsi="Arial"/>
                <w:sz w:val="18"/>
                <w:szCs w:val="18"/>
                <w:color w:val="0000FF"/>
                <w:w w:val="98"/>
              </w:rPr>
            </w:pPr>
            <w:hyperlink r:id="rId100">
              <w:r>
                <w:rPr>
                  <w:rFonts w:ascii="Arial" w:cs="Arial" w:eastAsia="Arial" w:hAnsi="Arial"/>
                  <w:sz w:val="18"/>
                  <w:szCs w:val="18"/>
                  <w:color w:val="0000FF"/>
                  <w:w w:val="98"/>
                </w:rPr>
                <w:t>Third Amendment, dated as of July 28, 2023, by and among</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Synaptics Incorporated, the Revolving Credit Lenders party</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thereto, and Wells Fargo Bank, National Association, as</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Administrative Agent</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10.2(a)*</w:t>
            </w:r>
          </w:p>
        </w:tc>
        <w:tc>
          <w:tcPr>
            <w:tcW w:w="4740" w:type="dxa"/>
            <w:vAlign w:val="bottom"/>
            <w:gridSpan w:val="19"/>
          </w:tcPr>
          <w:p>
            <w:pPr>
              <w:spacing w:after="0"/>
              <w:rPr>
                <w:rFonts w:ascii="Arial" w:cs="Arial" w:eastAsia="Arial" w:hAnsi="Arial"/>
                <w:sz w:val="18"/>
                <w:szCs w:val="18"/>
                <w:color w:val="0000FF"/>
              </w:rPr>
            </w:pPr>
            <w:hyperlink r:id="rId101">
              <w:r>
                <w:rPr>
                  <w:rFonts w:ascii="Arial" w:cs="Arial" w:eastAsia="Arial" w:hAnsi="Arial"/>
                  <w:sz w:val="18"/>
                  <w:szCs w:val="18"/>
                  <w:color w:val="0000FF"/>
                </w:rPr>
                <w:t>Synaptics Incorporated 2019 Inducement Equity Plan</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10.2(b)*</w:t>
            </w:r>
          </w:p>
        </w:tc>
        <w:tc>
          <w:tcPr>
            <w:tcW w:w="4740" w:type="dxa"/>
            <w:vAlign w:val="bottom"/>
            <w:gridSpan w:val="19"/>
          </w:tcPr>
          <w:p>
            <w:pPr>
              <w:spacing w:after="0"/>
              <w:rPr>
                <w:rFonts w:ascii="Arial" w:cs="Arial" w:eastAsia="Arial" w:hAnsi="Arial"/>
                <w:sz w:val="18"/>
                <w:szCs w:val="18"/>
                <w:color w:val="0000FF"/>
                <w:w w:val="97"/>
              </w:rPr>
            </w:pPr>
            <w:hyperlink r:id="rId102">
              <w:r>
                <w:rPr>
                  <w:rFonts w:ascii="Arial" w:cs="Arial" w:eastAsia="Arial" w:hAnsi="Arial"/>
                  <w:sz w:val="18"/>
                  <w:szCs w:val="18"/>
                  <w:color w:val="0000FF"/>
                  <w:w w:val="97"/>
                </w:rPr>
                <w:t>Form of Restricted Stock Unit Inducement Award Agreement</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for 2019 Inducement Equity 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10.2(c)*</w:t>
            </w:r>
          </w:p>
        </w:tc>
        <w:tc>
          <w:tcPr>
            <w:tcW w:w="4740" w:type="dxa"/>
            <w:vAlign w:val="bottom"/>
            <w:gridSpan w:val="19"/>
          </w:tcPr>
          <w:p>
            <w:pPr>
              <w:spacing w:after="0"/>
              <w:rPr>
                <w:rFonts w:ascii="Arial" w:cs="Arial" w:eastAsia="Arial" w:hAnsi="Arial"/>
                <w:sz w:val="18"/>
                <w:szCs w:val="18"/>
                <w:color w:val="0000FF"/>
                <w:w w:val="97"/>
              </w:rPr>
            </w:pPr>
            <w:hyperlink r:id="rId103">
              <w:r>
                <w:rPr>
                  <w:rFonts w:ascii="Arial" w:cs="Arial" w:eastAsia="Arial" w:hAnsi="Arial"/>
                  <w:sz w:val="18"/>
                  <w:szCs w:val="18"/>
                  <w:color w:val="0000FF"/>
                  <w:w w:val="97"/>
                </w:rPr>
                <w:t>Form of Market Stock Unit Inducement Award Agreement for</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2019 Inducement Equity 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10.2(d)*</w:t>
            </w:r>
          </w:p>
        </w:tc>
        <w:tc>
          <w:tcPr>
            <w:tcW w:w="4740" w:type="dxa"/>
            <w:vAlign w:val="bottom"/>
            <w:gridSpan w:val="19"/>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Form of Performance Stock Unit Inducement Award Agreement</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for 2019 Inducement Equity 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10.3(a)*</w:t>
            </w:r>
          </w:p>
        </w:tc>
        <w:tc>
          <w:tcPr>
            <w:tcW w:w="4740" w:type="dxa"/>
            <w:vAlign w:val="bottom"/>
            <w:gridSpan w:val="19"/>
          </w:tcPr>
          <w:p>
            <w:pPr>
              <w:spacing w:after="0"/>
              <w:rPr>
                <w:rFonts w:ascii="Arial" w:cs="Arial" w:eastAsia="Arial" w:hAnsi="Arial"/>
                <w:sz w:val="18"/>
                <w:szCs w:val="18"/>
                <w:color w:val="0000FF"/>
              </w:rPr>
            </w:pPr>
            <w:hyperlink r:id="rId105">
              <w:r>
                <w:rPr>
                  <w:rFonts w:ascii="Arial" w:cs="Arial" w:eastAsia="Arial" w:hAnsi="Arial"/>
                  <w:sz w:val="18"/>
                  <w:szCs w:val="18"/>
                  <w:color w:val="0000FF"/>
                </w:rPr>
                <w:t>2019 Equity and Incentive Compensation Plan</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10.3(b)*</w:t>
            </w:r>
          </w:p>
        </w:tc>
        <w:tc>
          <w:tcPr>
            <w:tcW w:w="4740" w:type="dxa"/>
            <w:vAlign w:val="bottom"/>
            <w:gridSpan w:val="19"/>
          </w:tcPr>
          <w:p>
            <w:pPr>
              <w:spacing w:after="0"/>
              <w:rPr>
                <w:rFonts w:ascii="Arial" w:cs="Arial" w:eastAsia="Arial" w:hAnsi="Arial"/>
                <w:sz w:val="18"/>
                <w:szCs w:val="18"/>
                <w:color w:val="0000FF"/>
              </w:rPr>
            </w:pPr>
            <w:hyperlink r:id="rId106">
              <w:r>
                <w:rPr>
                  <w:rFonts w:ascii="Arial" w:cs="Arial" w:eastAsia="Arial" w:hAnsi="Arial"/>
                  <w:sz w:val="18"/>
                  <w:szCs w:val="18"/>
                  <w:color w:val="0000FF"/>
                </w:rPr>
                <w:t>Amended and Restated 2019 Equity and Incentive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Compensation 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10.3(c)*</w:t>
            </w:r>
          </w:p>
        </w:tc>
        <w:tc>
          <w:tcPr>
            <w:tcW w:w="4740" w:type="dxa"/>
            <w:vAlign w:val="bottom"/>
            <w:gridSpan w:val="19"/>
          </w:tcPr>
          <w:p>
            <w:pPr>
              <w:spacing w:after="0"/>
              <w:rPr>
                <w:rFonts w:ascii="Arial" w:cs="Arial" w:eastAsia="Arial" w:hAnsi="Arial"/>
                <w:sz w:val="18"/>
                <w:szCs w:val="18"/>
                <w:color w:val="0000FF"/>
              </w:rPr>
            </w:pPr>
            <w:hyperlink r:id="rId107">
              <w:r>
                <w:rPr>
                  <w:rFonts w:ascii="Arial" w:cs="Arial" w:eastAsia="Arial" w:hAnsi="Arial"/>
                  <w:sz w:val="18"/>
                  <w:szCs w:val="18"/>
                  <w:color w:val="0000FF"/>
                </w:rPr>
                <w:t>Amended and Restated 2019 Equity and Incentive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Compensation 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10.3(d)*</w:t>
            </w:r>
          </w:p>
        </w:tc>
        <w:tc>
          <w:tcPr>
            <w:tcW w:w="4740" w:type="dxa"/>
            <w:vAlign w:val="bottom"/>
            <w:gridSpan w:val="19"/>
          </w:tcPr>
          <w:p>
            <w:pPr>
              <w:spacing w:after="0"/>
              <w:rPr>
                <w:rFonts w:ascii="Arial" w:cs="Arial" w:eastAsia="Arial" w:hAnsi="Arial"/>
                <w:sz w:val="18"/>
                <w:szCs w:val="18"/>
                <w:color w:val="0000FF"/>
                <w:w w:val="96"/>
              </w:rPr>
            </w:pPr>
            <w:hyperlink r:id="rId108">
              <w:r>
                <w:rPr>
                  <w:rFonts w:ascii="Arial" w:cs="Arial" w:eastAsia="Arial" w:hAnsi="Arial"/>
                  <w:sz w:val="18"/>
                  <w:szCs w:val="18"/>
                  <w:color w:val="0000FF"/>
                  <w:w w:val="96"/>
                </w:rPr>
                <w:t>Amended and Restated 2019 Equity Incentive Compensation</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20"/>
        </w:trPr>
        <w:tc>
          <w:tcPr>
            <w:tcW w:w="10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Arial" w:cs="Arial" w:eastAsia="Arial" w:hAnsi="Arial"/>
                <w:sz w:val="18"/>
                <w:szCs w:val="18"/>
                <w:color w:val="auto"/>
              </w:rPr>
              <w:t>10.3(e)*</w:t>
            </w:r>
          </w:p>
        </w:tc>
        <w:tc>
          <w:tcPr>
            <w:tcW w:w="4740" w:type="dxa"/>
            <w:vAlign w:val="bottom"/>
            <w:gridSpan w:val="19"/>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Restricted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2019 Equity and Incentive Compensation Plan (for awards</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granted before July 27, 2021)</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10.3(f)*</w:t>
            </w:r>
          </w:p>
        </w:tc>
        <w:tc>
          <w:tcPr>
            <w:tcW w:w="4740" w:type="dxa"/>
            <w:vAlign w:val="bottom"/>
            <w:gridSpan w:val="19"/>
          </w:tcPr>
          <w:p>
            <w:pPr>
              <w:spacing w:after="0"/>
              <w:rPr>
                <w:rFonts w:ascii="Arial" w:cs="Arial" w:eastAsia="Arial" w:hAnsi="Arial"/>
                <w:sz w:val="18"/>
                <w:szCs w:val="18"/>
                <w:color w:val="0000FF"/>
                <w:w w:val="96"/>
              </w:rPr>
            </w:pPr>
            <w:hyperlink r:id="rId110">
              <w:r>
                <w:rPr>
                  <w:rFonts w:ascii="Arial" w:cs="Arial" w:eastAsia="Arial" w:hAnsi="Arial"/>
                  <w:sz w:val="18"/>
                  <w:szCs w:val="18"/>
                  <w:color w:val="0000FF"/>
                  <w:w w:val="96"/>
                </w:rPr>
                <w:t>Form of Performance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80" w:type="dxa"/>
            <w:vAlign w:val="bottom"/>
            <w:gridSpan w:val="8"/>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2019 Equity and Incentive Compensation Plan (for awards</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granted before July 27, 2021)</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10.3(g)*</w:t>
            </w:r>
          </w:p>
        </w:tc>
        <w:tc>
          <w:tcPr>
            <w:tcW w:w="4740" w:type="dxa"/>
            <w:vAlign w:val="bottom"/>
            <w:gridSpan w:val="19"/>
          </w:tcPr>
          <w:p>
            <w:pPr>
              <w:spacing w:after="0"/>
              <w:rPr>
                <w:rFonts w:ascii="Arial" w:cs="Arial" w:eastAsia="Arial" w:hAnsi="Arial"/>
                <w:sz w:val="18"/>
                <w:szCs w:val="18"/>
                <w:color w:val="0000FF"/>
                <w:w w:val="97"/>
              </w:rPr>
            </w:pPr>
            <w:hyperlink r:id="rId111">
              <w:r>
                <w:rPr>
                  <w:rFonts w:ascii="Arial" w:cs="Arial" w:eastAsia="Arial" w:hAnsi="Arial"/>
                  <w:sz w:val="18"/>
                  <w:szCs w:val="18"/>
                  <w:color w:val="0000FF"/>
                  <w:w w:val="97"/>
                </w:rPr>
                <w:t>Form of Market Stock Unit Award Agreement under the 2019</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Equity and Incentive Compensation 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10.3(h)*</w:t>
            </w:r>
          </w:p>
        </w:tc>
        <w:tc>
          <w:tcPr>
            <w:tcW w:w="4740" w:type="dxa"/>
            <w:vAlign w:val="bottom"/>
            <w:gridSpan w:val="19"/>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Form of Restricted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20"/>
        </w:trPr>
        <w:tc>
          <w:tcPr>
            <w:tcW w:w="100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280" w:type="dxa"/>
            <w:vAlign w:val="bottom"/>
            <w:tcBorders>
              <w:left w:val="single" w:sz="8" w:color="0000FF"/>
            </w:tcBorders>
            <w:gridSpan w:val="9"/>
            <w:shd w:val="clear" w:color="auto" w:fill="0000FF"/>
          </w:tcPr>
          <w:p>
            <w:pPr>
              <w:spacing w:after="0" w:line="20" w:lineRule="exact"/>
              <w:rPr>
                <w:sz w:val="1"/>
                <w:szCs w:val="1"/>
                <w:color w:val="auto"/>
              </w:rPr>
            </w:pPr>
          </w:p>
        </w:tc>
        <w:tc>
          <w:tcPr>
            <w:tcW w:w="500" w:type="dxa"/>
            <w:vAlign w:val="bottom"/>
            <w:tcBorders>
              <w:left w:val="single" w:sz="8" w:color="0000FF"/>
            </w:tcBorders>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2019 Equity and Incentive Compensation Plan (for awards</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280" w:type="dxa"/>
            <w:vAlign w:val="bottom"/>
            <w:tcBorders>
              <w:left w:val="single" w:sz="8" w:color="0000FF"/>
            </w:tcBorders>
            <w:gridSpan w:val="9"/>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granted after July 27, 2021)</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780" w:type="dxa"/>
            <w:vAlign w:val="bottom"/>
            <w:tcBorders>
              <w:left w:val="single" w:sz="8" w:color="0000EE"/>
            </w:tcBorders>
            <w:gridSpan w:val="1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10.3(i)*</w:t>
            </w:r>
          </w:p>
        </w:tc>
        <w:tc>
          <w:tcPr>
            <w:tcW w:w="4740" w:type="dxa"/>
            <w:vAlign w:val="bottom"/>
            <w:gridSpan w:val="19"/>
          </w:tcPr>
          <w:p>
            <w:pPr>
              <w:spacing w:after="0"/>
              <w:rPr>
                <w:rFonts w:ascii="Arial" w:cs="Arial" w:eastAsia="Arial" w:hAnsi="Arial"/>
                <w:sz w:val="18"/>
                <w:szCs w:val="18"/>
                <w:color w:val="0000FF"/>
                <w:w w:val="96"/>
              </w:rPr>
            </w:pPr>
            <w:hyperlink r:id="rId112">
              <w:r>
                <w:rPr>
                  <w:rFonts w:ascii="Arial" w:cs="Arial" w:eastAsia="Arial" w:hAnsi="Arial"/>
                  <w:sz w:val="18"/>
                  <w:szCs w:val="18"/>
                  <w:color w:val="0000FF"/>
                  <w:w w:val="96"/>
                </w:rPr>
                <w:t>Form of Performance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20"/>
        </w:trPr>
        <w:tc>
          <w:tcPr>
            <w:tcW w:w="1000" w:type="dxa"/>
            <w:vAlign w:val="bottom"/>
          </w:tcPr>
          <w:p>
            <w:pPr>
              <w:spacing w:after="0" w:line="20" w:lineRule="exact"/>
              <w:rPr>
                <w:sz w:val="1"/>
                <w:szCs w:val="1"/>
                <w:color w:val="auto"/>
              </w:rPr>
            </w:pPr>
          </w:p>
        </w:tc>
        <w:tc>
          <w:tcPr>
            <w:tcW w:w="4420" w:type="dxa"/>
            <w:vAlign w:val="bottom"/>
            <w:gridSpan w:val="16"/>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2019 Equity and Incentive Compensation Plan (for awards</w:t>
              </w:r>
            </w:hyperlink>
          </w:p>
        </w:tc>
        <w:tc>
          <w:tcPr>
            <w:tcW w:w="26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40" w:type="dxa"/>
            <w:vAlign w:val="bottom"/>
            <w:gridSpan w:val="14"/>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granted after July 27, 2021)</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780" w:type="dxa"/>
            <w:vAlign w:val="bottom"/>
            <w:gridSpan w:val="1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10.3(j)*</w:t>
            </w:r>
          </w:p>
        </w:tc>
        <w:tc>
          <w:tcPr>
            <w:tcW w:w="4740" w:type="dxa"/>
            <w:vAlign w:val="bottom"/>
            <w:gridSpan w:val="19"/>
          </w:tcPr>
          <w:p>
            <w:pPr>
              <w:spacing w:after="0"/>
              <w:rPr>
                <w:rFonts w:ascii="Arial" w:cs="Arial" w:eastAsia="Arial" w:hAnsi="Arial"/>
                <w:sz w:val="18"/>
                <w:szCs w:val="18"/>
                <w:color w:val="0000FF"/>
                <w:w w:val="97"/>
              </w:rPr>
            </w:pPr>
            <w:hyperlink r:id="rId113">
              <w:r>
                <w:rPr>
                  <w:rFonts w:ascii="Arial" w:cs="Arial" w:eastAsia="Arial" w:hAnsi="Arial"/>
                  <w:sz w:val="18"/>
                  <w:szCs w:val="18"/>
                  <w:color w:val="0000FF"/>
                  <w:w w:val="97"/>
                </w:rPr>
                <w:t>Form of Market Stock Unit Award Agreement under the 2019</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20"/>
        </w:trPr>
        <w:tc>
          <w:tcPr>
            <w:tcW w:w="1000" w:type="dxa"/>
            <w:vAlign w:val="bottom"/>
          </w:tcPr>
          <w:p>
            <w:pPr>
              <w:spacing w:after="0" w:line="20" w:lineRule="exact"/>
              <w:rPr>
                <w:sz w:val="1"/>
                <w:szCs w:val="1"/>
                <w:color w:val="auto"/>
              </w:rPr>
            </w:pPr>
          </w:p>
        </w:tc>
        <w:tc>
          <w:tcPr>
            <w:tcW w:w="4480" w:type="dxa"/>
            <w:vAlign w:val="bottom"/>
            <w:gridSpan w:val="1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Equity and Incentive Compensation Plan</w:t>
              </w:r>
            </w:hyperlink>
          </w:p>
        </w:tc>
        <w:tc>
          <w:tcPr>
            <w:tcW w:w="264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gridSpan w:val="8"/>
            <w:shd w:val="clear" w:color="auto" w:fill="0000FF"/>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10.3(k)*</w:t>
            </w:r>
          </w:p>
        </w:tc>
        <w:tc>
          <w:tcPr>
            <w:tcW w:w="4740" w:type="dxa"/>
            <w:vAlign w:val="bottom"/>
            <w:gridSpan w:val="19"/>
          </w:tcPr>
          <w:p>
            <w:pPr>
              <w:spacing w:after="0"/>
              <w:rPr>
                <w:rFonts w:ascii="Arial" w:cs="Arial" w:eastAsia="Arial" w:hAnsi="Arial"/>
                <w:sz w:val="18"/>
                <w:szCs w:val="18"/>
                <w:color w:val="0000FF"/>
                <w:w w:val="96"/>
              </w:rPr>
            </w:pPr>
            <w:hyperlink r:id="rId114">
              <w:r>
                <w:rPr>
                  <w:rFonts w:ascii="Arial" w:cs="Arial" w:eastAsia="Arial" w:hAnsi="Arial"/>
                  <w:sz w:val="18"/>
                  <w:szCs w:val="18"/>
                  <w:color w:val="0000FF"/>
                  <w:w w:val="96"/>
                </w:rPr>
                <w:t>Form of Performance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20"/>
        </w:trPr>
        <w:tc>
          <w:tcPr>
            <w:tcW w:w="1000" w:type="dxa"/>
            <w:vAlign w:val="bottom"/>
          </w:tcPr>
          <w:p>
            <w:pPr>
              <w:spacing w:after="0" w:line="20" w:lineRule="exact"/>
              <w:rPr>
                <w:sz w:val="1"/>
                <w:szCs w:val="1"/>
                <w:color w:val="auto"/>
              </w:rPr>
            </w:pPr>
          </w:p>
        </w:tc>
        <w:tc>
          <w:tcPr>
            <w:tcW w:w="4420" w:type="dxa"/>
            <w:vAlign w:val="bottom"/>
            <w:gridSpan w:val="16"/>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740" w:type="dxa"/>
            <w:vAlign w:val="bottom"/>
            <w:gridSpan w:val="19"/>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2019 Equity and Incentive Compensation Plan</w:t>
              </w:r>
            </w:hyperlink>
          </w:p>
        </w:tc>
        <w:tc>
          <w:tcPr>
            <w:tcW w:w="2640" w:type="dxa"/>
            <w:vAlign w:val="bottom"/>
          </w:tcPr>
          <w:p>
            <w:pPr>
              <w:spacing w:after="0"/>
              <w:rPr>
                <w:sz w:val="17"/>
                <w:szCs w:val="17"/>
                <w:color w:val="auto"/>
              </w:rPr>
            </w:pPr>
          </w:p>
        </w:tc>
      </w:tr>
      <w:tr>
        <w:trPr>
          <w:trHeight w:val="614"/>
        </w:trPr>
        <w:tc>
          <w:tcPr>
            <w:tcW w:w="1000" w:type="dxa"/>
            <w:vAlign w:val="bottom"/>
          </w:tcPr>
          <w:p>
            <w:pPr>
              <w:spacing w:after="0"/>
              <w:rPr>
                <w:sz w:val="24"/>
                <w:szCs w:val="24"/>
                <w:color w:val="auto"/>
              </w:rPr>
            </w:pPr>
          </w:p>
        </w:tc>
        <w:tc>
          <w:tcPr>
            <w:tcW w:w="3340" w:type="dxa"/>
            <w:vAlign w:val="bottom"/>
            <w:tcBorders>
              <w:top w:val="single" w:sz="8" w:color="0000FF"/>
            </w:tcBorders>
            <w:gridSpan w:val="9"/>
          </w:tcPr>
          <w:p>
            <w:pPr>
              <w:spacing w:after="0"/>
              <w:rPr>
                <w:sz w:val="24"/>
                <w:szCs w:val="24"/>
                <w:color w:val="auto"/>
              </w:rPr>
            </w:pPr>
          </w:p>
        </w:tc>
        <w:tc>
          <w:tcPr>
            <w:tcW w:w="1400" w:type="dxa"/>
            <w:vAlign w:val="bottom"/>
            <w:gridSpan w:val="10"/>
          </w:tcPr>
          <w:p>
            <w:pPr>
              <w:jc w:val="right"/>
              <w:ind w:right="40"/>
              <w:spacing w:after="0"/>
              <w:rPr>
                <w:sz w:val="20"/>
                <w:szCs w:val="20"/>
                <w:color w:val="auto"/>
              </w:rPr>
            </w:pPr>
            <w:r>
              <w:rPr>
                <w:rFonts w:ascii="Arial" w:cs="Arial" w:eastAsia="Arial" w:hAnsi="Arial"/>
                <w:sz w:val="18"/>
                <w:szCs w:val="18"/>
                <w:color w:val="auto"/>
              </w:rPr>
              <w:t>48</w:t>
            </w:r>
          </w:p>
        </w:tc>
        <w:tc>
          <w:tcPr>
            <w:tcW w:w="2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August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571" w:lineRule="auto"/>
        <w:rPr>
          <w:sz w:val="20"/>
          <w:szCs w:val="20"/>
          <w:color w:val="auto"/>
        </w:rPr>
      </w:pPr>
      <w:r>
        <w:rPr>
          <w:rFonts w:ascii="Arial" w:cs="Arial" w:eastAsia="Arial" w:hAnsi="Arial"/>
          <w:sz w:val="16"/>
          <w:szCs w:val="16"/>
          <w:color w:val="auto"/>
        </w:rPr>
        <w:t>August 16, 2019 August 16,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August 16,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August 16, 2019</w:t>
      </w:r>
    </w:p>
    <w:p>
      <w:pPr>
        <w:spacing w:after="0" w:line="200" w:lineRule="exact"/>
        <w:rPr>
          <w:sz w:val="20"/>
          <w:szCs w:val="20"/>
          <w:color w:val="auto"/>
        </w:rPr>
      </w:pPr>
    </w:p>
    <w:p>
      <w:pPr>
        <w:spacing w:after="0" w:line="201" w:lineRule="exact"/>
        <w:rPr>
          <w:sz w:val="20"/>
          <w:szCs w:val="20"/>
          <w:color w:val="auto"/>
        </w:rPr>
      </w:pPr>
    </w:p>
    <w:p>
      <w:pPr>
        <w:spacing w:after="0" w:line="571" w:lineRule="auto"/>
        <w:rPr>
          <w:sz w:val="20"/>
          <w:szCs w:val="20"/>
          <w:color w:val="auto"/>
        </w:rPr>
      </w:pPr>
      <w:r>
        <w:rPr>
          <w:rFonts w:ascii="Arial" w:cs="Arial" w:eastAsia="Arial" w:hAnsi="Arial"/>
          <w:sz w:val="16"/>
          <w:szCs w:val="16"/>
          <w:color w:val="auto"/>
        </w:rPr>
        <w:t>November 1, 2019 October 29, 2020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October 28, 2021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October 27, 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23,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August 23,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November 5, 2020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5, 2020</w:t>
      </w:r>
    </w:p>
    <w:p>
      <w:pPr>
        <w:sectPr>
          <w:pgSz w:w="11900" w:h="16838" w:orient="portrait"/>
          <w:cols w:equalWidth="0" w:num="2">
            <w:col w:w="8560" w:space="720"/>
            <w:col w:w="1340"/>
          </w:cols>
          <w:pgMar w:left="340" w:top="338" w:right="9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10.3(l)*</w:t>
            </w:r>
          </w:p>
        </w:tc>
        <w:tc>
          <w:tcPr>
            <w:tcW w:w="4740" w:type="dxa"/>
            <w:vAlign w:val="bottom"/>
            <w:gridSpan w:val="23"/>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Form of Market Stock Unit Award Agreement under the 2019</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2380" w:type="dxa"/>
            <w:vAlign w:val="bottom"/>
          </w:tcPr>
          <w:p>
            <w:pPr>
              <w:ind w:left="440"/>
              <w:spacing w:after="0"/>
              <w:rPr>
                <w:sz w:val="20"/>
                <w:szCs w:val="20"/>
                <w:color w:val="auto"/>
              </w:rPr>
            </w:pPr>
            <w:r>
              <w:rPr>
                <w:rFonts w:ascii="Arial" w:cs="Arial" w:eastAsia="Arial" w:hAnsi="Arial"/>
                <w:sz w:val="18"/>
                <w:szCs w:val="18"/>
                <w:color w:val="auto"/>
              </w:rPr>
              <w:t>August 22, 2022</w:t>
            </w: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Equity and Incentive Compensation Plan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4740" w:type="dxa"/>
            <w:vAlign w:val="bottom"/>
            <w:gridSpan w:val="23"/>
          </w:tcPr>
          <w:p>
            <w:pPr>
              <w:spacing w:after="0"/>
              <w:rPr>
                <w:rFonts w:ascii="Arial" w:cs="Arial" w:eastAsia="Arial" w:hAnsi="Arial"/>
                <w:sz w:val="18"/>
                <w:szCs w:val="18"/>
                <w:color w:val="0000FF"/>
              </w:rPr>
            </w:pPr>
            <w:hyperlink r:id="rId117">
              <w:r>
                <w:rPr>
                  <w:rFonts w:ascii="Arial" w:cs="Arial" w:eastAsia="Arial" w:hAnsi="Arial"/>
                  <w:sz w:val="18"/>
                  <w:szCs w:val="18"/>
                  <w:color w:val="0000FF"/>
                </w:rPr>
                <w:t>2019 Employee Stock Purchase Plan</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Registration Statement on Form S-8</w:t>
            </w:r>
          </w:p>
        </w:tc>
        <w:tc>
          <w:tcPr>
            <w:tcW w:w="2380" w:type="dxa"/>
            <w:vAlign w:val="bottom"/>
          </w:tcPr>
          <w:p>
            <w:pPr>
              <w:ind w:left="440"/>
              <w:spacing w:after="0"/>
              <w:rPr>
                <w:sz w:val="20"/>
                <w:szCs w:val="20"/>
                <w:color w:val="auto"/>
              </w:rPr>
            </w:pPr>
            <w:r>
              <w:rPr>
                <w:rFonts w:ascii="Arial" w:cs="Arial" w:eastAsia="Arial" w:hAnsi="Arial"/>
                <w:sz w:val="18"/>
                <w:szCs w:val="18"/>
                <w:color w:val="auto"/>
              </w:rPr>
              <w:t>November 1, 2019</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10.5(a)*</w:t>
            </w:r>
          </w:p>
        </w:tc>
        <w:tc>
          <w:tcPr>
            <w:tcW w:w="4740" w:type="dxa"/>
            <w:vAlign w:val="bottom"/>
            <w:gridSpan w:val="23"/>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Amended and Restated 2010 Incentive Compensation Plan, as</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2380" w:type="dxa"/>
            <w:vAlign w:val="bottom"/>
          </w:tcPr>
          <w:p>
            <w:pPr>
              <w:ind w:left="440"/>
              <w:spacing w:after="0"/>
              <w:rPr>
                <w:sz w:val="20"/>
                <w:szCs w:val="20"/>
                <w:color w:val="auto"/>
              </w:rPr>
            </w:pPr>
            <w:r>
              <w:rPr>
                <w:rFonts w:ascii="Arial" w:cs="Arial" w:eastAsia="Arial" w:hAnsi="Arial"/>
                <w:sz w:val="18"/>
                <w:szCs w:val="18"/>
                <w:color w:val="auto"/>
              </w:rPr>
              <w:t>November 1, 2018</w:t>
            </w: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amended effective on October 30, 2018</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10.5(b)*</w:t>
            </w:r>
          </w:p>
        </w:tc>
        <w:tc>
          <w:tcPr>
            <w:tcW w:w="4740" w:type="dxa"/>
            <w:vAlign w:val="bottom"/>
            <w:gridSpan w:val="23"/>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Non-Qualified Stock Option Agreement for 2010</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2380" w:type="dxa"/>
            <w:vAlign w:val="bottom"/>
          </w:tcPr>
          <w:p>
            <w:pPr>
              <w:ind w:left="440"/>
              <w:spacing w:after="0"/>
              <w:rPr>
                <w:sz w:val="20"/>
                <w:szCs w:val="20"/>
                <w:color w:val="auto"/>
              </w:rPr>
            </w:pPr>
            <w:r>
              <w:rPr>
                <w:rFonts w:ascii="Arial" w:cs="Arial" w:eastAsia="Arial" w:hAnsi="Arial"/>
                <w:sz w:val="18"/>
                <w:szCs w:val="18"/>
                <w:color w:val="auto"/>
              </w:rPr>
              <w:t>August 18, 2017</w:t>
            </w: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Incentive Compensation Plan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10.5(c)*</w:t>
            </w:r>
          </w:p>
        </w:tc>
        <w:tc>
          <w:tcPr>
            <w:tcW w:w="4740" w:type="dxa"/>
            <w:vAlign w:val="bottom"/>
            <w:gridSpan w:val="23"/>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Form of Incentive Stock Option Agreement for 2010 Incentive</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2380" w:type="dxa"/>
            <w:vAlign w:val="bottom"/>
          </w:tcPr>
          <w:p>
            <w:pPr>
              <w:ind w:left="440"/>
              <w:spacing w:after="0"/>
              <w:rPr>
                <w:sz w:val="20"/>
                <w:szCs w:val="20"/>
                <w:color w:val="auto"/>
              </w:rPr>
            </w:pPr>
            <w:r>
              <w:rPr>
                <w:rFonts w:ascii="Arial" w:cs="Arial" w:eastAsia="Arial" w:hAnsi="Arial"/>
                <w:sz w:val="18"/>
                <w:szCs w:val="18"/>
                <w:color w:val="auto"/>
              </w:rPr>
              <w:t>October 22, 2010</w:t>
            </w: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Compensation Plan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10.5(d)*</w:t>
            </w:r>
          </w:p>
        </w:tc>
        <w:tc>
          <w:tcPr>
            <w:tcW w:w="4740" w:type="dxa"/>
            <w:vAlign w:val="bottom"/>
            <w:gridSpan w:val="23"/>
          </w:tcPr>
          <w:p>
            <w:pPr>
              <w:spacing w:after="0"/>
              <w:rPr>
                <w:rFonts w:ascii="Arial" w:cs="Arial" w:eastAsia="Arial" w:hAnsi="Arial"/>
                <w:sz w:val="18"/>
                <w:szCs w:val="18"/>
                <w:color w:val="0000FF"/>
                <w:w w:val="97"/>
              </w:rPr>
            </w:pPr>
            <w:hyperlink r:id="rId121">
              <w:r>
                <w:rPr>
                  <w:rFonts w:ascii="Arial" w:cs="Arial" w:eastAsia="Arial" w:hAnsi="Arial"/>
                  <w:sz w:val="18"/>
                  <w:szCs w:val="18"/>
                  <w:color w:val="0000FF"/>
                  <w:w w:val="97"/>
                </w:rPr>
                <w:t>Form of Deferred Stock Award Agreement for 2010 Incentive</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2380" w:type="dxa"/>
            <w:vAlign w:val="bottom"/>
          </w:tcPr>
          <w:p>
            <w:pPr>
              <w:ind w:left="440"/>
              <w:spacing w:after="0"/>
              <w:rPr>
                <w:sz w:val="20"/>
                <w:szCs w:val="20"/>
                <w:color w:val="auto"/>
              </w:rPr>
            </w:pPr>
            <w:r>
              <w:rPr>
                <w:rFonts w:ascii="Arial" w:cs="Arial" w:eastAsia="Arial" w:hAnsi="Arial"/>
                <w:sz w:val="18"/>
                <w:szCs w:val="18"/>
                <w:color w:val="auto"/>
              </w:rPr>
              <w:t>August 18, 2017</w:t>
            </w: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Compensation Plan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10.5(e)*</w:t>
            </w:r>
          </w:p>
        </w:tc>
        <w:tc>
          <w:tcPr>
            <w:tcW w:w="4740" w:type="dxa"/>
            <w:vAlign w:val="bottom"/>
            <w:gridSpan w:val="23"/>
          </w:tcPr>
          <w:p>
            <w:pPr>
              <w:spacing w:after="0"/>
              <w:rPr>
                <w:rFonts w:ascii="Arial" w:cs="Arial" w:eastAsia="Arial" w:hAnsi="Arial"/>
                <w:sz w:val="18"/>
                <w:szCs w:val="18"/>
                <w:color w:val="0000FF"/>
                <w:w w:val="99"/>
              </w:rPr>
            </w:pPr>
            <w:hyperlink r:id="rId122">
              <w:r>
                <w:rPr>
                  <w:rFonts w:ascii="Arial" w:cs="Arial" w:eastAsia="Arial" w:hAnsi="Arial"/>
                  <w:sz w:val="18"/>
                  <w:szCs w:val="18"/>
                  <w:color w:val="0000FF"/>
                  <w:w w:val="99"/>
                </w:rPr>
                <w:t>Form of Deferred Stock Award Agreement for Market Stock</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2380" w:type="dxa"/>
            <w:vAlign w:val="bottom"/>
          </w:tcPr>
          <w:p>
            <w:pPr>
              <w:ind w:left="440"/>
              <w:spacing w:after="0"/>
              <w:rPr>
                <w:sz w:val="20"/>
                <w:szCs w:val="20"/>
                <w:color w:val="auto"/>
              </w:rPr>
            </w:pPr>
            <w:r>
              <w:rPr>
                <w:rFonts w:ascii="Arial" w:cs="Arial" w:eastAsia="Arial" w:hAnsi="Arial"/>
                <w:sz w:val="18"/>
                <w:szCs w:val="18"/>
                <w:color w:val="auto"/>
              </w:rPr>
              <w:t>February 8, 2018</w:t>
            </w: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Units for Amended and Restated 2010 Incentive Compensation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2">
              <w:r>
                <w:rPr>
                  <w:rFonts w:ascii="Arial" w:cs="Arial" w:eastAsia="Arial" w:hAnsi="Arial"/>
                  <w:sz w:val="18"/>
                  <w:szCs w:val="18"/>
                  <w:color w:val="0000FF"/>
                </w:rPr>
                <w:t>Plan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10.5(f)*</w:t>
            </w:r>
          </w:p>
        </w:tc>
        <w:tc>
          <w:tcPr>
            <w:tcW w:w="4740" w:type="dxa"/>
            <w:vAlign w:val="bottom"/>
            <w:gridSpan w:val="2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Deferred Stock Award Agreement for Performance</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2380" w:type="dxa"/>
            <w:vAlign w:val="bottom"/>
          </w:tcPr>
          <w:p>
            <w:pPr>
              <w:ind w:left="440"/>
              <w:spacing w:after="0"/>
              <w:rPr>
                <w:sz w:val="20"/>
                <w:szCs w:val="20"/>
                <w:color w:val="auto"/>
              </w:rPr>
            </w:pPr>
            <w:r>
              <w:rPr>
                <w:rFonts w:ascii="Arial" w:cs="Arial" w:eastAsia="Arial" w:hAnsi="Arial"/>
                <w:sz w:val="18"/>
                <w:szCs w:val="18"/>
                <w:color w:val="auto"/>
              </w:rPr>
              <w:t>February 8, 2018</w:t>
            </w:r>
          </w:p>
        </w:tc>
      </w:tr>
      <w:tr>
        <w:trPr>
          <w:trHeight w:val="20"/>
        </w:trPr>
        <w:tc>
          <w:tcPr>
            <w:tcW w:w="10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Stock Units for Amended and Restated 2010 Incentive</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Compensation Plan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4740" w:type="dxa"/>
            <w:vAlign w:val="bottom"/>
            <w:gridSpan w:val="23"/>
          </w:tcPr>
          <w:p>
            <w:pPr>
              <w:spacing w:after="0"/>
              <w:rPr>
                <w:rFonts w:ascii="Arial" w:cs="Arial" w:eastAsia="Arial" w:hAnsi="Arial"/>
                <w:sz w:val="18"/>
                <w:szCs w:val="18"/>
                <w:color w:val="0000FF"/>
                <w:w w:val="99"/>
              </w:rPr>
            </w:pPr>
            <w:hyperlink r:id="rId124">
              <w:r>
                <w:rPr>
                  <w:rFonts w:ascii="Arial" w:cs="Arial" w:eastAsia="Arial" w:hAnsi="Arial"/>
                  <w:sz w:val="18"/>
                  <w:szCs w:val="18"/>
                  <w:color w:val="0000FF"/>
                  <w:w w:val="99"/>
                </w:rPr>
                <w:t>Change of Control Severance Policy for Principal Executive</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2380" w:type="dxa"/>
            <w:vAlign w:val="bottom"/>
          </w:tcPr>
          <w:p>
            <w:pPr>
              <w:ind w:left="440"/>
              <w:spacing w:after="0"/>
              <w:rPr>
                <w:sz w:val="20"/>
                <w:szCs w:val="20"/>
                <w:color w:val="auto"/>
              </w:rPr>
            </w:pPr>
            <w:r>
              <w:rPr>
                <w:rFonts w:ascii="Arial" w:cs="Arial" w:eastAsia="Arial" w:hAnsi="Arial"/>
                <w:sz w:val="18"/>
                <w:szCs w:val="18"/>
                <w:color w:val="auto"/>
              </w:rPr>
              <w:t>August 23, 2019</w:t>
            </w:r>
          </w:p>
        </w:tc>
      </w:tr>
      <w:tr>
        <w:trPr>
          <w:trHeight w:val="20"/>
        </w:trPr>
        <w:tc>
          <w:tcPr>
            <w:tcW w:w="10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Officers</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4740" w:type="dxa"/>
            <w:vAlign w:val="bottom"/>
            <w:gridSpan w:val="23"/>
          </w:tcPr>
          <w:p>
            <w:pPr>
              <w:spacing w:after="0"/>
              <w:rPr>
                <w:rFonts w:ascii="Arial" w:cs="Arial" w:eastAsia="Arial" w:hAnsi="Arial"/>
                <w:sz w:val="18"/>
                <w:szCs w:val="18"/>
                <w:color w:val="0000FF"/>
              </w:rPr>
            </w:pPr>
            <w:hyperlink r:id="rId125">
              <w:r>
                <w:rPr>
                  <w:rFonts w:ascii="Arial" w:cs="Arial" w:eastAsia="Arial" w:hAnsi="Arial"/>
                  <w:sz w:val="18"/>
                  <w:szCs w:val="18"/>
                  <w:color w:val="0000FF"/>
                </w:rPr>
                <w:t>Severance Policy for Principal Executive Officers</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2380" w:type="dxa"/>
            <w:vAlign w:val="bottom"/>
          </w:tcPr>
          <w:p>
            <w:pPr>
              <w:ind w:left="440"/>
              <w:spacing w:after="0"/>
              <w:rPr>
                <w:sz w:val="20"/>
                <w:szCs w:val="20"/>
                <w:color w:val="auto"/>
              </w:rPr>
            </w:pPr>
            <w:r>
              <w:rPr>
                <w:rFonts w:ascii="Arial" w:cs="Arial" w:eastAsia="Arial" w:hAnsi="Arial"/>
                <w:sz w:val="18"/>
                <w:szCs w:val="18"/>
                <w:color w:val="auto"/>
              </w:rPr>
              <w:t>August 23, 2019</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4740" w:type="dxa"/>
            <w:vAlign w:val="bottom"/>
            <w:gridSpan w:val="23"/>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Director and Officer Indemnification Agreement</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c>
          <w:tcPr>
            <w:tcW w:w="2380" w:type="dxa"/>
            <w:vAlign w:val="bottom"/>
          </w:tcPr>
          <w:p>
            <w:pPr>
              <w:ind w:left="440"/>
              <w:spacing w:after="0"/>
              <w:rPr>
                <w:sz w:val="20"/>
                <w:szCs w:val="20"/>
                <w:color w:val="auto"/>
              </w:rPr>
            </w:pPr>
            <w:r>
              <w:rPr>
                <w:rFonts w:ascii="Arial" w:cs="Arial" w:eastAsia="Arial" w:hAnsi="Arial"/>
                <w:sz w:val="18"/>
                <w:szCs w:val="18"/>
                <w:color w:val="auto"/>
              </w:rPr>
              <w:t>May 17, 2016</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4740" w:type="dxa"/>
            <w:vAlign w:val="bottom"/>
            <w:gridSpan w:val="23"/>
          </w:tcPr>
          <w:p>
            <w:pPr>
              <w:spacing w:after="0"/>
              <w:rPr>
                <w:rFonts w:ascii="Arial" w:cs="Arial" w:eastAsia="Arial" w:hAnsi="Arial"/>
                <w:sz w:val="18"/>
                <w:szCs w:val="18"/>
                <w:color w:val="0000FF"/>
                <w:w w:val="99"/>
              </w:rPr>
            </w:pPr>
            <w:hyperlink r:id="rId127">
              <w:r>
                <w:rPr>
                  <w:rFonts w:ascii="Arial" w:cs="Arial" w:eastAsia="Arial" w:hAnsi="Arial"/>
                  <w:sz w:val="18"/>
                  <w:szCs w:val="18"/>
                  <w:color w:val="0000FF"/>
                  <w:w w:val="99"/>
                </w:rPr>
                <w:t>Written Description of the Synaptics Incorporated Retention</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2380" w:type="dxa"/>
            <w:vAlign w:val="bottom"/>
          </w:tcPr>
          <w:p>
            <w:pPr>
              <w:ind w:left="440"/>
              <w:spacing w:after="0"/>
              <w:rPr>
                <w:sz w:val="20"/>
                <w:szCs w:val="20"/>
                <w:color w:val="auto"/>
              </w:rPr>
            </w:pPr>
            <w:r>
              <w:rPr>
                <w:rFonts w:ascii="Arial" w:cs="Arial" w:eastAsia="Arial" w:hAnsi="Arial"/>
                <w:sz w:val="18"/>
                <w:szCs w:val="18"/>
                <w:color w:val="auto"/>
              </w:rPr>
              <w:t>August 23, 2019</w:t>
            </w:r>
          </w:p>
        </w:tc>
      </w:tr>
      <w:tr>
        <w:trPr>
          <w:trHeight w:val="20"/>
        </w:trPr>
        <w:tc>
          <w:tcPr>
            <w:tcW w:w="10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Program Adopted May 6, 2019</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4740" w:type="dxa"/>
            <w:vAlign w:val="bottom"/>
            <w:gridSpan w:val="23"/>
          </w:tcPr>
          <w:p>
            <w:pPr>
              <w:spacing w:after="0"/>
              <w:rPr>
                <w:rFonts w:ascii="Arial" w:cs="Arial" w:eastAsia="Arial" w:hAnsi="Arial"/>
                <w:sz w:val="18"/>
                <w:szCs w:val="18"/>
                <w:color w:val="0000FF"/>
                <w:w w:val="98"/>
              </w:rPr>
            </w:pPr>
            <w:hyperlink r:id="rId128">
              <w:r>
                <w:rPr>
                  <w:rFonts w:ascii="Arial" w:cs="Arial" w:eastAsia="Arial" w:hAnsi="Arial"/>
                  <w:sz w:val="18"/>
                  <w:szCs w:val="18"/>
                  <w:color w:val="0000FF"/>
                  <w:w w:val="98"/>
                </w:rPr>
                <w:t>Employment Offer Letter, dated August 1, 2019 between the</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2380" w:type="dxa"/>
            <w:vAlign w:val="bottom"/>
          </w:tcPr>
          <w:p>
            <w:pPr>
              <w:ind w:left="440"/>
              <w:spacing w:after="0"/>
              <w:rPr>
                <w:sz w:val="20"/>
                <w:szCs w:val="20"/>
                <w:color w:val="auto"/>
              </w:rPr>
            </w:pPr>
            <w:r>
              <w:rPr>
                <w:rFonts w:ascii="Arial" w:cs="Arial" w:eastAsia="Arial" w:hAnsi="Arial"/>
                <w:sz w:val="18"/>
                <w:szCs w:val="18"/>
                <w:color w:val="auto"/>
              </w:rPr>
              <w:t>November 17, 2019</w:t>
            </w:r>
          </w:p>
        </w:tc>
      </w:tr>
      <w:tr>
        <w:trPr>
          <w:trHeight w:val="20"/>
        </w:trPr>
        <w:tc>
          <w:tcPr>
            <w:tcW w:w="10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registrant and Michael Hurlston</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4740" w:type="dxa"/>
            <w:vAlign w:val="bottom"/>
            <w:gridSpan w:val="23"/>
          </w:tcPr>
          <w:p>
            <w:pPr>
              <w:spacing w:after="0"/>
              <w:rPr>
                <w:rFonts w:ascii="Arial" w:cs="Arial" w:eastAsia="Arial" w:hAnsi="Arial"/>
                <w:sz w:val="18"/>
                <w:szCs w:val="18"/>
                <w:color w:val="0000FF"/>
                <w:w w:val="96"/>
              </w:rPr>
            </w:pPr>
            <w:hyperlink r:id="rId129">
              <w:r>
                <w:rPr>
                  <w:rFonts w:ascii="Arial" w:cs="Arial" w:eastAsia="Arial" w:hAnsi="Arial"/>
                  <w:sz w:val="18"/>
                  <w:szCs w:val="18"/>
                  <w:color w:val="0000FF"/>
                  <w:w w:val="96"/>
                </w:rPr>
                <w:t>Employment Offer Letter, dated October 7, 2019 between the</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c>
          <w:tcPr>
            <w:tcW w:w="2380" w:type="dxa"/>
            <w:vAlign w:val="bottom"/>
          </w:tcPr>
          <w:p>
            <w:pPr>
              <w:ind w:left="440"/>
              <w:spacing w:after="0"/>
              <w:rPr>
                <w:sz w:val="20"/>
                <w:szCs w:val="20"/>
                <w:color w:val="auto"/>
              </w:rPr>
            </w:pPr>
            <w:r>
              <w:rPr>
                <w:rFonts w:ascii="Arial" w:cs="Arial" w:eastAsia="Arial" w:hAnsi="Arial"/>
                <w:sz w:val="18"/>
                <w:szCs w:val="18"/>
                <w:color w:val="auto"/>
              </w:rPr>
              <w:t>February 6, 2020</w:t>
            </w:r>
          </w:p>
        </w:tc>
      </w:tr>
      <w:tr>
        <w:trPr>
          <w:trHeight w:val="20"/>
        </w:trPr>
        <w:tc>
          <w:tcPr>
            <w:tcW w:w="10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8"/>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registrant and Dean Butler</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4740" w:type="dxa"/>
            <w:vAlign w:val="bottom"/>
            <w:gridSpan w:val="23"/>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Employment Offer Letter, dated December 4, 2018 between the</w:t>
              </w:r>
            </w:hyperlink>
          </w:p>
        </w:tc>
        <w:tc>
          <w:tcPr>
            <w:tcW w:w="310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c>
          <w:tcPr>
            <w:tcW w:w="2380" w:type="dxa"/>
            <w:vAlign w:val="bottom"/>
          </w:tcPr>
          <w:p>
            <w:pPr>
              <w:ind w:left="440"/>
              <w:spacing w:after="0"/>
              <w:rPr>
                <w:sz w:val="20"/>
                <w:szCs w:val="20"/>
                <w:color w:val="auto"/>
              </w:rPr>
            </w:pPr>
            <w:r>
              <w:rPr>
                <w:rFonts w:ascii="Arial" w:cs="Arial" w:eastAsia="Arial" w:hAnsi="Arial"/>
                <w:sz w:val="18"/>
                <w:szCs w:val="18"/>
                <w:color w:val="auto"/>
              </w:rPr>
              <w:t>August 21, 2020</w:t>
            </w:r>
          </w:p>
        </w:tc>
      </w:tr>
      <w:tr>
        <w:trPr>
          <w:trHeight w:val="20"/>
        </w:trPr>
        <w:tc>
          <w:tcPr>
            <w:tcW w:w="10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gridSpan w:val="8"/>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registrant and Saleel Awsare</w:t>
              </w:r>
            </w:hyperlink>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21</w:t>
            </w:r>
          </w:p>
        </w:tc>
        <w:tc>
          <w:tcPr>
            <w:tcW w:w="4740" w:type="dxa"/>
            <w:vAlign w:val="bottom"/>
            <w:gridSpan w:val="23"/>
          </w:tcPr>
          <w:p>
            <w:pPr>
              <w:spacing w:after="0"/>
              <w:rPr>
                <w:sz w:val="20"/>
                <w:szCs w:val="20"/>
                <w:color w:val="auto"/>
              </w:rPr>
            </w:pPr>
            <w:r>
              <w:rPr>
                <w:rFonts w:ascii="Arial" w:cs="Arial" w:eastAsia="Arial" w:hAnsi="Arial"/>
                <w:sz w:val="18"/>
                <w:szCs w:val="18"/>
                <w:color w:val="0000FF"/>
              </w:rPr>
              <w:t>List of Subsidiaries</w:t>
            </w:r>
          </w:p>
        </w:tc>
        <w:tc>
          <w:tcPr>
            <w:tcW w:w="31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238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4740" w:type="dxa"/>
            <w:vAlign w:val="bottom"/>
            <w:gridSpan w:val="23"/>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c>
          <w:tcPr>
            <w:tcW w:w="31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238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right w:val="single" w:sz="8" w:color="0000FF"/>
            </w:tcBorders>
            <w:gridSpan w:val="11"/>
            <w:shd w:val="clear" w:color="auto" w:fill="0000FF"/>
          </w:tcPr>
          <w:p>
            <w:pPr>
              <w:spacing w:after="0" w:line="20" w:lineRule="exact"/>
              <w:rPr>
                <w:sz w:val="1"/>
                <w:szCs w:val="1"/>
                <w:color w:val="auto"/>
              </w:rPr>
            </w:pPr>
          </w:p>
        </w:tc>
        <w:tc>
          <w:tcPr>
            <w:tcW w:w="48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4740" w:type="dxa"/>
            <w:vAlign w:val="bottom"/>
            <w:gridSpan w:val="23"/>
          </w:tcPr>
          <w:p>
            <w:pPr>
              <w:spacing w:after="0"/>
              <w:rPr>
                <w:sz w:val="20"/>
                <w:szCs w:val="20"/>
                <w:color w:val="auto"/>
              </w:rPr>
            </w:pPr>
            <w:r>
              <w:rPr>
                <w:rFonts w:ascii="Arial" w:cs="Arial" w:eastAsia="Arial" w:hAnsi="Arial"/>
                <w:sz w:val="18"/>
                <w:szCs w:val="18"/>
                <w:color w:val="0000FF"/>
                <w:w w:val="98"/>
              </w:rPr>
              <w:t>Certification of Chief Executive Officer pursuant to Rule 13a-</w:t>
            </w:r>
          </w:p>
        </w:tc>
        <w:tc>
          <w:tcPr>
            <w:tcW w:w="31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238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right w:val="single" w:sz="8" w:color="0000FF"/>
            </w:tcBorders>
            <w:gridSpan w:val="11"/>
            <w:shd w:val="clear" w:color="auto" w:fill="0000FF"/>
          </w:tcPr>
          <w:p>
            <w:pPr>
              <w:spacing w:after="0" w:line="20" w:lineRule="exact"/>
              <w:rPr>
                <w:sz w:val="1"/>
                <w:szCs w:val="1"/>
                <w:color w:val="auto"/>
              </w:rPr>
            </w:pPr>
          </w:p>
        </w:tc>
        <w:tc>
          <w:tcPr>
            <w:tcW w:w="7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sz w:val="20"/>
                <w:szCs w:val="20"/>
                <w:color w:val="auto"/>
              </w:rPr>
            </w:pPr>
            <w:r>
              <w:rPr>
                <w:rFonts w:ascii="Arial" w:cs="Arial" w:eastAsia="Arial" w:hAnsi="Arial"/>
                <w:sz w:val="18"/>
                <w:szCs w:val="18"/>
                <w:color w:val="0000FF"/>
              </w:rPr>
              <w:t>14(a)/15d-14(a)</w:t>
            </w:r>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4740" w:type="dxa"/>
            <w:vAlign w:val="bottom"/>
            <w:gridSpan w:val="23"/>
          </w:tcPr>
          <w:p>
            <w:pPr>
              <w:spacing w:after="0"/>
              <w:rPr>
                <w:sz w:val="20"/>
                <w:szCs w:val="20"/>
                <w:color w:val="auto"/>
              </w:rPr>
            </w:pPr>
            <w:r>
              <w:rPr>
                <w:rFonts w:ascii="Arial" w:cs="Arial" w:eastAsia="Arial" w:hAnsi="Arial"/>
                <w:sz w:val="18"/>
                <w:szCs w:val="18"/>
                <w:color w:val="0000FF"/>
                <w:w w:val="99"/>
              </w:rPr>
              <w:t>Certification of Chief Financial Officer pursuant to Rule 13a-</w:t>
            </w:r>
          </w:p>
        </w:tc>
        <w:tc>
          <w:tcPr>
            <w:tcW w:w="31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238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right w:val="single" w:sz="8" w:color="0000FF"/>
            </w:tcBorders>
            <w:gridSpan w:val="11"/>
            <w:shd w:val="clear" w:color="auto" w:fill="0000FF"/>
          </w:tcPr>
          <w:p>
            <w:pPr>
              <w:spacing w:after="0" w:line="20" w:lineRule="exact"/>
              <w:rPr>
                <w:sz w:val="1"/>
                <w:szCs w:val="1"/>
                <w:color w:val="auto"/>
              </w:rPr>
            </w:pPr>
          </w:p>
        </w:tc>
        <w:tc>
          <w:tcPr>
            <w:tcW w:w="7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40" w:type="dxa"/>
            <w:vAlign w:val="bottom"/>
            <w:gridSpan w:val="23"/>
          </w:tcPr>
          <w:p>
            <w:pPr>
              <w:spacing w:after="0" w:line="196" w:lineRule="exact"/>
              <w:rPr>
                <w:sz w:val="20"/>
                <w:szCs w:val="20"/>
                <w:color w:val="auto"/>
              </w:rPr>
            </w:pPr>
            <w:r>
              <w:rPr>
                <w:rFonts w:ascii="Arial" w:cs="Arial" w:eastAsia="Arial" w:hAnsi="Arial"/>
                <w:sz w:val="18"/>
                <w:szCs w:val="18"/>
                <w:color w:val="0000FF"/>
              </w:rPr>
              <w:t>14(a)/15d-14(a)</w:t>
            </w:r>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EE"/>
            </w:tcBorders>
            <w:gridSpan w:val="11"/>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4740" w:type="dxa"/>
            <w:vAlign w:val="bottom"/>
            <w:gridSpan w:val="23"/>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310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238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40" w:type="dxa"/>
            <w:vAlign w:val="bottom"/>
            <w:tcBorders>
              <w:right w:val="single" w:sz="8" w:color="0000FF"/>
            </w:tcBorders>
            <w:gridSpan w:val="14"/>
            <w:shd w:val="clear" w:color="auto" w:fill="0000FF"/>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4740" w:type="dxa"/>
            <w:vAlign w:val="bottom"/>
            <w:gridSpan w:val="23"/>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310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2380" w:type="dxa"/>
            <w:vAlign w:val="bottom"/>
          </w:tcPr>
          <w:p>
            <w:pPr>
              <w:spacing w:after="0"/>
              <w:rPr>
                <w:sz w:val="24"/>
                <w:szCs w:val="24"/>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2380" w:type="dxa"/>
            <w:vAlign w:val="bottom"/>
          </w:tcPr>
          <w:p>
            <w:pPr>
              <w:spacing w:after="0"/>
              <w:rPr>
                <w:sz w:val="24"/>
                <w:szCs w:val="24"/>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Inline</w:t>
            </w:r>
          </w:p>
        </w:tc>
        <w:tc>
          <w:tcPr>
            <w:tcW w:w="474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c>
          <w:tcPr>
            <w:tcW w:w="3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474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c>
          <w:tcPr>
            <w:tcW w:w="310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2380" w:type="dxa"/>
            <w:vAlign w:val="bottom"/>
          </w:tcPr>
          <w:p>
            <w:pPr>
              <w:spacing w:after="0"/>
              <w:rPr>
                <w:sz w:val="24"/>
                <w:szCs w:val="24"/>
                <w:color w:val="auto"/>
              </w:rPr>
            </w:pPr>
          </w:p>
        </w:tc>
      </w:tr>
      <w:tr>
        <w:trPr>
          <w:trHeight w:val="445"/>
        </w:trPr>
        <w:tc>
          <w:tcPr>
            <w:tcW w:w="1020" w:type="dxa"/>
            <w:vAlign w:val="bottom"/>
          </w:tcPr>
          <w:p>
            <w:pPr>
              <w:spacing w:after="0"/>
              <w:rPr>
                <w:sz w:val="24"/>
                <w:szCs w:val="24"/>
                <w:color w:val="auto"/>
              </w:rPr>
            </w:pPr>
          </w:p>
        </w:tc>
        <w:tc>
          <w:tcPr>
            <w:tcW w:w="4740" w:type="dxa"/>
            <w:vAlign w:val="bottom"/>
            <w:gridSpan w:val="23"/>
          </w:tcPr>
          <w:p>
            <w:pPr>
              <w:jc w:val="right"/>
              <w:ind w:right="40"/>
              <w:spacing w:after="0"/>
              <w:rPr>
                <w:sz w:val="20"/>
                <w:szCs w:val="20"/>
                <w:color w:val="auto"/>
              </w:rPr>
            </w:pPr>
            <w:r>
              <w:rPr>
                <w:rFonts w:ascii="Arial" w:cs="Arial" w:eastAsia="Arial" w:hAnsi="Arial"/>
                <w:sz w:val="18"/>
                <w:szCs w:val="18"/>
                <w:color w:val="auto"/>
              </w:rPr>
              <w:t>49</w:t>
            </w: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1" w:name="page52"/>
    <w:bookmarkEnd w:id="51"/>
    <w:p>
      <w:pPr>
        <w:ind w:left="20"/>
        <w:spacing w:after="0"/>
        <w:rPr>
          <w:sz w:val="20"/>
          <w:szCs w:val="20"/>
          <w:color w:val="auto"/>
        </w:rPr>
      </w:pPr>
      <w:r>
        <w:rPr>
          <w:rFonts w:ascii="Arial" w:cs="Arial" w:eastAsia="Arial" w:hAnsi="Arial"/>
          <w:sz w:val="17"/>
          <w:szCs w:val="17"/>
          <w:color w:val="auto"/>
        </w:rPr>
        <w:t>Inline</w:t>
      </w:r>
    </w:p>
    <w:p>
      <w:pPr>
        <w:sectPr>
          <w:pgSz w:w="11900" w:h="16838" w:orient="portrait"/>
          <w:cols w:equalWidth="0" w:num="1">
            <w:col w:w="11140"/>
          </w:cols>
          <w:pgMar w:left="320" w:top="355" w:right="4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6" w:lineRule="exact"/>
        <w:rPr>
          <w:sz w:val="20"/>
          <w:szCs w:val="20"/>
          <w:color w:val="auto"/>
        </w:rPr>
      </w:pPr>
    </w:p>
    <w:p>
      <w:pPr>
        <w:sectPr>
          <w:pgSz w:w="11900" w:h="16838" w:orient="portrait"/>
          <w:cols w:equalWidth="0" w:num="2">
            <w:col w:w="5080" w:space="720"/>
            <w:col w:w="5340"/>
          </w:cols>
          <w:pgMar w:left="320" w:top="355" w:right="4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Inline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sz w:val="20"/>
          <w:szCs w:val="20"/>
          <w:color w:val="auto"/>
        </w:rPr>
      </w:pPr>
    </w:p>
    <w:p>
      <w:pPr>
        <w:sectPr>
          <w:pgSz w:w="11900" w:h="16838" w:orient="portrait"/>
          <w:cols w:equalWidth="0" w:num="2">
            <w:col w:w="440" w:space="560"/>
            <w:col w:w="10140"/>
          </w:cols>
          <w:pgMar w:left="320" w:top="355" w:right="4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Filed herewith</w:t>
      </w:r>
    </w:p>
    <w:p>
      <w:pPr>
        <w:spacing w:after="0" w:line="46" w:lineRule="exact"/>
        <w:rPr>
          <w:sz w:val="20"/>
          <w:szCs w:val="20"/>
          <w:color w:val="auto"/>
        </w:rPr>
      </w:pPr>
    </w:p>
    <w:p>
      <w:pPr>
        <w:sectPr>
          <w:pgSz w:w="11900" w:h="16838" w:orient="portrait"/>
          <w:cols w:equalWidth="0" w:num="2">
            <w:col w:w="5080" w:space="720"/>
            <w:col w:w="5340"/>
          </w:cols>
          <w:pgMar w:left="320" w:top="355" w:right="4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Inline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193" w:lineRule="exact"/>
        <w:rPr>
          <w:sz w:val="20"/>
          <w:szCs w:val="20"/>
          <w:color w:val="auto"/>
        </w:rPr>
      </w:pPr>
    </w:p>
    <w:p>
      <w:pPr>
        <w:sectPr>
          <w:pgSz w:w="11900" w:h="16838" w:orient="portrait"/>
          <w:cols w:equalWidth="0" w:num="2">
            <w:col w:w="440" w:space="560"/>
            <w:col w:w="10140"/>
          </w:cols>
          <w:pgMar w:left="320" w:top="355" w:right="4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Filed herewith</w:t>
      </w:r>
    </w:p>
    <w:p>
      <w:pPr>
        <w:spacing w:after="0" w:line="46" w:lineRule="exact"/>
        <w:rPr>
          <w:sz w:val="20"/>
          <w:szCs w:val="20"/>
          <w:color w:val="auto"/>
        </w:rPr>
      </w:pPr>
    </w:p>
    <w:p>
      <w:pPr>
        <w:sectPr>
          <w:pgSz w:w="11900" w:h="16838" w:orient="portrait"/>
          <w:cols w:equalWidth="0" w:num="2">
            <w:col w:w="5080" w:space="720"/>
            <w:col w:w="5340"/>
          </w:cols>
          <w:pgMar w:left="320" w:top="355" w:right="4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Inline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93" w:lineRule="exact"/>
        <w:rPr>
          <w:sz w:val="20"/>
          <w:szCs w:val="20"/>
          <w:color w:val="auto"/>
        </w:rPr>
      </w:pPr>
    </w:p>
    <w:p>
      <w:pPr>
        <w:sectPr>
          <w:pgSz w:w="11900" w:h="16838" w:orient="portrait"/>
          <w:cols w:equalWidth="0" w:num="2">
            <w:col w:w="440" w:space="560"/>
            <w:col w:w="10140"/>
          </w:cols>
          <w:pgMar w:left="320" w:top="355" w:right="4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Filed herewith</w:t>
      </w:r>
    </w:p>
    <w:p>
      <w:pPr>
        <w:spacing w:after="0" w:line="46" w:lineRule="exact"/>
        <w:rPr>
          <w:sz w:val="20"/>
          <w:szCs w:val="20"/>
          <w:color w:val="auto"/>
        </w:rPr>
      </w:pPr>
    </w:p>
    <w:p>
      <w:pPr>
        <w:sectPr>
          <w:pgSz w:w="11900" w:h="16838" w:orient="portrait"/>
          <w:cols w:equalWidth="0" w:num="2">
            <w:col w:w="5080" w:space="720"/>
            <w:col w:w="5340"/>
          </w:cols>
          <w:pgMar w:left="320" w:top="355" w:right="4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Inline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3" w:lineRule="exact"/>
        <w:rPr>
          <w:sz w:val="20"/>
          <w:szCs w:val="20"/>
          <w:color w:val="auto"/>
        </w:rPr>
      </w:pPr>
    </w:p>
    <w:p>
      <w:pPr>
        <w:sectPr>
          <w:pgSz w:w="11900" w:h="16838" w:orient="portrait"/>
          <w:cols w:equalWidth="0" w:num="2">
            <w:col w:w="440" w:space="560"/>
            <w:col w:w="10140"/>
          </w:cols>
          <w:pgMar w:left="320" w:top="355" w:right="439" w:bottom="1440" w:gutter="0" w:footer="0" w:header="0"/>
          <w:type w:val="continuous"/>
        </w:sectPr>
      </w:pPr>
    </w:p>
    <w:p>
      <w:pPr>
        <w:jc w:val="both"/>
        <w:ind w:left="1000" w:hanging="979"/>
        <w:spacing w:after="0" w:line="311" w:lineRule="auto"/>
        <w:tabs>
          <w:tab w:leader="none" w:pos="9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Filed herewith</w:t>
      </w:r>
    </w:p>
    <w:p>
      <w:pPr>
        <w:spacing w:after="0" w:line="653" w:lineRule="exact"/>
        <w:rPr>
          <w:sz w:val="20"/>
          <w:szCs w:val="20"/>
          <w:color w:val="auto"/>
        </w:rPr>
      </w:pPr>
    </w:p>
    <w:p>
      <w:pPr>
        <w:sectPr>
          <w:pgSz w:w="11900" w:h="16838" w:orient="portrait"/>
          <w:cols w:equalWidth="0" w:num="2">
            <w:col w:w="5620" w:space="180"/>
            <w:col w:w="5340"/>
          </w:cols>
          <w:pgMar w:left="320" w:top="355" w:right="439" w:bottom="1440" w:gutter="0" w:footer="0" w:header="0"/>
          <w:type w:val="continuous"/>
        </w:sectPr>
      </w:pPr>
    </w:p>
    <w:p>
      <w:pPr>
        <w:ind w:left="460" w:hanging="27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a contract with management or compensatory plan or arrangement.</w:t>
      </w:r>
    </w:p>
    <w:p>
      <w:pPr>
        <w:spacing w:after="0" w:line="36" w:lineRule="exact"/>
        <w:rPr>
          <w:sz w:val="20"/>
          <w:szCs w:val="20"/>
          <w:color w:val="auto"/>
        </w:rPr>
      </w:pPr>
    </w:p>
    <w:p>
      <w:pPr>
        <w:ind w:left="460" w:right="3000" w:hanging="272"/>
        <w:spacing w:after="0" w:line="316" w:lineRule="auto"/>
        <w:tabs>
          <w:tab w:leader="none" w:pos="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as a supplement to the Securities and Exchange Commission upon request.</w:t>
      </w:r>
    </w:p>
    <w:p>
      <w:pPr>
        <w:spacing w:after="0" w:line="1" w:lineRule="exact"/>
        <w:rPr>
          <w:rFonts w:ascii="Arial" w:cs="Arial" w:eastAsia="Arial" w:hAnsi="Arial"/>
          <w:sz w:val="16"/>
          <w:szCs w:val="16"/>
          <w:color w:val="auto"/>
        </w:rPr>
      </w:pPr>
    </w:p>
    <w:p>
      <w:pPr>
        <w:ind w:left="460" w:hanging="36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200" w:lineRule="exact"/>
        <w:rPr>
          <w:sz w:val="20"/>
          <w:szCs w:val="20"/>
          <w:color w:val="auto"/>
        </w:rPr>
      </w:pPr>
    </w:p>
    <w:p>
      <w:pPr>
        <w:spacing w:after="0" w:line="2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5" w:right="4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SYNAPTICS INCORPORATED</w:t>
            </w:r>
          </w:p>
        </w:tc>
      </w:tr>
      <w:tr>
        <w:trPr>
          <w:trHeight w:val="540"/>
        </w:trPr>
        <w:tc>
          <w:tcPr>
            <w:tcW w:w="3520" w:type="dxa"/>
            <w:vAlign w:val="bottom"/>
          </w:tcPr>
          <w:p>
            <w:pPr>
              <w:spacing w:after="0"/>
              <w:rPr>
                <w:sz w:val="20"/>
                <w:szCs w:val="20"/>
                <w:color w:val="auto"/>
              </w:rPr>
            </w:pPr>
            <w:r>
              <w:rPr>
                <w:rFonts w:ascii="Arial" w:cs="Arial" w:eastAsia="Arial" w:hAnsi="Arial"/>
                <w:sz w:val="18"/>
                <w:szCs w:val="18"/>
                <w:color w:val="auto"/>
              </w:rPr>
              <w:t>Date: August 18, 2023</w:t>
            </w:r>
          </w:p>
        </w:tc>
        <w:tc>
          <w:tcPr>
            <w:tcW w:w="7700" w:type="dxa"/>
            <w:vAlign w:val="bottom"/>
            <w:gridSpan w:val="2"/>
          </w:tcPr>
          <w:p>
            <w:pPr>
              <w:ind w:left="1900"/>
              <w:spacing w:after="0"/>
              <w:rPr>
                <w:sz w:val="20"/>
                <w:szCs w:val="20"/>
                <w:color w:val="auto"/>
              </w:rPr>
            </w:pPr>
            <w:r>
              <w:rPr>
                <w:rFonts w:ascii="Arial" w:cs="Arial" w:eastAsia="Arial" w:hAnsi="Arial"/>
                <w:sz w:val="18"/>
                <w:szCs w:val="18"/>
                <w:color w:val="auto"/>
              </w:rPr>
              <w:t>By: /s/ Michael E. Hurlston</w:t>
            </w:r>
          </w:p>
        </w:tc>
      </w:tr>
      <w:tr>
        <w:trPr>
          <w:trHeight w:val="224"/>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E. Hurlston</w:t>
            </w:r>
          </w:p>
        </w:tc>
      </w:tr>
      <w:tr>
        <w:trPr>
          <w:trHeight w:val="242"/>
        </w:trPr>
        <w:tc>
          <w:tcPr>
            <w:tcW w:w="3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1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337" w:right="339" w:bottom="1440" w:gutter="0" w:footer="0" w:header="0"/>
        </w:sectPr>
      </w:pPr>
    </w:p>
    <w:p>
      <w:pPr>
        <w:spacing w:after="0" w:line="1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091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091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E. Hurlston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91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Kermit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91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Kermit Nolan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Nelson C.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91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Nelson C. Chan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 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091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D. Buchanan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Keith B. Geeslin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91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B. Geeslin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i w:val="1"/>
          <w:iCs w:val="1"/>
          <w:color w:val="333333"/>
        </w:rPr>
        <w:t>Susan Hardman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91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Susan Hardman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/s/ Patricia Kummrow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091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Patricia Kummrow</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Vivie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91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Vivie Lee</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James L. Whims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91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L. Whims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85"/>
        </w:trPr>
        <w:tc>
          <w:tcPr>
            <w:tcW w:w="4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and Director (Principal Executive Officer)</w:t>
            </w:r>
          </w:p>
        </w:tc>
        <w:tc>
          <w:tcPr>
            <w:tcW w:w="10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05"/>
        </w:trPr>
        <w:tc>
          <w:tcPr>
            <w:tcW w:w="49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99"/>
        </w:trPr>
        <w:tc>
          <w:tcPr>
            <w:tcW w:w="4920" w:type="dxa"/>
            <w:vAlign w:val="bottom"/>
          </w:tcPr>
          <w:p>
            <w:pPr>
              <w:ind w:left="20"/>
              <w:spacing w:after="0"/>
              <w:rPr>
                <w:sz w:val="20"/>
                <w:szCs w:val="20"/>
                <w:color w:val="auto"/>
              </w:rPr>
            </w:pPr>
            <w:r>
              <w:rPr>
                <w:rFonts w:ascii="Arial" w:cs="Arial" w:eastAsia="Arial" w:hAnsi="Arial"/>
                <w:sz w:val="18"/>
                <w:szCs w:val="18"/>
                <w:color w:val="auto"/>
              </w:rPr>
              <w:t>Corporate Vice President and Chief Accounting</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Officer (Principal Accounting Officer)</w:t>
            </w:r>
          </w:p>
        </w:tc>
        <w:tc>
          <w:tcPr>
            <w:tcW w:w="10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05"/>
        </w:trPr>
        <w:tc>
          <w:tcPr>
            <w:tcW w:w="4920" w:type="dxa"/>
            <w:vAlign w:val="bottom"/>
          </w:tcPr>
          <w:p>
            <w:pPr>
              <w:ind w:left="20"/>
              <w:spacing w:after="0"/>
              <w:rPr>
                <w:sz w:val="20"/>
                <w:szCs w:val="20"/>
                <w:color w:val="auto"/>
              </w:rPr>
            </w:pPr>
            <w:r>
              <w:rPr>
                <w:rFonts w:ascii="Arial" w:cs="Arial" w:eastAsia="Arial" w:hAnsi="Arial"/>
                <w:sz w:val="18"/>
                <w:szCs w:val="18"/>
                <w:color w:val="auto"/>
              </w:rPr>
              <w:t>Chair of the Board</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648"/>
        </w:trPr>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648"/>
        </w:trPr>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648"/>
        </w:trPr>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743"/>
        </w:trPr>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743"/>
        </w:trPr>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r>
        <w:trPr>
          <w:trHeight w:val="742"/>
        </w:trPr>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r>
    </w:tbl>
    <w:p>
      <w:pPr>
        <w:spacing w:after="0" w:line="419" w:lineRule="exact"/>
        <w:rPr>
          <w:sz w:val="20"/>
          <w:szCs w:val="20"/>
          <w:color w:val="auto"/>
        </w:rPr>
      </w:pPr>
    </w:p>
    <w:p>
      <w:pPr>
        <w:sectPr>
          <w:pgSz w:w="11900" w:h="16838" w:orient="portrait"/>
          <w:cols w:equalWidth="0" w:num="2">
            <w:col w:w="2700" w:space="720"/>
            <w:col w:w="7820"/>
          </w:cols>
          <w:pgMar w:left="320" w:top="337" w:right="339" w:bottom="1440"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3" w:name="page54"/>
    <w:bookmarkEnd w:id="53"/>
    <w:tbl>
      <w:tblPr>
        <w:tblLayout w:type="fixed"/>
        <w:tblInd w:w="1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2"/>
          </w:tcPr>
          <w:p>
            <w:pPr>
              <w:jc w:val="center"/>
              <w:ind w:right="3500"/>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240" w:type="dxa"/>
            <w:vAlign w:val="bottom"/>
          </w:tcPr>
          <w:p>
            <w:pPr>
              <w:spacing w:after="0"/>
              <w:rPr>
                <w:sz w:val="24"/>
                <w:szCs w:val="24"/>
                <w:color w:val="auto"/>
              </w:rPr>
            </w:pPr>
          </w:p>
        </w:tc>
      </w:tr>
      <w:tr>
        <w:trPr>
          <w:trHeight w:val="405"/>
        </w:trPr>
        <w:tc>
          <w:tcPr>
            <w:tcW w:w="1096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 (KPMG LLP, Santa Clara, California, PCAOB Audit Firm ID: 185)</w:t>
            </w:r>
          </w:p>
        </w:tc>
        <w:tc>
          <w:tcPr>
            <w:tcW w:w="240" w:type="dxa"/>
            <w:vAlign w:val="bottom"/>
          </w:tcPr>
          <w:p>
            <w:pPr>
              <w:spacing w:after="0"/>
              <w:rPr>
                <w:sz w:val="20"/>
                <w:szCs w:val="20"/>
                <w:color w:val="auto"/>
              </w:rPr>
            </w:pPr>
            <w:r>
              <w:rPr>
                <w:rFonts w:ascii="Arial" w:cs="Arial" w:eastAsia="Arial" w:hAnsi="Arial"/>
                <w:sz w:val="18"/>
                <w:szCs w:val="18"/>
                <w:color w:val="0000FF"/>
                <w:w w:val="81"/>
              </w:rPr>
              <w:t>F-2</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2"/>
        </w:trPr>
        <w:tc>
          <w:tcPr>
            <w:tcW w:w="10960" w:type="dxa"/>
            <w:vAlign w:val="bottom"/>
            <w:gridSpan w:val="8"/>
          </w:tcPr>
          <w:p>
            <w:pPr>
              <w:spacing w:after="0"/>
              <w:rPr>
                <w:sz w:val="20"/>
                <w:szCs w:val="20"/>
                <w:color w:val="auto"/>
              </w:rPr>
            </w:pPr>
            <w:r>
              <w:rPr>
                <w:rFonts w:ascii="Arial" w:cs="Arial" w:eastAsia="Arial" w:hAnsi="Arial"/>
                <w:sz w:val="18"/>
                <w:szCs w:val="18"/>
                <w:color w:val="0000FF"/>
              </w:rPr>
              <w:t>Consolidated Balance Sheets</w:t>
            </w:r>
          </w:p>
        </w:tc>
        <w:tc>
          <w:tcPr>
            <w:tcW w:w="240" w:type="dxa"/>
            <w:vAlign w:val="bottom"/>
          </w:tcPr>
          <w:p>
            <w:pPr>
              <w:spacing w:after="0"/>
              <w:rPr>
                <w:sz w:val="20"/>
                <w:szCs w:val="20"/>
                <w:color w:val="auto"/>
              </w:rPr>
            </w:pPr>
            <w:r>
              <w:rPr>
                <w:rFonts w:ascii="Arial" w:cs="Arial" w:eastAsia="Arial" w:hAnsi="Arial"/>
                <w:sz w:val="18"/>
                <w:szCs w:val="18"/>
                <w:color w:val="0000FF"/>
                <w:w w:val="81"/>
              </w:rPr>
              <w:t>F-4</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2"/>
        </w:trPr>
        <w:tc>
          <w:tcPr>
            <w:tcW w:w="109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240" w:type="dxa"/>
            <w:vAlign w:val="bottom"/>
          </w:tcPr>
          <w:p>
            <w:pPr>
              <w:spacing w:after="0"/>
              <w:rPr>
                <w:sz w:val="20"/>
                <w:szCs w:val="20"/>
                <w:color w:val="auto"/>
              </w:rPr>
            </w:pPr>
            <w:r>
              <w:rPr>
                <w:rFonts w:ascii="Arial" w:cs="Arial" w:eastAsia="Arial" w:hAnsi="Arial"/>
                <w:sz w:val="18"/>
                <w:szCs w:val="18"/>
                <w:color w:val="0000FF"/>
                <w:w w:val="81"/>
              </w:rPr>
              <w:t>F-5</w:t>
            </w:r>
          </w:p>
        </w:tc>
      </w:tr>
      <w:tr>
        <w:trPr>
          <w:trHeight w:val="20"/>
        </w:trPr>
        <w:tc>
          <w:tcPr>
            <w:tcW w:w="2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2"/>
        </w:trPr>
        <w:tc>
          <w:tcPr>
            <w:tcW w:w="109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w:t>
            </w:r>
          </w:p>
        </w:tc>
        <w:tc>
          <w:tcPr>
            <w:tcW w:w="240" w:type="dxa"/>
            <w:vAlign w:val="bottom"/>
          </w:tcPr>
          <w:p>
            <w:pPr>
              <w:spacing w:after="0"/>
              <w:rPr>
                <w:sz w:val="20"/>
                <w:szCs w:val="20"/>
                <w:color w:val="auto"/>
              </w:rPr>
            </w:pPr>
            <w:r>
              <w:rPr>
                <w:rFonts w:ascii="Arial" w:cs="Arial" w:eastAsia="Arial" w:hAnsi="Arial"/>
                <w:sz w:val="18"/>
                <w:szCs w:val="18"/>
                <w:color w:val="0000FF"/>
                <w:w w:val="81"/>
              </w:rPr>
              <w:t>F-6</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1"/>
        </w:trPr>
        <w:tc>
          <w:tcPr>
            <w:tcW w:w="1096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w:t>
            </w:r>
          </w:p>
        </w:tc>
        <w:tc>
          <w:tcPr>
            <w:tcW w:w="240" w:type="dxa"/>
            <w:vAlign w:val="bottom"/>
          </w:tcPr>
          <w:p>
            <w:pPr>
              <w:spacing w:after="0"/>
              <w:rPr>
                <w:sz w:val="20"/>
                <w:szCs w:val="20"/>
                <w:color w:val="auto"/>
              </w:rPr>
            </w:pPr>
            <w:r>
              <w:rPr>
                <w:rFonts w:ascii="Arial" w:cs="Arial" w:eastAsia="Arial" w:hAnsi="Arial"/>
                <w:sz w:val="18"/>
                <w:szCs w:val="18"/>
                <w:color w:val="0000FF"/>
                <w:w w:val="81"/>
              </w:rPr>
              <w:t>F-7</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2"/>
        </w:trPr>
        <w:tc>
          <w:tcPr>
            <w:tcW w:w="1096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240" w:type="dxa"/>
            <w:vAlign w:val="bottom"/>
          </w:tcPr>
          <w:p>
            <w:pPr>
              <w:spacing w:after="0"/>
              <w:rPr>
                <w:sz w:val="20"/>
                <w:szCs w:val="20"/>
                <w:color w:val="auto"/>
              </w:rPr>
            </w:pPr>
            <w:r>
              <w:rPr>
                <w:rFonts w:ascii="Arial" w:cs="Arial" w:eastAsia="Arial" w:hAnsi="Arial"/>
                <w:sz w:val="18"/>
                <w:szCs w:val="18"/>
                <w:color w:val="0000FF"/>
                <w:w w:val="81"/>
              </w:rPr>
              <w:t>F-8</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2"/>
        </w:trPr>
        <w:tc>
          <w:tcPr>
            <w:tcW w:w="1096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40" w:type="dxa"/>
            <w:vAlign w:val="bottom"/>
          </w:tcPr>
          <w:p>
            <w:pPr>
              <w:spacing w:after="0"/>
              <w:rPr>
                <w:sz w:val="20"/>
                <w:szCs w:val="20"/>
                <w:color w:val="auto"/>
              </w:rPr>
            </w:pPr>
            <w:r>
              <w:rPr>
                <w:rFonts w:ascii="Arial" w:cs="Arial" w:eastAsia="Arial" w:hAnsi="Arial"/>
                <w:sz w:val="18"/>
                <w:szCs w:val="18"/>
                <w:color w:val="0000FF"/>
                <w:w w:val="81"/>
              </w:rPr>
              <w:t>F-9</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Synaptics Incorporated and subsidiaries (the Company) as of June 24, 2023 and June 25, 2022, the related consolidated statements of operations, comprehensive income, stockholders’ equity, and cash flows for each of the fiscal years in the three fiscal year period ended June 24, 2023, and the related notes (collectively, the consolidated financial statements). We also have audited the Company’s internal control over financial reporting as of June 24, 2023, based on criteria established in Internal Control – Integrated Framework (2013) issued by the Committee of Sponsoring Organizations of the Treadway Commission.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24, 2023 and June 25, 2022, and the results of its operations and its cash flows for each of the fiscal years in the three fiscal year period ended June 24, 2023, in conformity with U.S. generally accepted accounting principles. Also in our opinion, the Company maintained, in all material respects, effective internal control over financial reporting as of June 24, 2023 based on criteria established in Internal Control – Integrated Framework (2013) issued by the Committee of Sponsoring Organizations of the Treadway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As discussed in Note 1 to the consolidated financial statements, the Company held $137.2 million of inventories as of June 24, 2023 which are stated at the lower of cost or net realizable value. The Company records a write-down for excess, obsolete or unmarketable inventories based on forecasts of future demand and market conditions.</w:t>
      </w:r>
    </w:p>
    <w:p>
      <w:pPr>
        <w:spacing w:after="0" w:line="184" w:lineRule="exact"/>
        <w:rPr>
          <w:sz w:val="20"/>
          <w:szCs w:val="20"/>
          <w:color w:val="auto"/>
        </w:rPr>
      </w:pPr>
    </w:p>
    <w:p>
      <w:pPr>
        <w:jc w:val="both"/>
        <w:ind w:left="520"/>
        <w:spacing w:after="0" w:line="301" w:lineRule="auto"/>
        <w:rPr>
          <w:sz w:val="20"/>
          <w:szCs w:val="20"/>
          <w:color w:val="auto"/>
        </w:rPr>
      </w:pPr>
      <w:r>
        <w:rPr>
          <w:rFonts w:ascii="Arial" w:cs="Arial" w:eastAsia="Arial" w:hAnsi="Arial"/>
          <w:sz w:val="16"/>
          <w:szCs w:val="16"/>
          <w:color w:val="auto"/>
        </w:rPr>
        <w:t>We identified the valuation of inventories associated with excess, obsolete or unmarketable inventories as a critical audit matter. A higher degree of auditor judgment was required to evaluate the Company’s estimate of net realizable value for these inventories. Specifically, there is a high degree of subjectivity in evaluating the effect of any unexpected or sudden declines in market demand which may result from changes to or cancellations of customer orders, rapid product improvements or technological advances, due to the nature of the evidence available related to these factors.</w:t>
      </w:r>
    </w:p>
    <w:p>
      <w:pPr>
        <w:spacing w:after="0" w:line="157" w:lineRule="exact"/>
        <w:rPr>
          <w:sz w:val="20"/>
          <w:szCs w:val="20"/>
          <w:color w:val="auto"/>
        </w:rPr>
      </w:pPr>
    </w:p>
    <w:p>
      <w:pPr>
        <w:jc w:val="both"/>
        <w:ind w:left="520"/>
        <w:spacing w:after="0" w:line="293"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process to develop the estimated net realizable value of inventory. For a selection of inventory items, we assessed the Company’s assumptions by comparing them to historical activity and demand forecasts. As part of the procedure, we considered customer communications, as well as end user and third-party publications. For a sample of inventory items, we recalculated the required write-downs and compared this to the recorded amounts. Additionally, we tested a sample of returns which resulted from quality related issues of the Company's products during the year and subsequent to period-end to evaluate if additional write-downs were warranted.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June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w:t>
            </w:r>
          </w:p>
        </w:tc>
      </w:tr>
      <w:tr>
        <w:trPr>
          <w:trHeight w:val="185"/>
        </w:trPr>
        <w:tc>
          <w:tcPr>
            <w:tcW w:w="79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900" w:type="dxa"/>
            <w:vAlign w:val="bottom"/>
            <w:shd w:val="clear" w:color="auto" w:fill="CFF0FC"/>
          </w:tcPr>
          <w:p>
            <w:pPr>
              <w:ind w:left="3540"/>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r>
      <w:tr>
        <w:trPr>
          <w:trHeight w:val="221"/>
        </w:trPr>
        <w:tc>
          <w:tcPr>
            <w:tcW w:w="7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receivable, net of allowance for credit losses of $5.0 and $6.0 at June 2023 and 2022,</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r>
      <w:tr>
        <w:trPr>
          <w:trHeight w:val="249"/>
        </w:trPr>
        <w:tc>
          <w:tcPr>
            <w:tcW w:w="7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1,272.0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intangibles, net</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r>
      <w:tr>
        <w:trPr>
          <w:trHeight w:val="24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900" w:type="dxa"/>
            <w:vAlign w:val="bottom"/>
          </w:tcPr>
          <w:p>
            <w:pPr>
              <w:spacing w:after="0"/>
              <w:rPr>
                <w:sz w:val="20"/>
                <w:szCs w:val="20"/>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2,611.4</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9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900" w:type="dxa"/>
            <w:vAlign w:val="bottom"/>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compensation</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accrued liabilities</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r>
      <w:tr>
        <w:trPr>
          <w:trHeight w:val="23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FF0FC"/>
          </w:tcPr>
          <w:p>
            <w:pPr>
              <w:spacing w:after="0"/>
              <w:rPr>
                <w:sz w:val="20"/>
                <w:szCs w:val="20"/>
                <w:color w:val="auto"/>
              </w:rPr>
            </w:pPr>
          </w:p>
        </w:tc>
      </w:tr>
      <w:tr>
        <w:trPr>
          <w:trHeight w:val="243"/>
        </w:trPr>
        <w:tc>
          <w:tcPr>
            <w:tcW w:w="7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r>
      <w:tr>
        <w:trPr>
          <w:trHeight w:val="23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1,368.0</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shd w:val="clear" w:color="auto" w:fill="CFF0FC"/>
          </w:tcPr>
          <w:p>
            <w:pPr>
              <w:spacing w:after="0"/>
              <w:rPr>
                <w:sz w:val="20"/>
                <w:szCs w:val="20"/>
                <w:color w:val="auto"/>
              </w:rPr>
            </w:pPr>
          </w:p>
        </w:tc>
      </w:tr>
      <w:tr>
        <w:trPr>
          <w:trHeight w:val="243"/>
        </w:trPr>
        <w:tc>
          <w:tcPr>
            <w:tcW w:w="7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$0.001 par value; 10,000,000 shares authorized; no shares issued and outstanding</w:t>
            </w:r>
          </w:p>
        </w:tc>
        <w:tc>
          <w:tcPr>
            <w:tcW w:w="9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$0.001 par value; 120,000,000 shares authorized, 68,687,511 and 67,745,800 shares issued,</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38,571,072 and 39,621,179 shares outstanding, at June 2023 and 2022, respectively</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1,009.2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924.1</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Treasury stock: 30,116,439 and 28,124,621 common shares at June 2023 and 2022, respectively, at cost</w:t>
            </w:r>
          </w:p>
        </w:tc>
        <w:tc>
          <w:tcPr>
            <w:tcW w:w="9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(878.0 )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(694.5 )</w:t>
            </w: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r>
      <w:tr>
        <w:trPr>
          <w:trHeight w:val="249"/>
        </w:trPr>
        <w:tc>
          <w:tcPr>
            <w:tcW w:w="7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Retained earnings</w:t>
            </w: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1,112.1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1,243.4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Pr>
          <w:p>
            <w:pPr>
              <w:spacing w:after="0"/>
              <w:rPr>
                <w:sz w:val="20"/>
                <w:szCs w:val="20"/>
                <w:color w:val="auto"/>
              </w:rPr>
            </w:pPr>
          </w:p>
        </w:tc>
      </w:tr>
      <w:tr>
        <w:trPr>
          <w:trHeight w:val="270"/>
        </w:trPr>
        <w:tc>
          <w:tcPr>
            <w:tcW w:w="79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2,611.4</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-5485765</wp:posOffset>
            </wp:positionV>
            <wp:extent cx="7747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-5485765</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-4551045</wp:posOffset>
            </wp:positionV>
            <wp:extent cx="7747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-351155</wp:posOffset>
            </wp:positionV>
            <wp:extent cx="7747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100" w:type="dxa"/>
            <w:vAlign w:val="bottom"/>
            <w:shd w:val="clear" w:color="auto" w:fill="CFF0FC"/>
          </w:tcPr>
          <w:p>
            <w:pPr>
              <w:spacing w:after="0"/>
              <w:rPr>
                <w:sz w:val="20"/>
                <w:szCs w:val="20"/>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21"/>
                <w:szCs w:val="21"/>
                <w:color w:val="auto"/>
              </w:rPr>
            </w:pPr>
          </w:p>
        </w:tc>
      </w:tr>
      <w:tr>
        <w:trPr>
          <w:trHeight w:val="237"/>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715.9</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intangibles amortization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3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sale of audio technology assets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(34.2 )</w:t>
            </w:r>
          </w:p>
        </w:tc>
      </w:tr>
      <w:tr>
        <w:trPr>
          <w:trHeight w:val="237"/>
        </w:trPr>
        <w:tc>
          <w:tcPr>
            <w:tcW w:w="66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561.6</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top w:val="single" w:sz="8" w:color="CFF0FC"/>
            </w:tcBorders>
          </w:tcPr>
          <w:p>
            <w:pPr>
              <w:spacing w:after="0"/>
              <w:rPr>
                <w:sz w:val="20"/>
                <w:szCs w:val="20"/>
                <w:color w:val="auto"/>
              </w:rPr>
            </w:pPr>
          </w:p>
        </w:tc>
      </w:tr>
      <w:tr>
        <w:trPr>
          <w:trHeight w:val="236"/>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(55.5 )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(29.5 )</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Loss on redemption of convertible notes</w:t>
            </w:r>
          </w:p>
        </w:tc>
        <w:tc>
          <w:tcPr>
            <w:tcW w:w="3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(8.1 )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(0.3 )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from sale and leaseback transaction</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provision for income taxes and equity investment gain (loss)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top w:val="single" w:sz="8" w:color="CFF0FC"/>
            </w:tcBorders>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Equity investment gain (loss)</w:t>
            </w:r>
          </w:p>
        </w:tc>
        <w:tc>
          <w:tcPr>
            <w:tcW w:w="32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r>
      <w:tr>
        <w:trPr>
          <w:trHeight w:val="276"/>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6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computing net income per share:</w:t>
            </w:r>
          </w:p>
        </w:tc>
        <w:tc>
          <w:tcPr>
            <w:tcW w:w="3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-3908425</wp:posOffset>
            </wp:positionV>
            <wp:extent cx="7683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-3908425</wp:posOffset>
            </wp:positionV>
            <wp:extent cx="6858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-2973705</wp:posOffset>
            </wp:positionV>
            <wp:extent cx="7683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-2973705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-2030730</wp:posOffset>
            </wp:positionV>
            <wp:extent cx="7683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-2030730</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-1397000</wp:posOffset>
            </wp:positionV>
            <wp:extent cx="2074545"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2074545" cy="1803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-710565</wp:posOffset>
            </wp:positionV>
            <wp:extent cx="2074545"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2074545" cy="1797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(1.8 )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Reclassification adjustments for losses included in net income</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75.4</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342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342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90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Treasury</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Comprehen</w:t>
            </w: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Stockholder</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sive</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w:t>
            </w: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1"/>
                <w:szCs w:val="11"/>
                <w:color w:val="auto"/>
              </w:rPr>
            </w:pPr>
          </w:p>
        </w:tc>
        <w:tc>
          <w:tcPr>
            <w:tcW w:w="90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1"/>
                <w:szCs w:val="11"/>
                <w:color w:val="auto"/>
              </w:rPr>
            </w:pPr>
          </w:p>
        </w:tc>
        <w:tc>
          <w:tcPr>
            <w:tcW w:w="88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1"/>
                <w:szCs w:val="11"/>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65,871,648</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1,340.2</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(1,222.6</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701.4</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18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Issuance of common stock for share-based award compensation</w:t>
            </w: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1,091,358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ind w:left="120"/>
              <w:spacing w:after="0"/>
              <w:rPr>
                <w:sz w:val="20"/>
                <w:szCs w:val="20"/>
                <w:color w:val="auto"/>
              </w:rPr>
            </w:pPr>
            <w:r>
              <w:rPr>
                <w:rFonts w:ascii="Arial" w:cs="Arial" w:eastAsia="Arial" w:hAnsi="Arial"/>
                <w:sz w:val="14"/>
                <w:szCs w:val="14"/>
                <w:color w:val="auto"/>
                <w:w w:val="96"/>
              </w:rPr>
              <w:t>Payroll taxes related to net share settlement of share-based awards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(28.3 )</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 issued for redemption of convertible notes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(17.5 )</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76"/>
        </w:trPr>
        <w:tc>
          <w:tcPr>
            <w:tcW w:w="4180" w:type="dxa"/>
            <w:vAlign w:val="bottom"/>
          </w:tcPr>
          <w:p>
            <w:pPr>
              <w:ind w:left="120"/>
              <w:spacing w:after="0"/>
              <w:rPr>
                <w:sz w:val="20"/>
                <w:szCs w:val="20"/>
                <w:color w:val="auto"/>
              </w:rPr>
            </w:pPr>
            <w:r>
              <w:rPr>
                <w:rFonts w:ascii="Arial" w:cs="Arial" w:eastAsia="Arial" w:hAnsi="Arial"/>
                <w:sz w:val="14"/>
                <w:szCs w:val="14"/>
                <w:color w:val="auto"/>
              </w:rPr>
              <w:t>Share-based compensation attributable to acquisition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Share-based compensation</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66.1</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Balance at June 2021</w:t>
            </w:r>
          </w:p>
        </w:tc>
        <w:tc>
          <w:tcPr>
            <w:tcW w:w="840" w:type="dxa"/>
            <w:vAlign w:val="bottom"/>
          </w:tcPr>
          <w:p>
            <w:pPr>
              <w:jc w:val="right"/>
              <w:spacing w:after="0"/>
              <w:rPr>
                <w:sz w:val="20"/>
                <w:szCs w:val="20"/>
                <w:color w:val="auto"/>
              </w:rPr>
            </w:pPr>
            <w:r>
              <w:rPr>
                <w:rFonts w:ascii="Arial" w:cs="Arial" w:eastAsia="Arial" w:hAnsi="Arial"/>
                <w:sz w:val="14"/>
                <w:szCs w:val="14"/>
                <w:color w:val="auto"/>
              </w:rPr>
              <w:t>66,963,006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(1,205.4 )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781.0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43"/>
        </w:trPr>
        <w:tc>
          <w:tcPr>
            <w:tcW w:w="418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Issuance of common stock for share-based award compensation</w:t>
            </w: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782,794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ind w:left="120"/>
              <w:spacing w:after="0"/>
              <w:rPr>
                <w:sz w:val="20"/>
                <w:szCs w:val="20"/>
                <w:color w:val="auto"/>
              </w:rPr>
            </w:pPr>
            <w:r>
              <w:rPr>
                <w:rFonts w:ascii="Arial" w:cs="Arial" w:eastAsia="Arial" w:hAnsi="Arial"/>
                <w:sz w:val="14"/>
                <w:szCs w:val="14"/>
                <w:color w:val="auto"/>
              </w:rPr>
              <w:t>Treasury stock issued for redemption of convertible notes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(517.8 )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510.9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6"/>
              </w:rPr>
              <w:t>Payroll taxes related to net share settlement of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(67.3 )</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(67.3 )</w:t>
            </w:r>
          </w:p>
        </w:tc>
        <w:tc>
          <w:tcPr>
            <w:tcW w:w="0" w:type="dxa"/>
            <w:vAlign w:val="bottom"/>
          </w:tcPr>
          <w:p>
            <w:pPr>
              <w:spacing w:after="0"/>
              <w:rPr>
                <w:sz w:val="1"/>
                <w:szCs w:val="1"/>
                <w:color w:val="auto"/>
              </w:rPr>
            </w:pPr>
          </w:p>
        </w:tc>
      </w:tr>
      <w:tr>
        <w:trPr>
          <w:trHeight w:val="176"/>
        </w:trPr>
        <w:tc>
          <w:tcPr>
            <w:tcW w:w="4180" w:type="dxa"/>
            <w:vAlign w:val="bottom"/>
          </w:tcPr>
          <w:p>
            <w:pPr>
              <w:ind w:left="120"/>
              <w:spacing w:after="0"/>
              <w:rPr>
                <w:sz w:val="20"/>
                <w:szCs w:val="20"/>
                <w:color w:val="auto"/>
              </w:rPr>
            </w:pPr>
            <w:r>
              <w:rPr>
                <w:rFonts w:ascii="Arial" w:cs="Arial" w:eastAsia="Arial" w:hAnsi="Arial"/>
                <w:sz w:val="14"/>
                <w:szCs w:val="14"/>
                <w:color w:val="auto"/>
              </w:rPr>
              <w:t>Share-based compensation attributable to acquisition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Share-based compensation</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Balance at June 2022</w:t>
            </w:r>
          </w:p>
        </w:tc>
        <w:tc>
          <w:tcPr>
            <w:tcW w:w="840" w:type="dxa"/>
            <w:vAlign w:val="bottom"/>
          </w:tcPr>
          <w:p>
            <w:pPr>
              <w:jc w:val="right"/>
              <w:spacing w:after="0"/>
              <w:rPr>
                <w:sz w:val="20"/>
                <w:szCs w:val="20"/>
                <w:color w:val="auto"/>
              </w:rPr>
            </w:pPr>
            <w:r>
              <w:rPr>
                <w:rFonts w:ascii="Arial" w:cs="Arial" w:eastAsia="Arial" w:hAnsi="Arial"/>
                <w:sz w:val="14"/>
                <w:szCs w:val="14"/>
                <w:color w:val="auto"/>
              </w:rPr>
              <w:t>67,745,800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(694.5 )</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1,038.5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18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Issuance of common stock for share-based award compensation</w:t>
            </w: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941,711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ind w:left="120"/>
              <w:spacing w:after="0"/>
              <w:rPr>
                <w:sz w:val="20"/>
                <w:szCs w:val="20"/>
                <w:color w:val="auto"/>
              </w:rPr>
            </w:pPr>
            <w:r>
              <w:rPr>
                <w:rFonts w:ascii="Arial" w:cs="Arial" w:eastAsia="Arial" w:hAnsi="Arial"/>
                <w:sz w:val="14"/>
                <w:szCs w:val="14"/>
                <w:color w:val="auto"/>
                <w:w w:val="96"/>
              </w:rPr>
              <w:t>Payroll taxes related to net share settlement of share-based awards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(54.5 )</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(54.5 )</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repurchased</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(183.5 )</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(183.5 )</w:t>
            </w:r>
          </w:p>
        </w:tc>
        <w:tc>
          <w:tcPr>
            <w:tcW w:w="0" w:type="dxa"/>
            <w:vAlign w:val="bottom"/>
          </w:tcPr>
          <w:p>
            <w:pPr>
              <w:spacing w:after="0"/>
              <w:rPr>
                <w:sz w:val="1"/>
                <w:szCs w:val="1"/>
                <w:color w:val="auto"/>
              </w:rPr>
            </w:pPr>
          </w:p>
        </w:tc>
      </w:tr>
      <w:tr>
        <w:trPr>
          <w:trHeight w:val="175"/>
        </w:trPr>
        <w:tc>
          <w:tcPr>
            <w:tcW w:w="418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June 2023</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68,687,511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(878.0</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1,112.1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-2022475</wp:posOffset>
            </wp:positionV>
            <wp:extent cx="7747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-2022475</wp:posOffset>
            </wp:positionV>
            <wp:extent cx="7747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-2022475</wp:posOffset>
            </wp:positionV>
            <wp:extent cx="6858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-2022475</wp:posOffset>
            </wp:positionV>
            <wp:extent cx="6858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-2022475</wp:posOffset>
            </wp:positionV>
            <wp:extent cx="6858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-2022475</wp:posOffset>
            </wp:positionV>
            <wp:extent cx="6858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-1028065</wp:posOffset>
            </wp:positionV>
            <wp:extent cx="7747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-1028065</wp:posOffset>
            </wp:positionV>
            <wp:extent cx="7747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-1028065</wp:posOffset>
            </wp:positionV>
            <wp:extent cx="6858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-1028065</wp:posOffset>
            </wp:positionV>
            <wp:extent cx="6858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-1028065</wp:posOffset>
            </wp:positionV>
            <wp:extent cx="6858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-1028065</wp:posOffset>
            </wp:positionV>
            <wp:extent cx="68580"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73.6</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257.5</w:t>
            </w:r>
          </w:p>
        </w:tc>
        <w:tc>
          <w:tcPr>
            <w:tcW w:w="24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4"/>
                <w:szCs w:val="14"/>
                <w:color w:val="auto"/>
              </w:rPr>
              <w:t>Share-based compensation costs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FF0FC"/>
          </w:tcPr>
          <w:p>
            <w:pPr>
              <w:spacing w:after="0"/>
              <w:rPr>
                <w:sz w:val="15"/>
                <w:szCs w:val="15"/>
                <w:color w:val="auto"/>
              </w:rPr>
            </w:pPr>
          </w:p>
        </w:tc>
      </w:tr>
      <w:tr>
        <w:trPr>
          <w:trHeight w:val="176"/>
        </w:trPr>
        <w:tc>
          <w:tcPr>
            <w:tcW w:w="6620" w:type="dxa"/>
            <w:vAlign w:val="bottom"/>
          </w:tcPr>
          <w:p>
            <w:pPr>
              <w:ind w:left="200"/>
              <w:spacing w:after="0"/>
              <w:rPr>
                <w:sz w:val="20"/>
                <w:szCs w:val="20"/>
                <w:color w:val="auto"/>
              </w:rPr>
            </w:pPr>
            <w:r>
              <w:rPr>
                <w:rFonts w:ascii="Arial" w:cs="Arial" w:eastAsia="Arial" w:hAnsi="Arial"/>
                <w:sz w:val="14"/>
                <w:szCs w:val="14"/>
                <w:color w:val="auto"/>
              </w:rPr>
              <w:t>Acquired intangibles amortization</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sale of audio technology assets</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(34.2 )</w:t>
            </w:r>
          </w:p>
        </w:tc>
      </w:tr>
      <w:tr>
        <w:trPr>
          <w:trHeight w:val="176"/>
        </w:trPr>
        <w:tc>
          <w:tcPr>
            <w:tcW w:w="6620" w:type="dxa"/>
            <w:vAlign w:val="bottom"/>
          </w:tcPr>
          <w:p>
            <w:pPr>
              <w:ind w:left="200"/>
              <w:spacing w:after="0"/>
              <w:rPr>
                <w:sz w:val="20"/>
                <w:szCs w:val="20"/>
                <w:color w:val="auto"/>
              </w:rPr>
            </w:pPr>
            <w:r>
              <w:rPr>
                <w:rFonts w:ascii="Arial" w:cs="Arial" w:eastAsia="Arial" w:hAnsi="Arial"/>
                <w:sz w:val="14"/>
                <w:szCs w:val="14"/>
                <w:color w:val="auto"/>
              </w:rPr>
              <w:t>Gain on sale and leaseback transaction</w:t>
            </w:r>
          </w:p>
        </w:tc>
        <w:tc>
          <w:tcPr>
            <w:tcW w:w="900" w:type="dxa"/>
            <w:vAlign w:val="bottom"/>
          </w:tcPr>
          <w:p>
            <w:pPr>
              <w:spacing w:after="0"/>
              <w:rPr>
                <w:sz w:val="15"/>
                <w:szCs w:val="15"/>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(5.4 )</w:t>
            </w:r>
          </w:p>
        </w:tc>
        <w:tc>
          <w:tcPr>
            <w:tcW w:w="32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on redemption of convertible notes</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5"/>
                <w:szCs w:val="15"/>
                <w:color w:val="auto"/>
              </w:rPr>
            </w:pPr>
          </w:p>
        </w:tc>
      </w:tr>
      <w:tr>
        <w:trPr>
          <w:trHeight w:val="176"/>
        </w:trPr>
        <w:tc>
          <w:tcPr>
            <w:tcW w:w="6620" w:type="dxa"/>
            <w:vAlign w:val="bottom"/>
          </w:tcPr>
          <w:p>
            <w:pPr>
              <w:ind w:left="200"/>
              <w:spacing w:after="0"/>
              <w:rPr>
                <w:sz w:val="20"/>
                <w:szCs w:val="20"/>
                <w:color w:val="auto"/>
              </w:rPr>
            </w:pPr>
            <w:r>
              <w:rPr>
                <w:rFonts w:ascii="Arial" w:cs="Arial" w:eastAsia="Arial" w:hAnsi="Arial"/>
                <w:sz w:val="14"/>
                <w:szCs w:val="14"/>
                <w:color w:val="auto"/>
              </w:rPr>
              <w:t>Deferred taxes</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(25.9 )</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(29.7 )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(5.2 )</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convertible debt discount and issuance costs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4"/>
                <w:szCs w:val="14"/>
                <w:color w:val="auto"/>
              </w:rPr>
              <w:t>Amortization of right-of-use assets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cost of development services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4"/>
                <w:szCs w:val="14"/>
                <w:color w:val="auto"/>
              </w:rPr>
              <w:t>Provision for inventory excess and obsolescence</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(10.9 )</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 investment (gain) loss</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(1.6 )</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4"/>
                <w:szCs w:val="14"/>
                <w:color w:val="auto"/>
              </w:rPr>
              <w:t>Foreign currency remeasurement (gain) loss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(7.6 )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(2.8 )</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(0.3 )</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(1.3 )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62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 net of acquisitions:</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receivable, net</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(81.1 )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(25.9 )</w:t>
            </w:r>
          </w:p>
        </w:tc>
      </w:tr>
      <w:tr>
        <w:trPr>
          <w:trHeight w:val="176"/>
        </w:trPr>
        <w:tc>
          <w:tcPr>
            <w:tcW w:w="6620" w:type="dxa"/>
            <w:vAlign w:val="bottom"/>
          </w:tcPr>
          <w:p>
            <w:pPr>
              <w:ind w:left="30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(54.2 )</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(6.1 )</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(9.4 )</w:t>
            </w:r>
          </w:p>
        </w:tc>
      </w:tr>
      <w:tr>
        <w:trPr>
          <w:trHeight w:val="176"/>
        </w:trPr>
        <w:tc>
          <w:tcPr>
            <w:tcW w:w="6620" w:type="dxa"/>
            <w:vAlign w:val="bottom"/>
          </w:tcPr>
          <w:p>
            <w:pPr>
              <w:ind w:left="30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(8.6 )</w:t>
            </w:r>
          </w:p>
        </w:tc>
      </w:tr>
      <w:tr>
        <w:trPr>
          <w:trHeight w:val="176"/>
        </w:trPr>
        <w:tc>
          <w:tcPr>
            <w:tcW w:w="6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(95.6 )</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00"/>
              <w:spacing w:after="0"/>
              <w:rPr>
                <w:sz w:val="20"/>
                <w:szCs w:val="20"/>
                <w:color w:val="auto"/>
              </w:rPr>
            </w:pPr>
            <w:r>
              <w:rPr>
                <w:rFonts w:ascii="Arial" w:cs="Arial" w:eastAsia="Arial" w:hAnsi="Arial"/>
                <w:sz w:val="14"/>
                <w:szCs w:val="14"/>
                <w:color w:val="auto"/>
              </w:rPr>
              <w:t>Accrued compensation</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(45.4 )</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taxes payable</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(15.6 )</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(2.1 )</w:t>
            </w:r>
          </w:p>
        </w:tc>
      </w:tr>
      <w:tr>
        <w:trPr>
          <w:trHeight w:val="175"/>
        </w:trPr>
        <w:tc>
          <w:tcPr>
            <w:tcW w:w="6620" w:type="dxa"/>
            <w:vAlign w:val="bottom"/>
          </w:tcPr>
          <w:p>
            <w:pPr>
              <w:ind w:left="300"/>
              <w:spacing w:after="0"/>
              <w:rPr>
                <w:sz w:val="20"/>
                <w:szCs w:val="20"/>
                <w:color w:val="auto"/>
              </w:rPr>
            </w:pPr>
            <w:r>
              <w:rPr>
                <w:rFonts w:ascii="Arial" w:cs="Arial" w:eastAsia="Arial" w:hAnsi="Arial"/>
                <w:sz w:val="14"/>
                <w:szCs w:val="14"/>
                <w:color w:val="auto"/>
              </w:rPr>
              <w:t>Other accrued liabilities</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(56.0 )</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(17.2 )</w:t>
            </w:r>
          </w:p>
        </w:tc>
      </w:tr>
      <w:tr>
        <w:trPr>
          <w:trHeight w:val="16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331.5</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462.7</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sale of assets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620" w:type="dxa"/>
            <w:vAlign w:val="bottom"/>
          </w:tcPr>
          <w:p>
            <w:pPr>
              <w:ind w:left="120"/>
              <w:spacing w:after="0"/>
              <w:rPr>
                <w:sz w:val="20"/>
                <w:szCs w:val="20"/>
                <w:color w:val="auto"/>
              </w:rPr>
            </w:pPr>
            <w:r>
              <w:rPr>
                <w:rFonts w:ascii="Arial" w:cs="Arial" w:eastAsia="Arial" w:hAnsi="Arial"/>
                <w:sz w:val="14"/>
                <w:szCs w:val="14"/>
                <w:color w:val="auto"/>
              </w:rPr>
              <w:t>Acquisition of businesses, net of cash and cash equivalents acquired</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(15.5 )</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(501.1 )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(626.5 )</w:t>
            </w: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Advance payment on intangible assets</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(30.0 )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Proceeds from sale of audio technology assets</w:t>
            </w:r>
          </w:p>
        </w:tc>
        <w:tc>
          <w:tcPr>
            <w:tcW w:w="900" w:type="dxa"/>
            <w:vAlign w:val="bottom"/>
          </w:tcPr>
          <w:p>
            <w:pPr>
              <w:spacing w:after="0"/>
              <w:rPr>
                <w:sz w:val="15"/>
                <w:szCs w:val="15"/>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maturity of investments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Proceeds from sale of investments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of short-term securities</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(5.8 )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(34.2 )</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(31.1 )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(21.1 )</w:t>
            </w: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Receipt of liquidation payment on equity investment</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Purchase of intangible assets</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(0.9 )</w:t>
            </w:r>
          </w:p>
        </w:tc>
        <w:tc>
          <w:tcPr>
            <w:tcW w:w="20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sale of equity method investment</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Cost method investment</w:t>
            </w:r>
          </w:p>
        </w:tc>
        <w:tc>
          <w:tcPr>
            <w:tcW w:w="900" w:type="dxa"/>
            <w:vAlign w:val="bottom"/>
          </w:tcPr>
          <w:p>
            <w:pPr>
              <w:spacing w:after="0"/>
              <w:rPr>
                <w:sz w:val="15"/>
                <w:szCs w:val="15"/>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(5.0 )</w:t>
            </w:r>
          </w:p>
        </w:tc>
      </w:tr>
      <w:tr>
        <w:trPr>
          <w:trHeight w:val="16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(482.7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issuance of debt</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Payment of debt issuance costs</w:t>
            </w:r>
          </w:p>
        </w:tc>
        <w:tc>
          <w:tcPr>
            <w:tcW w:w="900" w:type="dxa"/>
            <w:vAlign w:val="bottom"/>
          </w:tcPr>
          <w:p>
            <w:pPr>
              <w:spacing w:after="0"/>
              <w:rPr>
                <w:sz w:val="15"/>
                <w:szCs w:val="15"/>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(11.2 )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(6.0 )</w:t>
            </w: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issuance of shares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FF0FC"/>
          </w:tcPr>
          <w:p>
            <w:pPr>
              <w:spacing w:after="0"/>
              <w:rPr>
                <w:sz w:val="15"/>
                <w:szCs w:val="15"/>
                <w:color w:val="auto"/>
              </w:rPr>
            </w:pPr>
          </w:p>
        </w:tc>
      </w:tr>
      <w:tr>
        <w:trPr>
          <w:trHeight w:val="176"/>
        </w:trPr>
        <w:tc>
          <w:tcPr>
            <w:tcW w:w="6620" w:type="dxa"/>
            <w:vAlign w:val="bottom"/>
          </w:tcPr>
          <w:p>
            <w:pPr>
              <w:ind w:left="120"/>
              <w:spacing w:after="0"/>
              <w:rPr>
                <w:sz w:val="20"/>
                <w:szCs w:val="20"/>
                <w:color w:val="auto"/>
              </w:rPr>
            </w:pPr>
            <w:r>
              <w:rPr>
                <w:rFonts w:ascii="Arial" w:cs="Arial" w:eastAsia="Arial" w:hAnsi="Arial"/>
                <w:sz w:val="14"/>
                <w:szCs w:val="14"/>
                <w:color w:val="auto"/>
              </w:rPr>
              <w:t>Payroll taxes related to net share settlement of share-based awards</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(54.5 )</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(67.3 )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(28.3 )</w:t>
            </w: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Repurchases of common stock</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(183.5 )</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Repayment on line of credit borrowings and debt</w:t>
            </w:r>
          </w:p>
        </w:tc>
        <w:tc>
          <w:tcPr>
            <w:tcW w:w="90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(6.0 )</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(3.0 )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(100.0 )</w:t>
            </w:r>
          </w:p>
        </w:tc>
      </w:tr>
      <w:tr>
        <w:trPr>
          <w:trHeight w:val="175"/>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Payment for redemption of convertible notes</w:t>
            </w:r>
          </w:p>
        </w:tc>
        <w:tc>
          <w:tcPr>
            <w:tcW w:w="9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(505.6 )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(19.4 )</w:t>
            </w:r>
          </w:p>
        </w:tc>
      </w:tr>
      <w:tr>
        <w:trPr>
          <w:trHeight w:val="175"/>
        </w:trPr>
        <w:tc>
          <w:tcPr>
            <w:tcW w:w="6620" w:type="dxa"/>
            <w:vAlign w:val="bottom"/>
          </w:tcPr>
          <w:p>
            <w:pPr>
              <w:ind w:left="120"/>
              <w:spacing w:after="0"/>
              <w:rPr>
                <w:sz w:val="20"/>
                <w:szCs w:val="20"/>
                <w:color w:val="auto"/>
              </w:rPr>
            </w:pPr>
            <w:r>
              <w:rPr>
                <w:rFonts w:ascii="Arial" w:cs="Arial" w:eastAsia="Arial" w:hAnsi="Arial"/>
                <w:sz w:val="14"/>
                <w:szCs w:val="14"/>
                <w:color w:val="auto"/>
              </w:rPr>
              <w:t>Refundable deposit paid to vendor</w:t>
            </w:r>
          </w:p>
        </w:tc>
        <w:tc>
          <w:tcPr>
            <w:tcW w:w="900" w:type="dxa"/>
            <w:vAlign w:val="bottom"/>
          </w:tcPr>
          <w:p>
            <w:pPr>
              <w:spacing w:after="0"/>
              <w:rPr>
                <w:sz w:val="15"/>
                <w:szCs w:val="15"/>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(16.6 )</w:t>
            </w:r>
          </w:p>
        </w:tc>
        <w:tc>
          <w:tcPr>
            <w:tcW w:w="32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Return of deposit received from vendor and other</w:t>
            </w:r>
          </w:p>
        </w:tc>
        <w:tc>
          <w:tcPr>
            <w:tcW w:w="9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90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(221.3 )</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274.1</w:t>
            </w:r>
          </w:p>
        </w:tc>
        <w:tc>
          <w:tcPr>
            <w:tcW w:w="100" w:type="dxa"/>
            <w:vAlign w:val="bottom"/>
          </w:tcPr>
          <w:p>
            <w:pPr>
              <w:spacing w:after="0"/>
              <w:rPr>
                <w:sz w:val="14"/>
                <w:szCs w:val="14"/>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9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(12.3 )</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5"/>
                <w:szCs w:val="15"/>
                <w:color w:val="auto"/>
              </w:rPr>
            </w:pPr>
          </w:p>
        </w:tc>
      </w:tr>
      <w:tr>
        <w:trPr>
          <w:trHeight w:val="175"/>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824.0</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836.3</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763.4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20"/>
              <w:spacing w:after="0" w:line="155" w:lineRule="exact"/>
              <w:rPr>
                <w:sz w:val="20"/>
                <w:szCs w:val="20"/>
                <w:color w:val="auto"/>
              </w:rPr>
            </w:pPr>
            <w:r>
              <w:rPr>
                <w:rFonts w:ascii="Arial" w:cs="Arial" w:eastAsia="Arial" w:hAnsi="Arial"/>
                <w:sz w:val="14"/>
                <w:szCs w:val="14"/>
                <w:color w:val="auto"/>
              </w:rPr>
              <w:t>Cash and cash equivalents, end of period</w:t>
            </w:r>
          </w:p>
        </w:tc>
        <w:tc>
          <w:tcPr>
            <w:tcW w:w="9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924.7</w:t>
            </w:r>
          </w:p>
        </w:tc>
        <w:tc>
          <w:tcPr>
            <w:tcW w:w="26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824.0</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836.3</w:t>
            </w:r>
          </w:p>
        </w:tc>
        <w:tc>
          <w:tcPr>
            <w:tcW w:w="100" w:type="dxa"/>
            <w:vAlign w:val="bottom"/>
          </w:tcPr>
          <w:p>
            <w:pPr>
              <w:spacing w:after="0"/>
              <w:rPr>
                <w:sz w:val="14"/>
                <w:szCs w:val="14"/>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620" w:type="dxa"/>
            <w:vAlign w:val="bottom"/>
          </w:tcPr>
          <w:p>
            <w:pPr>
              <w:ind w:left="20"/>
              <w:spacing w:after="0" w:line="155" w:lineRule="exact"/>
              <w:rPr>
                <w:sz w:val="20"/>
                <w:szCs w:val="20"/>
                <w:color w:val="auto"/>
              </w:rPr>
            </w:pPr>
            <w:r>
              <w:rPr>
                <w:rFonts w:ascii="Arial" w:cs="Arial" w:eastAsia="Arial" w:hAnsi="Arial"/>
                <w:sz w:val="14"/>
                <w:szCs w:val="14"/>
                <w:color w:val="auto"/>
              </w:rPr>
              <w:t>Cash paid for taxes, net of refunds</w:t>
            </w:r>
          </w:p>
        </w:tc>
        <w:tc>
          <w:tcPr>
            <w:tcW w:w="9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91.4</w:t>
            </w:r>
          </w:p>
        </w:tc>
        <w:tc>
          <w:tcPr>
            <w:tcW w:w="26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39.4</w:t>
            </w:r>
          </w:p>
        </w:tc>
        <w:tc>
          <w:tcPr>
            <w:tcW w:w="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Cash paid for interest</w:t>
            </w:r>
          </w:p>
        </w:tc>
        <w:tc>
          <w:tcPr>
            <w:tcW w:w="900" w:type="dxa"/>
            <w:vAlign w:val="bottom"/>
            <w:tcBorders>
              <w:bottom w:val="single" w:sz="8" w:color="auto"/>
            </w:tcBorders>
            <w:shd w:val="clear" w:color="auto" w:fill="CFF0FC"/>
          </w:tcPr>
          <w:p>
            <w:pPr>
              <w:jc w:val="right"/>
              <w:ind w:right="7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51.9</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6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disclosures of non-cash transactions</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Purchases of property and equipment in current liabilities</w:t>
            </w:r>
          </w:p>
        </w:tc>
        <w:tc>
          <w:tcPr>
            <w:tcW w:w="900" w:type="dxa"/>
            <w:vAlign w:val="bottom"/>
            <w:tcBorders>
              <w:bottom w:val="single" w:sz="8" w:color="auto"/>
            </w:tcBorders>
            <w:shd w:val="clear" w:color="auto" w:fill="CFF0FC"/>
          </w:tcPr>
          <w:p>
            <w:pPr>
              <w:jc w:val="right"/>
              <w:ind w:right="7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620" w:type="dxa"/>
            <w:vAlign w:val="bottom"/>
          </w:tcPr>
          <w:p>
            <w:pPr>
              <w:ind w:left="20"/>
              <w:spacing w:after="0" w:line="155" w:lineRule="exact"/>
              <w:rPr>
                <w:sz w:val="20"/>
                <w:szCs w:val="20"/>
                <w:color w:val="auto"/>
              </w:rPr>
            </w:pPr>
            <w:r>
              <w:rPr>
                <w:rFonts w:ascii="Arial" w:cs="Arial" w:eastAsia="Arial" w:hAnsi="Arial"/>
                <w:sz w:val="14"/>
                <w:szCs w:val="14"/>
                <w:color w:val="auto"/>
              </w:rPr>
              <w:t>Receipt of intangible assets from advance payment made in previous fiscal year</w:t>
            </w:r>
          </w:p>
        </w:tc>
        <w:tc>
          <w:tcPr>
            <w:tcW w:w="900" w:type="dxa"/>
            <w:vAlign w:val="bottom"/>
          </w:tcPr>
          <w:p>
            <w:pPr>
              <w:jc w:val="right"/>
              <w:ind w:right="7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30.0</w:t>
            </w:r>
          </w:p>
        </w:tc>
        <w:tc>
          <w:tcPr>
            <w:tcW w:w="26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-4079875</wp:posOffset>
            </wp:positionV>
            <wp:extent cx="76835"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-4079875</wp:posOffset>
            </wp:positionV>
            <wp:extent cx="68580"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-2502535</wp:posOffset>
            </wp:positionV>
            <wp:extent cx="76835"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-2502535</wp:posOffset>
            </wp:positionV>
            <wp:extent cx="6858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-1379855</wp:posOffset>
            </wp:positionV>
            <wp:extent cx="7683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-1379855</wp:posOffset>
            </wp:positionV>
            <wp:extent cx="6858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-1379855</wp:posOffset>
            </wp:positionV>
            <wp:extent cx="6858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-410845</wp:posOffset>
            </wp:positionV>
            <wp:extent cx="207454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2074545" cy="1371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-161925</wp:posOffset>
            </wp:positionV>
            <wp:extent cx="207454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2074545" cy="1625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Our current served markets include Internet of Things, or IoT, personal computer, or PC, and Mobile. We deliver complete chip, firmware and software semiconductor solutions that allow our customers to seamlessly integrate advanced functions into their end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fiscal year is the 52- or 53-week period ending on the last Saturday in June. Accordingly, every fifth or sixth fiscal year will have a 53-week period. The additional week in a 53-week year is added to the first quarter, making such quarter a 14-week period. The fiscal years presented in this report were 52-week periods ended June 24, 2023, June 25, 2022, and June 26, 2021.</w:t>
      </w:r>
    </w:p>
    <w:p>
      <w:pPr>
        <w:spacing w:after="0" w:line="7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Investments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time of purchase. Our cash equivalents as of the end of fiscal 2023 and 2022 consisted of bank deposits and money market funds with a fair value of $924.7 million and $824.0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classify our investments in debt securities as available-for-sale and record these investments at fair value. Investments with an original maturity of three months or less at the date of purchase are considered cash equivalents, while all other investments are classified as short-term based on management’s intent and ability to use the funds in current operations. Unrealized gains and losses are reported as a component of other comprehensive income (loss). Realized gains and losses are determined based on the specific identification method, and are reflected as other income (expense), net in our Consolidated Statements of Operations.</w:t>
      </w:r>
    </w:p>
    <w:p>
      <w:pPr>
        <w:spacing w:after="0" w:line="8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regularly review our investment portfolio to identify and evaluate investments that have indicators of possible impairment. Some of the factors we consider include, but are not limited to, the following: the length of time and extent a security’s fair value has been below its cost, the financial condition and near-term prospects of the investee, the credit quality of the security’s issuer, likelihood of recovery and our intent and ability to hold the security for a period of time sufficient to allow for any anticipated recovery in value. For our debt instruments, we also evaluate whether we have the intent to sell the security or it is more likely than not that we will be required to sell the security before recovery of its cost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apply fair value accounting for all financial assets and liabilities that are required to be recognized or disclosed at fair value in the Consolidated Financial Statements. Fair value is defined as the price that would be received from selling an asset or paid to transfer a liability in an orderly transaction between market participants at the measurement date. When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determining the fair value measurements for assets and liabilities, we consider the principal or most advantageous market in which we would transact, and the market-based risk measurements or assumptions that market participants would use in pricing the asset or liability, such as inherent risk, transfer restrictions and credit risk. The carrying amounts reported in the consolidated financial statements approximate the fair value for cash, accounts receivable, accounts payable and accrued liabilities due to their short-term nature.</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Intangible assets, property and equipment, and goodwill are measured at fair value on a non-recurring basis if impairment is indicated. The interest rate on our bank debt is variable, which is subject to change from time-to-time to reflect a market interest rate; accordingly, the carrying value of our bank debt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investment grade by the rating agencies.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sell our products to contract manufacturers that provide manufacturing services for OEMs, to some OEMs directly, and to distributors. We extend credit based on an evaluation of a customer’s financial condition, and we generally do not require collateral.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customers accounted for more than 10% of our accounts receivable balance as of the end of fiscal 2023 and 2022:</w:t>
      </w:r>
    </w:p>
    <w:p>
      <w:pPr>
        <w:spacing w:after="0" w:line="288"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300" w:type="dxa"/>
            <w:vAlign w:val="bottom"/>
            <w:gridSpan w:val="2"/>
          </w:tcPr>
          <w:p>
            <w:pPr>
              <w:jc w:val="center"/>
              <w:ind w:left="39"/>
              <w:spacing w:after="0"/>
              <w:rPr>
                <w:sz w:val="20"/>
                <w:szCs w:val="20"/>
                <w:color w:val="auto"/>
              </w:rPr>
            </w:pPr>
            <w:r>
              <w:rPr>
                <w:rFonts w:ascii="Arial" w:cs="Arial" w:eastAsia="Arial" w:hAnsi="Arial"/>
                <w:sz w:val="14"/>
                <w:szCs w:val="14"/>
                <w:color w:val="auto"/>
                <w:w w:val="96"/>
              </w:rPr>
              <w:t>2022</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Customer A</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4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17%</w:t>
            </w: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Customer B</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20%</w:t>
            </w:r>
          </w:p>
        </w:tc>
        <w:tc>
          <w:tcPr>
            <w:tcW w:w="1300" w:type="dxa"/>
            <w:vAlign w:val="bottom"/>
            <w:gridSpan w:val="2"/>
            <w:shd w:val="clear" w:color="auto" w:fill="CFF0FC"/>
          </w:tcPr>
          <w:p>
            <w:pPr>
              <w:jc w:val="center"/>
              <w:ind w:left="39"/>
              <w:spacing w:after="0"/>
              <w:rPr>
                <w:sz w:val="20"/>
                <w:szCs w:val="20"/>
                <w:color w:val="auto"/>
              </w:rPr>
            </w:pPr>
            <w:r>
              <w:rPr>
                <w:rFonts w:ascii="Arial" w:cs="Arial" w:eastAsia="Arial" w:hAnsi="Arial"/>
                <w:sz w:val="18"/>
                <w:szCs w:val="18"/>
                <w:color w:val="auto"/>
                <w:w w:val="94"/>
              </w:rPr>
              <w:t>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Concentrations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products include certain components that are currently single sourced. We believe other vendors would be able to provide similar components, however, the qualification of such vendors may require additional lead time. In order to mitigate any potential adverse impact from a supply disruption, we strive to maintain an adequate supply of critical single-sourced components.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Non-product revenue is recognized over the same period of time such performance obligations are satisfied. We then select an appropriate method for measuring satisfaction of the performance obligations.</w:t>
      </w:r>
    </w:p>
    <w:p>
      <w:pPr>
        <w:spacing w:after="0" w:line="5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4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other accrued liabilities on our consolidated balance sheets.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6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There was $1.3 million of contract assets (i.e., unbilled accounts receivable, deferred commissions) recorded on the consolidated balance sheets as of June 2023, and $1.2 million as of June 2022. Contract assets are presented as part of prepaid expenses and other current assets. Contract liabilities and refund liabilities were $18.7 million and $39.8 million, respectively, as of June 2023, and $27.3 million and $61.3 million, respectively, as of June 2022. Both contract liabilities and refund liabilities are presented as part of customer obligations in other accrued liabilities on our consolidated balance sheets. During fiscal 2023 and 2022, we recognized $21.9 million and $3.6 million, respectively, in revenue related to contract liabilities outstanding as of the beginning of each such fiscal year.</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June 2023, we did not have any remaining unsatisfied performance obligations with an original duration greater than one year. Accordingly, under the optional exception provided by the ASC,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incurred after the product has been shipped.</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15 Segment, Customers, and Geographical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Advertising costs, if any, are expensed when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maintain allowances for credit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credit loss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credit loss allowances may be required. At June 2023 and June 2022, the allowance for credit losses on our trade receivables was $5.0 million and $6.0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Our cost of revenue includes the cost of products shipped to our customers, which primarily includes the cost of products built to our specifications by our contract manufacturers, the cost of silicon wafers supplied by independent semiconductor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fair value adjustments associated with acquired businesses; inventory write-downs and losses on purchase obligations; and warranty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Inventories are stated at the lower of cost (first-in, first-out method) or net realizable value as of the end of fiscal 2023 and 2022, and consisted of the following (in millions):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r>
      <w:tr>
        <w:trPr>
          <w:trHeight w:val="23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FF0FC"/>
          </w:tcPr>
          <w:p>
            <w:pPr>
              <w:spacing w:after="0"/>
              <w:rPr>
                <w:sz w:val="20"/>
                <w:szCs w:val="20"/>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1"/>
                <w:szCs w:val="21"/>
                <w:color w:val="auto"/>
              </w:rPr>
            </w:pPr>
          </w:p>
        </w:tc>
      </w:tr>
      <w:tr>
        <w:trPr>
          <w:trHeight w:val="270"/>
        </w:trPr>
        <w:tc>
          <w:tcPr>
            <w:tcW w:w="54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Inventories are recorded at standard cost, which approximates actual cost computed on a first-in, first-out basis. We record a write-down, if necessary, to reduce the carrying value of inventory to its net realizable value. The effect of these write-downs is to establish a new cost basis in the related inventory, which we do not subsequently write-up.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estimated useful life of the asset.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our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loss of $2.3 million in fiscal 2023, a net gain of $5.6 million in fiscal 2022 and a net loss of $1.4 million in fiscal 2021. Gains and losses resulting from foreign currency transactions are included in selling, general, and administrative expenses in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Goodwill represents the excess of the purchase price of an acquired business over the identifiable assets acquired and liabilities assumed. We test for impairment of goodwill on an annual basis in the fourth quarter and at any other time when events occur or circumstances indicate that the carrying amount of goodwill may not be recoverable. We have the option to first assess qualitative factors to determine whether it is necessary to perform the quantitative goodwill impairment test. The qualitative factors we assess include long-term prospects of our performance, share price trends and market capitalization, and Company specific events. Unanticipated events and circumstances may occur that affect the accuracy of our assumptions, estimates and judgments.</w:t>
      </w:r>
    </w:p>
    <w:p>
      <w:pPr>
        <w:spacing w:after="0" w:line="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we determine that as a result of the qualitative assessment that it is more likely than not (i.e., greater than 50% likelihood) that the fair value of a reporting unit is less than its carrying amount, then the quantitative test is required. Otherwise, no further testing is required. The quantitative goodwill impairment test requires us to estimate the fair value of our reporting units. If the carrying value of a reporting unit exceeds its fair value, the goodwill of that reporting unit is potentially impaired and we record an impairment loss equal to the excess of the carrying value of the reporting unit over its fair value, not to exceed the carrying amount of goodwill. The fair value of each of our goodwill reporting units is generally estimated using discounted cash flow methodologies.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elected not to perform the qualitative assessment and performed the quantitative goodwill impairment test in fiscal 2023. Based on the impairment analysis performed in the fourth quarter of each year presented, the fair value of our reporting units exceeded their carrying values and no goodwill impairment was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Intangible assets consist primarily of intangible assets purchased through acquisitions. Finite-lived intangible assets are amortized for financial reporting purposes using the straight-line method over the estimated useful lives of the assets ranging from 1 to 6 years. Indefinite-lived intangible assets are not amortized but tested annually for impairment in the fourth quarter, or when events or changes in circumstances indicate that indefinite-lived intangible assets might be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659"/>
        <w:spacing w:after="0" w:line="289" w:lineRule="auto"/>
        <w:rPr>
          <w:sz w:val="20"/>
          <w:szCs w:val="20"/>
          <w:color w:val="auto"/>
        </w:rPr>
      </w:pPr>
      <w:r>
        <w:rPr>
          <w:rFonts w:ascii="Arial" w:cs="Arial" w:eastAsia="Arial" w:hAnsi="Arial"/>
          <w:sz w:val="16"/>
          <w:szCs w:val="16"/>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 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Assets to be disposed of would be separately presented in the consolidated balance sheets and reported at the lower of the carrying amount or fair value less costs to sell and would no longer be depreciated. The assets and liabilities of a disposed group classified as held for sale would be presented separately in the appropriate asset and liability sections of the consolidated balance sheets. No impairment of long-lived assets was recognized for fiscal 2023,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determine if an arrangement is a lease at inception. Operating lease right-of-use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our leases do not provide an implicit rate, we use our collateralized incremental borrowing rate based on the information available at the lease commencement date, including lease term, in determining the present value of lease payments. Lease expense for these leases is recognized on a straight-line basis over the lease term.</w:t>
      </w:r>
    </w:p>
    <w:p>
      <w:pPr>
        <w:spacing w:after="0" w:line="8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Accrued Liabilities and Other Long-Term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the end of fiscal 2023 and 2022, other accrued liabilities consisted of the following (in millions):</w:t>
      </w:r>
    </w:p>
    <w:p>
      <w:pPr>
        <w:spacing w:after="0" w:line="347"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4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FF0FC"/>
          </w:tcPr>
          <w:p>
            <w:pPr>
              <w:spacing w:after="0"/>
              <w:rPr>
                <w:sz w:val="21"/>
                <w:szCs w:val="2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Inventory obligations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r>
      <w:tr>
        <w:trPr>
          <w:trHeight w:val="24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21"/>
                <w:szCs w:val="2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1"/>
                <w:szCs w:val="21"/>
                <w:color w:val="auto"/>
              </w:rPr>
            </w:pPr>
          </w:p>
        </w:tc>
      </w:tr>
      <w:tr>
        <w:trPr>
          <w:trHeight w:val="270"/>
        </w:trPr>
        <w:tc>
          <w:tcPr>
            <w:tcW w:w="54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-25400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the end of fiscal 2023 and 2022, other long-term accrued liabilities consisted of the following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long-term</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payable, long-term</w:t>
            </w:r>
          </w:p>
        </w:tc>
        <w:tc>
          <w:tcPr>
            <w:tcW w:w="11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r>
      <w:tr>
        <w:trPr>
          <w:trHeight w:val="270"/>
        </w:trPr>
        <w:tc>
          <w:tcPr>
            <w:tcW w:w="74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3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1337310" cy="180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13373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charge the estimated fair value less actual forfeitures to earnings on a straight-line basis over the vesting period of the entire underlying award, which is generally three or four years for our restricted stock units, or RSU, awards, three years for our market stock units, or MSU, awards, three years for our performance stock units, or PSU, awards, and up to one year for shares purchased under our 2019 employee stock purchase plan.</w:t>
      </w:r>
    </w:p>
    <w:p>
      <w:pPr>
        <w:spacing w:after="0" w:line="4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estimate the fair value of market-based MSUs at the date of grant using a Monte Carlo simulation model and amortize those fair values over the requisite service period, which is generally three years.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5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value PSUs using the aggregate intrinsic value on the grant date and amortize the compensation expense over the three-year service period on a ratable basis, dependent upon the probability of meeting the performance measures.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recognize compensation expense for phantom stock units on a straight-line basis for each tranche of each award based on the average closing price of our common stock over the thirty calendar days ended prior to each balance sheet date. As our phantom stock is a cash-settled award, it is recorded as a liability and remeasured each reporting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w:t>
      </w:r>
    </w:p>
    <w:p>
      <w:pPr>
        <w:spacing w:after="0" w:line="8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generally provide warranties to cover defects in workmanship, materials and manufacturing for a period of twelve months to meet the stated functionality as agreed to in each sales arrangement. Products are tested against specified functionality requirements prior to delivery, but we nevertheless from time-to-time experience claims under our warranty guarantees. These standard warranties are assurance type warranties and do not offer any services in addition to the assurance that the product will continue working as specified. Therefore, warranties are not considered separate performance obligations in the arrangement. We accrue for estimated warranty costs under those guarantees based upon historical experience, and for specific items, at the time their existence is known and the amounts are determinable.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accordance with the guidance for business combinations, we determine whether a transaction or other event is a business combination, which requires that the assets acquired and liabilities assumed constitute a business. Each business combination is then accounted for by applying the acquisition method. If the assets acquired are not a business, we account for the transaction or other event as an asset acquisition. Under both methods, we recognize the identifiable assets acquired, the liabilities assumed, and any noncontrolling interest in the acquired entity. We capitalize acquisition-related costs and fees associated with asset acquisitions and immediately expense acquisition-related costs and fees associated with business combinations.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we make significant estimates and assumptions, especially with respect to intangible assets. Critical estimates in valuing certain intangible assets include, but are not limited to, future expected cash flows from customer relationships and acquired developed technology and discount rates. Our estimates of fair value are based upon assumptions believed to be reasonable, but which are inherently uncertain and unpredictable and, as a result, actual results may differ materially from estimates. Other estimates associated with the accounting for acquisitions may change as additional information becomes available regarding the assets acquired and liabilities assumed. Any change in facts and circumstances that existed as of the acquisition date and impacts our preliminary estimates is recorded to goodwill if identified within the measurement period. Any adjustments subsequent to the measurement period or our final determination of fair value of assets and liabilities, will be charged to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Issued But Not Yet Adopted</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December 2022, the FASB issued ASU 2022-06, Reference Rate Reform (Topic 848): Deferral of the Sunset Date of Topic 848. ASU 2022-06 defers the sunset date of Topic 848 from December 31, 2022 to December 31, 2024. Effective March 16, 2023, we transitioned our credit and loan agreements from LIBOR to the Secured Overnight Financing Rate, or SOFR. We are currently evaluating the timing of adoption and impact, if any, of this standard on our consolidated financial statements.</w:t>
      </w:r>
    </w:p>
    <w:p>
      <w:pPr>
        <w:spacing w:after="0" w:line="7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October 2021, the FASB issued ASU 2021-08, “Business Combinations (Topic 805): Accounting for Acquired Contract Assets and Contract Liabilities” which improves comparability for both the recognition and measurement of acquired revenue contracts with customers at the date of and after a business combination by providing consistent recognition guidance. This standard is effective for fiscal years beginning after December 15, 2022. We will adopt this standard in the first quarter of our fiscal 2024 and do not expect it to have a material impact on our consolidated financial statements.</w:t>
      </w:r>
    </w:p>
    <w:p>
      <w:pPr>
        <w:spacing w:after="0" w:line="45"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computation of basic and diluted net income per share for fiscal 2023, 2022, and 2021 was as follows (in millions, except per share amounts):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r>
      <w:tr>
        <w:trPr>
          <w:trHeight w:val="23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73.6</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257.5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Shares, basic</w:t>
            </w:r>
          </w:p>
        </w:tc>
        <w:tc>
          <w:tcPr>
            <w:tcW w:w="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39.6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20"/>
                <w:szCs w:val="20"/>
                <w:color w:val="auto"/>
              </w:rPr>
            </w:pPr>
          </w:p>
        </w:tc>
      </w:tr>
      <w:tr>
        <w:trPr>
          <w:trHeight w:val="249"/>
        </w:trPr>
        <w:tc>
          <w:tcPr>
            <w:tcW w:w="5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Effect of dilutive share-based awards and convertible notes</w:t>
            </w:r>
          </w:p>
        </w:tc>
        <w:tc>
          <w:tcPr>
            <w:tcW w:w="70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Shares, diluted</w:t>
            </w: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40.2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Basic</w:t>
            </w: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1.86</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5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700" w:type="dxa"/>
            <w:vAlign w:val="bottom"/>
            <w:tcBorders>
              <w:top w:val="single" w:sz="8" w:color="auto"/>
              <w:bottom w:val="single" w:sz="8" w:color="auto"/>
            </w:tcBorders>
            <w:shd w:val="clear" w:color="auto" w:fill="CFF0FC"/>
          </w:tcPr>
          <w:p>
            <w:pPr>
              <w:jc w:val="right"/>
              <w:ind w:right="51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1.83</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-702310</wp:posOffset>
            </wp:positionV>
            <wp:extent cx="603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-702310</wp:posOffset>
            </wp:positionV>
            <wp:extent cx="5143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-702310</wp:posOffset>
            </wp:positionV>
            <wp:extent cx="51435"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2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Diluted net income per share does not include the effect of potential common shares related to certain share-based awards for fiscal 2023, 2022, and 2021 as follows (in millions):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260" w:type="dxa"/>
            <w:vAlign w:val="bottom"/>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Share-based awards</w:t>
            </w:r>
          </w:p>
        </w:tc>
        <w:tc>
          <w:tcPr>
            <w:tcW w:w="76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These share-based awards were not included in the computation of diluted net income per share because the proceeds received, if any, from such share-based awards combined with the average unamortized compensation costs, were greater than the average market price of our common stock, and therefore, their effect would have been antidilutive.</w:t>
      </w:r>
    </w:p>
    <w:p>
      <w:pPr>
        <w:spacing w:after="0" w:line="18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Our diluted net income per share amounts for each period presented include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effect of potentially dilutive shares. We used the “treasury stock” method to determine the dilutive effect of outstanding share-based awards and convertible notes.</w:t>
      </w:r>
    </w:p>
    <w:p>
      <w:pPr>
        <w:spacing w:after="0" w:line="153"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the end of fiscal 2023 and 2022 consisted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3 - 5 years</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20"/>
                <w:szCs w:val="20"/>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1 - 5 years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r>
      <w:tr>
        <w:trPr>
          <w:trHeight w:val="25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leasehold improvements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3 - 10 years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3 - 7 years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(132.5 )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(122.8 )</w:t>
            </w:r>
          </w:p>
        </w:tc>
      </w:tr>
      <w:tr>
        <w:trPr>
          <w:trHeight w:val="237"/>
        </w:trPr>
        <w:tc>
          <w:tcPr>
            <w:tcW w:w="66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14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FF0FC"/>
            </w:tcBorders>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-505460</wp:posOffset>
            </wp:positionV>
            <wp:extent cx="6858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construction in progress primarily includes machinery and equipment that we expect to place in service in the next 12 months.</w:t>
      </w:r>
    </w:p>
    <w:p>
      <w:pPr>
        <w:spacing w:after="0" w:line="22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During the third quarter of fiscal 2023, we completed the acquisition of certain developed technology intangible assets from Broadcom for an aggregate consideration of $30.0 million, which was paid in cash in the previous fiscal year. This transaction did not meet the definition of a business combination as substantially all of the fair value of the gross assets acquired was concentrated in the finite-lived developed technology intangible asset. As a result, this transaction was accounted for as an asset acquisition and the total purchase consideration was allocated to intangible assets, amortized over an estimated useful life of six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Emza Visual Sense, Ltd.</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On October 25, 2022, we acquired all of the outstanding shares of </w:t>
      </w:r>
      <w:r>
        <w:rPr>
          <w:rFonts w:ascii="Arial" w:cs="Arial" w:eastAsia="Arial" w:hAnsi="Arial"/>
          <w:sz w:val="18"/>
          <w:szCs w:val="18"/>
          <w:i w:val="1"/>
          <w:iCs w:val="1"/>
          <w:color w:val="auto"/>
        </w:rPr>
        <w:t>Emza Visual Sense, Ltd.</w:t>
      </w:r>
      <w:r>
        <w:rPr>
          <w:rFonts w:ascii="Arial" w:cs="Arial" w:eastAsia="Arial" w:hAnsi="Arial"/>
          <w:sz w:val="18"/>
          <w:szCs w:val="18"/>
          <w:color w:val="auto"/>
        </w:rPr>
        <w:t>, or Emza, a developer of ultra-low-power artificial intelligence visual sensing solutions, for total purchase consideration of $15.8 million. The purchase price was attributed to $0.3 million cash acquired, $8.0 million of intangible assets, $9.8 million of goodwill and $2.3 million net liabilities assumed. Goodwill recognized from the acquisition of Emza is not deductible for income tax purposes. Pro forma results of operations for this acquisition have not been presented because they are not material to our consolidated results of operations, either individually or in the aggregate.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On August 30, 2021, we entered into an agreement and plan of merger with DSP Group, Inc., or DSPG, to acquire all of the equity of DSPG, a leading global provider of voice and wireless chipset solutions for converged communications, for $22.00 per share in an all-cash transaction, referred to as the DSPG acquisition. The DSPG acquisition closed on December 2, 2021, or the DSPG Closing Date, whereupon we obtained voice and wireless technology and product solutions for converged communications. In addition, under the terms of the agreement and plan of merger, we provided replacement equity awards to the transferred employees and allocated $1.7 million of the replacement equity awards value to consideration transferred.</w:t>
      </w:r>
    </w:p>
    <w:p>
      <w:pPr>
        <w:spacing w:after="0" w:line="5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DSPG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consideration over the net tangible and identifiable intangible assets acquired and liabilities has been recorded as goodwill. Our estimate of the fair values of the acquired intangible assets at June 25, 2022, was based on established and accepted valuation techniques performed with the assistance of our third-party valuation specialists.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adjusted purchase price paid for DSPG was $543.3 million. The final purchase price allocation is as follows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9360" w:type="dxa"/>
            <w:vAlign w:val="bottom"/>
          </w:tcPr>
          <w:p>
            <w:pPr>
              <w:ind w:left="3480"/>
              <w:spacing w:after="0"/>
              <w:rPr>
                <w:sz w:val="20"/>
                <w:szCs w:val="20"/>
                <w:color w:val="auto"/>
              </w:rPr>
            </w:pPr>
            <w:r>
              <w:rPr>
                <w:rFonts w:ascii="Arial" w:cs="Arial" w:eastAsia="Arial" w:hAnsi="Arial"/>
                <w:sz w:val="18"/>
                <w:szCs w:val="18"/>
                <w:b w:val="1"/>
                <w:bCs w:val="1"/>
                <w:color w:val="auto"/>
              </w:rPr>
              <w:t>SYNAPTICS INCORPORATED AND SUBSIDIARIES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360" w:type="dxa"/>
            <w:vAlign w:val="bottom"/>
          </w:tcPr>
          <w:p>
            <w:pPr>
              <w:ind w:left="28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9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Final</w:t>
            </w:r>
          </w:p>
        </w:tc>
      </w:tr>
      <w:tr>
        <w:trPr>
          <w:trHeight w:val="216"/>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As Adjusted</w:t>
            </w:r>
          </w:p>
        </w:tc>
      </w:tr>
      <w:tr>
        <w:trPr>
          <w:trHeight w:val="237"/>
        </w:trPr>
        <w:tc>
          <w:tcPr>
            <w:tcW w:w="9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June 25, 2022</w:t>
            </w:r>
          </w:p>
        </w:tc>
      </w:tr>
      <w:tr>
        <w:trPr>
          <w:trHeight w:val="243"/>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21"/>
                <w:szCs w:val="21"/>
                <w:color w:val="auto"/>
              </w:rPr>
            </w:pP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21"/>
                <w:szCs w:val="21"/>
                <w:color w:val="auto"/>
              </w:rPr>
            </w:pP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1"/>
                <w:szCs w:val="21"/>
                <w:color w:val="auto"/>
              </w:rPr>
            </w:pP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FF0FC"/>
          </w:tcPr>
          <w:p>
            <w:pPr>
              <w:spacing w:after="0"/>
              <w:rPr>
                <w:sz w:val="21"/>
                <w:szCs w:val="21"/>
                <w:color w:val="auto"/>
              </w:rPr>
            </w:pP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Right-of-use lease asset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Severance pay fund</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21"/>
                <w:szCs w:val="21"/>
                <w:color w:val="auto"/>
              </w:rPr>
            </w:pP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r>
      <w:tr>
        <w:trPr>
          <w:trHeight w:val="249"/>
        </w:trPr>
        <w:tc>
          <w:tcPr>
            <w:tcW w:w="9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9360" w:type="dxa"/>
            <w:vAlign w:val="bottom"/>
          </w:tcPr>
          <w:p>
            <w:pPr>
              <w:ind w:left="200"/>
              <w:spacing w:after="0"/>
              <w:rPr>
                <w:sz w:val="20"/>
                <w:szCs w:val="20"/>
                <w:color w:val="auto"/>
              </w:rPr>
            </w:pPr>
            <w:r>
              <w:rPr>
                <w:rFonts w:ascii="Arial" w:cs="Arial" w:eastAsia="Arial" w:hAnsi="Arial"/>
                <w:sz w:val="18"/>
                <w:szCs w:val="18"/>
                <w:color w:val="auto"/>
              </w:rPr>
              <w:t>Total identifiable assets acquired</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(19.8 )</w:t>
            </w: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(1.5 )</w:t>
            </w: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(8.2 )</w:t>
            </w: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severance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(16.4 )</w:t>
            </w:r>
          </w:p>
        </w:tc>
      </w:tr>
      <w:tr>
        <w:trPr>
          <w:trHeight w:val="237"/>
        </w:trPr>
        <w:tc>
          <w:tcPr>
            <w:tcW w:w="93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(39.4 )</w:t>
            </w: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(6.1 )</w:t>
            </w:r>
          </w:p>
        </w:tc>
      </w:tr>
      <w:tr>
        <w:trPr>
          <w:trHeight w:val="20"/>
        </w:trPr>
        <w:tc>
          <w:tcPr>
            <w:tcW w:w="9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93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(98.1 )</w:t>
            </w:r>
          </w:p>
        </w:tc>
      </w:tr>
      <w:tr>
        <w:trPr>
          <w:trHeight w:val="237"/>
        </w:trPr>
        <w:tc>
          <w:tcPr>
            <w:tcW w:w="9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identifiable assets acquired</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0"/>
                <w:szCs w:val="20"/>
                <w:color w:val="auto"/>
              </w:rPr>
            </w:pPr>
          </w:p>
        </w:tc>
      </w:tr>
      <w:tr>
        <w:trPr>
          <w:trHeight w:val="276"/>
        </w:trPr>
        <w:tc>
          <w:tcPr>
            <w:tcW w:w="9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measurement period adjustments during fiscal 2023.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estimated fair value of the intangible assets as of the DSPG Closing Date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Weighted Average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Useful Lives in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w w:val="98"/>
              </w:rPr>
              <w:t>Estimated Fair</w:t>
            </w:r>
          </w:p>
        </w:tc>
        <w:tc>
          <w:tcPr>
            <w:tcW w:w="100" w:type="dxa"/>
            <w:vAlign w:val="bottom"/>
          </w:tcPr>
          <w:p>
            <w:pPr>
              <w:spacing w:after="0"/>
              <w:rPr>
                <w:sz w:val="18"/>
                <w:szCs w:val="18"/>
                <w:color w:val="auto"/>
              </w:rPr>
            </w:pPr>
          </w:p>
        </w:tc>
      </w:tr>
      <w:tr>
        <w:trPr>
          <w:trHeight w:val="237"/>
        </w:trPr>
        <w:tc>
          <w:tcPr>
            <w:tcW w:w="7660" w:type="dxa"/>
            <w:vAlign w:val="bottom"/>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Years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43"/>
        </w:trPr>
        <w:tc>
          <w:tcPr>
            <w:tcW w:w="7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 process research and development</w:t>
            </w:r>
          </w:p>
        </w:tc>
        <w:tc>
          <w:tcPr>
            <w:tcW w:w="14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77"/>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Estimated fair value of acquired intangibles</w:t>
            </w:r>
          </w:p>
        </w:tc>
        <w:tc>
          <w:tcPr>
            <w:tcW w:w="14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4% to 18%.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In-process research and development consists of advanced semiconductor telecommunications products for the Internet of Things, or IoT,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complete the in-process research and development project in calendar year 2024.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DSPG as of the DSPG Closing Date. None of the goodwill is expected to be deductible for income tax purposes.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DSPG acquisition, we did not have an existing relationship or transactions with DSPG.</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consolidated financial statements include approximately $83.8 million of revenue from the DSPG Closing Date through June 2022. It is impracticable to determine the effect on net income attributable to DSPG as we completed the integration of DSPG into our ongoing operations during the third quarter of fiscal 2022.</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fiscal year 2022, we incurred $4.4 million in acquisition related costs which were recorded in selling, general and administrative expense in the consolidated statements of operations. In December 2021, we executed the Term Loan Facility agreement in the amount of $600.0 million, the proceeds of which were used to finance the DSPG acquisition and we incurred $11.2 million of debt financing costs thereon. As of June 2023, $6.0 million of the Term Loan Facility is included in short-term debt, and $585.0 million is included in long-term debt on the accompanying consolidated balance sheets. See “Note 8 – Debt”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 (Unaudited)</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supplemental pro forma financial information presented below is for illustrative purposes only and is not necessarily indicative of the financial position or results of operations that would have been realized if the acquisition had been completed on the date indicated, does not reflect synergies that might have been achieved, nor is it indicative of future operating results or financial position. The pro forma adjustments are based upon currently available information and certain assumptions we believe are reasonable under the circumstances.</w:t>
      </w:r>
    </w:p>
    <w:p>
      <w:pPr>
        <w:spacing w:after="0" w:line="7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The following supplemental pro forma information presents the combined results of operations as if DSPG had been acquired as of the beginning of fiscal 2021. Pro forma adjustments used to arrive at pro forma net income included adjustments for the addition of intangible amortization expense for the value of intangibles under the purchase price allocation, adjustments to record acquired inventories at fair value, transaction and restructuring costs. The total pro forma adjustments for fiscal 2022 was an increase to net income of $5.9 million and a decrease in net income of $86.3 million in fiscal 2021. The unaudited supplemental pro forma financial information for the periods presented is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1,802.6</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263.4</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r>
    </w:tbl>
    <w:p>
      <w:pPr>
        <w:spacing w:after="0" w:line="210"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252525"/>
        </w:rPr>
        <w:t>The following table summarizes our cash, cash equivalents and short-term investments by category at June 2023 and June 2022 (in millions):</w:t>
      </w:r>
    </w:p>
    <w:p>
      <w:pPr>
        <w:spacing w:after="0" w:line="1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252525"/>
        </w:rPr>
        <w:t>We use the specific-identification method to determine any realized gains or losses from the sale of our short-term investments classified as available-for-sale.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June 2023</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5"/>
              </w:rPr>
              <w:t>June 2022</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Gross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3"/>
              </w:rPr>
              <w:t>Amortized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unrealized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Amortized</w:t>
            </w:r>
          </w:p>
        </w:tc>
        <w:tc>
          <w:tcPr>
            <w:tcW w:w="30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unrealized</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 (loss)</w:t>
            </w: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Cost</w:t>
            </w:r>
          </w:p>
        </w:tc>
        <w:tc>
          <w:tcPr>
            <w:tcW w:w="30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gain (loss)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r>
      <w:tr>
        <w:trPr>
          <w:trHeight w:val="243"/>
        </w:trPr>
        <w:tc>
          <w:tcPr>
            <w:tcW w:w="3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w:t>
            </w: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w:t>
            </w: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3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100" w:type="dxa"/>
            <w:vAlign w:val="bottom"/>
            <w:shd w:val="clear" w:color="auto" w:fill="CFF0FC"/>
          </w:tcPr>
          <w:p>
            <w:pPr>
              <w:spacing w:after="0"/>
              <w:rPr>
                <w:sz w:val="21"/>
                <w:szCs w:val="21"/>
                <w:color w:val="auto"/>
              </w:rPr>
            </w:pPr>
          </w:p>
        </w:tc>
      </w:tr>
      <w:tr>
        <w:trPr>
          <w:trHeight w:val="237"/>
        </w:trPr>
        <w:tc>
          <w:tcPr>
            <w:tcW w:w="38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200"/>
              <w:spacing w:after="0"/>
              <w:rPr>
                <w:sz w:val="20"/>
                <w:szCs w:val="20"/>
                <w:color w:val="auto"/>
              </w:rPr>
            </w:pPr>
            <w:r>
              <w:rPr>
                <w:rFonts w:ascii="Arial" w:cs="Arial" w:eastAsia="Arial" w:hAnsi="Arial"/>
                <w:sz w:val="18"/>
                <w:szCs w:val="18"/>
                <w:color w:val="auto"/>
              </w:rPr>
              <w:t>Treasury bills</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6"/>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38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1"/>
                <w:szCs w:val="21"/>
                <w:color w:val="auto"/>
              </w:rPr>
            </w:pPr>
          </w:p>
        </w:tc>
      </w:tr>
      <w:tr>
        <w:trPr>
          <w:trHeight w:val="237"/>
        </w:trPr>
        <w:tc>
          <w:tcPr>
            <w:tcW w:w="386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(1.9 )</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r>
      <w:tr>
        <w:trPr>
          <w:trHeight w:val="249"/>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(0.1 )</w:t>
            </w: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1"/>
                <w:szCs w:val="2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(0.2 )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-831215</wp:posOffset>
            </wp:positionV>
            <wp:extent cx="4029075" cy="180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4029075" cy="18034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-187960</wp:posOffset>
            </wp:positionV>
            <wp:extent cx="7747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-187960</wp:posOffset>
            </wp:positionV>
            <wp:extent cx="7747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6858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-187960</wp:posOffset>
            </wp:positionV>
            <wp:extent cx="6858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gridSpan w:val="5"/>
          </w:tcPr>
          <w:p>
            <w:pPr>
              <w:jc w:val="right"/>
              <w:ind w:right="190"/>
              <w:spacing w:after="0"/>
              <w:rPr>
                <w:sz w:val="20"/>
                <w:szCs w:val="20"/>
                <w:color w:val="auto"/>
              </w:rPr>
            </w:pPr>
            <w:r>
              <w:rPr>
                <w:rFonts w:ascii="Arial" w:cs="Arial" w:eastAsia="Arial" w:hAnsi="Arial"/>
                <w:sz w:val="18"/>
                <w:szCs w:val="18"/>
                <w:color w:val="252525"/>
                <w:w w:val="99"/>
              </w:rPr>
              <w:t>The following table classifies our short-term investments by contractual maturities (</w:t>
            </w:r>
            <w:r>
              <w:rPr>
                <w:rFonts w:ascii="Arial" w:cs="Arial" w:eastAsia="Arial" w:hAnsi="Arial"/>
                <w:sz w:val="18"/>
                <w:szCs w:val="18"/>
                <w:i w:val="1"/>
                <w:iCs w:val="1"/>
                <w:color w:val="252525"/>
                <w:w w:val="99"/>
              </w:rPr>
              <w:t>in millions</w:t>
            </w:r>
            <w:r>
              <w:rPr>
                <w:rFonts w:ascii="Arial" w:cs="Arial" w:eastAsia="Arial" w:hAnsi="Arial"/>
                <w:sz w:val="18"/>
                <w:szCs w:val="18"/>
                <w:color w:val="252525"/>
                <w:w w:val="99"/>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color w:val="auto"/>
              </w:rPr>
              <w:t>June 2023</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2022</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Amortized Cost</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Amortized Cost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1 year</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9.6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Due between 1 year to 5 years</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r>
      <w:tr>
        <w:trPr>
          <w:trHeight w:val="270"/>
        </w:trPr>
        <w:tc>
          <w:tcPr>
            <w:tcW w:w="49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9.6</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All available-for-sale securities have been classified as current, based on management's intent and ability to use the funds in current operations.</w:t>
      </w:r>
    </w:p>
    <w:p>
      <w:pPr>
        <w:spacing w:after="0" w:line="244"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252525"/>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r>
        <w:rPr>
          <w:rFonts w:ascii="Arial" w:cs="Arial" w:eastAsia="Arial" w:hAnsi="Arial"/>
          <w:sz w:val="17"/>
          <w:szCs w:val="17"/>
          <w:color w:val="000000"/>
        </w:rPr>
        <w:t>:</w:t>
      </w:r>
    </w:p>
    <w:p>
      <w:pPr>
        <w:spacing w:after="0" w:line="177"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Valuation is based upon unadjusted quoted prices for identical assets or liabilities in active markets.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252525"/>
        </w:rPr>
        <w:t>The fair value of our Level 1 financial instruments are traded in active markets and are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At the end of June 2023 and 2022, financial assets measured at fair value on a recurring basis are summarized below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June 2023</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5"/>
              </w:rPr>
              <w:t>June 2022</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2</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43"/>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1"/>
                <w:szCs w:val="21"/>
                <w:color w:val="auto"/>
              </w:rPr>
            </w:pPr>
          </w:p>
        </w:tc>
      </w:tr>
      <w:tr>
        <w:trPr>
          <w:trHeight w:val="250"/>
        </w:trPr>
        <w:tc>
          <w:tcPr>
            <w:tcW w:w="3080" w:type="dxa"/>
            <w:vAlign w:val="bottom"/>
          </w:tcPr>
          <w:p>
            <w:pPr>
              <w:ind w:left="120"/>
              <w:spacing w:after="0"/>
              <w:rPr>
                <w:sz w:val="20"/>
                <w:szCs w:val="20"/>
                <w:color w:val="auto"/>
              </w:rPr>
            </w:pPr>
            <w:r>
              <w:rPr>
                <w:rFonts w:ascii="Arial" w:cs="Arial" w:eastAsia="Arial" w:hAnsi="Arial"/>
                <w:sz w:val="18"/>
                <w:szCs w:val="18"/>
                <w:color w:val="auto"/>
              </w:rPr>
              <w:t>Treasury bills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0"/>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08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r>
      <w:tr>
        <w:trPr>
          <w:trHeight w:val="250"/>
        </w:trPr>
        <w:tc>
          <w:tcPr>
            <w:tcW w:w="3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21"/>
                <w:szCs w:val="2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r>
      <w:tr>
        <w:trPr>
          <w:trHeight w:val="277"/>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3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52525"/>
        </w:rPr>
        <w:t>The above table excludes $853.9 million of cash held in our bank accounts. We did not have any financial instruments measured at fair value on a recurring basis within Level 3 fair value during fiscal 2023 and 2022 and there were no transfers in or out of our Level 1 or 2 assets during the same periods.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52525"/>
        </w:rPr>
        <w:t>We report our financial instruments at fair value with the exception of the Senior Debt and Term Loan (“Note 8. Debt”). The estimated fair value of the notes was determined based on the trading price of the notes as of the last day of trading for the period. We consider the fair value of the notes to be a Level 2 measurement as they are not actively traded in markets.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252525"/>
        </w:rPr>
        <w:t>The carrying amounts and estimated fair values of the Senior Notes and Term Debt are as follows for the periods presented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color w:val="auto"/>
              </w:rPr>
              <w:t>June 2023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1350"/>
              <w:spacing w:after="0"/>
              <w:rPr>
                <w:sz w:val="20"/>
                <w:szCs w:val="20"/>
                <w:color w:val="auto"/>
              </w:rPr>
            </w:pPr>
            <w:r>
              <w:rPr>
                <w:rFonts w:ascii="Arial" w:cs="Arial" w:eastAsia="Arial" w:hAnsi="Arial"/>
                <w:sz w:val="18"/>
                <w:szCs w:val="18"/>
                <w:color w:val="auto"/>
              </w:rPr>
              <w:t>June 2022</w:t>
            </w:r>
          </w:p>
        </w:tc>
        <w:tc>
          <w:tcPr>
            <w:tcW w:w="100" w:type="dxa"/>
            <w:vAlign w:val="bottom"/>
          </w:tcPr>
          <w:p>
            <w:pPr>
              <w:spacing w:after="0"/>
              <w:rPr>
                <w:sz w:val="20"/>
                <w:szCs w:val="20"/>
                <w:color w:val="auto"/>
              </w:rPr>
            </w:pPr>
          </w:p>
        </w:tc>
      </w:tr>
      <w:tr>
        <w:trPr>
          <w:trHeight w:val="236"/>
        </w:trPr>
        <w:tc>
          <w:tcPr>
            <w:tcW w:w="34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Carrying Amount</w:t>
            </w: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Estimated Fair Value</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Carrying Amount</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Estimated Fair Value</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0"/>
        </w:trPr>
        <w:tc>
          <w:tcPr>
            <w:tcW w:w="34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395.6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337.2</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21"/>
                <w:szCs w:val="21"/>
                <w:color w:val="auto"/>
              </w:rPr>
            </w:pPr>
          </w:p>
        </w:tc>
      </w:tr>
      <w:tr>
        <w:trPr>
          <w:trHeight w:val="250"/>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 due 2028</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34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978.0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912.5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981.7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-513715</wp:posOffset>
            </wp:positionV>
            <wp:extent cx="76835"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-513715</wp:posOffset>
            </wp:positionV>
            <wp:extent cx="7747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-513715</wp:posOffset>
            </wp:positionV>
            <wp:extent cx="6858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-187960</wp:posOffset>
            </wp:positionV>
            <wp:extent cx="7683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7747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685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6"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following table presents our goodwill balance as of June 2023 and June 2022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20" w:type="dxa"/>
            <w:vAlign w:val="bottom"/>
          </w:tcPr>
          <w:p>
            <w:pPr>
              <w:spacing w:after="0"/>
              <w:rPr>
                <w:sz w:val="15"/>
                <w:szCs w:val="15"/>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0" w:type="dxa"/>
            <w:vAlign w:val="bottom"/>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FF0FC"/>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1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r>
      <w:tr>
        <w:trPr>
          <w:trHeight w:val="277"/>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summarizes the life, the gross carrying value of our acquired intangible assets, and the related accumulated amortization as of the end of fiscal 2023 and 2022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Weighted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1"/>
              </w:rPr>
              <w:t>Accumulate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1"/>
              </w:rPr>
              <w:t>Accumulate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241"/>
              <w:spacing w:after="0"/>
              <w:rPr>
                <w:sz w:val="20"/>
                <w:szCs w:val="20"/>
                <w:color w:val="auto"/>
              </w:rPr>
            </w:pPr>
            <w:r>
              <w:rPr>
                <w:rFonts w:ascii="Arial" w:cs="Arial" w:eastAsia="Arial" w:hAnsi="Arial"/>
                <w:sz w:val="18"/>
                <w:szCs w:val="18"/>
                <w:color w:val="auto"/>
                <w:w w:val="99"/>
              </w:rPr>
              <w:t>d</w:t>
            </w:r>
          </w:p>
        </w:tc>
        <w:tc>
          <w:tcPr>
            <w:tcW w:w="28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center"/>
              <w:ind w:right="241"/>
              <w:spacing w:after="0"/>
              <w:rPr>
                <w:sz w:val="20"/>
                <w:szCs w:val="20"/>
                <w:color w:val="auto"/>
              </w:rPr>
            </w:pPr>
            <w:r>
              <w:rPr>
                <w:rFonts w:ascii="Arial" w:cs="Arial" w:eastAsia="Arial" w:hAnsi="Arial"/>
                <w:sz w:val="18"/>
                <w:szCs w:val="18"/>
                <w:color w:val="auto"/>
                <w:w w:val="99"/>
              </w:rPr>
              <w:t>d</w:t>
            </w:r>
          </w:p>
        </w:tc>
        <w:tc>
          <w:tcPr>
            <w:tcW w:w="2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rPr>
              <w:t>Life in</w:t>
            </w:r>
          </w:p>
        </w:tc>
        <w:tc>
          <w:tcPr>
            <w:tcW w:w="14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5"/>
              </w:rPr>
              <w:t>Amortizatio</w:t>
            </w:r>
          </w:p>
        </w:tc>
        <w:tc>
          <w:tcPr>
            <w:tcW w:w="28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5"/>
              </w:rPr>
              <w:t>Amortizatio</w:t>
            </w:r>
          </w:p>
        </w:tc>
        <w:tc>
          <w:tcPr>
            <w:tcW w:w="2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Years</w:t>
            </w:r>
          </w:p>
        </w:tc>
        <w:tc>
          <w:tcPr>
            <w:tcW w:w="14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center"/>
              <w:ind w:right="241"/>
              <w:spacing w:after="0"/>
              <w:rPr>
                <w:sz w:val="20"/>
                <w:szCs w:val="20"/>
                <w:color w:val="auto"/>
              </w:rPr>
            </w:pPr>
            <w:r>
              <w:rPr>
                <w:rFonts w:ascii="Arial" w:cs="Arial" w:eastAsia="Arial" w:hAnsi="Arial"/>
                <w:sz w:val="18"/>
                <w:szCs w:val="18"/>
                <w:color w:val="auto"/>
                <w:w w:val="99"/>
              </w:rPr>
              <w:t>n</w:t>
            </w:r>
          </w:p>
        </w:tc>
        <w:tc>
          <w:tcPr>
            <w:tcW w:w="28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Value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center"/>
              <w:ind w:right="241"/>
              <w:spacing w:after="0"/>
              <w:rPr>
                <w:sz w:val="20"/>
                <w:szCs w:val="20"/>
                <w:color w:val="auto"/>
              </w:rPr>
            </w:pPr>
            <w:r>
              <w:rPr>
                <w:rFonts w:ascii="Arial" w:cs="Arial" w:eastAsia="Arial" w:hAnsi="Arial"/>
                <w:sz w:val="18"/>
                <w:szCs w:val="18"/>
                <w:color w:val="auto"/>
                <w:w w:val="99"/>
              </w:rPr>
              <w:t>n</w:t>
            </w:r>
          </w:p>
        </w:tc>
        <w:tc>
          <w:tcPr>
            <w:tcW w:w="2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Audio and video technology</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(117.8 )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(99.7 )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Wireless connectivity technology</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(58.0 )</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(33.8 )</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8"/>
                <w:szCs w:val="18"/>
                <w:color w:val="auto"/>
              </w:rPr>
              <w:t>Video interface technology</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(79.7 )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(52.4 )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Human presence detection technology</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(0.7 )</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8"/>
                <w:szCs w:val="18"/>
                <w:color w:val="auto"/>
              </w:rPr>
              <w:t>Licensed technology and other</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8"/>
                <w:szCs w:val="18"/>
                <w:color w:val="auto"/>
              </w:rPr>
              <w:t>Tradename</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Not</w:t>
            </w:r>
          </w:p>
        </w:tc>
        <w:tc>
          <w:tcPr>
            <w:tcW w:w="140" w:type="dxa"/>
            <w:vAlign w:val="bottom"/>
            <w:shd w:val="clear" w:color="auto" w:fill="CFF0FC"/>
          </w:tcPr>
          <w:p>
            <w:pPr>
              <w:spacing w:after="0"/>
              <w:rPr>
                <w:sz w:val="19"/>
                <w:szCs w:val="1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7"/>
              </w:rPr>
              <w:t>In process research and development</w:t>
            </w:r>
          </w:p>
        </w:tc>
        <w:tc>
          <w:tcPr>
            <w:tcW w:w="1140" w:type="dxa"/>
            <w:vAlign w:val="bottom"/>
            <w:tcBorders>
              <w:bottom w:val="single" w:sz="8" w:color="CFF0FC"/>
            </w:tcBorders>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applicable</w:t>
            </w: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200"/>
              <w:spacing w:after="0"/>
              <w:rPr>
                <w:sz w:val="20"/>
                <w:szCs w:val="20"/>
                <w:color w:val="auto"/>
              </w:rPr>
            </w:pPr>
            <w:r>
              <w:rPr>
                <w:rFonts w:ascii="Arial" w:cs="Arial" w:eastAsia="Arial" w:hAnsi="Arial"/>
                <w:sz w:val="18"/>
                <w:szCs w:val="18"/>
                <w:color w:val="auto"/>
              </w:rPr>
              <w:t>Acquired intangibles, gross</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(424.8 )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699.7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(309.7 )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601"/>
              <w:spacing w:after="0"/>
              <w:rPr>
                <w:sz w:val="20"/>
                <w:szCs w:val="20"/>
                <w:color w:val="auto"/>
              </w:rPr>
            </w:pPr>
            <w:r>
              <w:rPr>
                <w:rFonts w:ascii="Arial" w:cs="Arial" w:eastAsia="Arial" w:hAnsi="Arial"/>
                <w:sz w:val="18"/>
                <w:szCs w:val="18"/>
                <w:color w:val="auto"/>
              </w:rPr>
              <w:t>F-20</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-702310</wp:posOffset>
            </wp:positionV>
            <wp:extent cx="7747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-702310</wp:posOffset>
            </wp:positionV>
            <wp:extent cx="7747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-702310</wp:posOffset>
            </wp:positionV>
            <wp:extent cx="68580"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-702310</wp:posOffset>
            </wp:positionV>
            <wp:extent cx="6858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-702310</wp:posOffset>
            </wp:positionV>
            <wp:extent cx="6858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During fiscal 2023, we retired fully amortized intangible assets of $20.4 million of display driver technology. During fiscal 2022, we retired fully amortized intangible assets of $21.5 million of audio and video developed technology, $12.0 million in backlog and $3.1 million in licensed technology and other.</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Amortization expense is calculated using the straight-line method over the estimated useful lives of the acquired intangibles. The total amortization expense for the acquired intangible assets was $130.4 million in fiscal 2023, $123.5 million in fiscal 2022, and $110.1 million in fiscal 2021. This amortization expense was included in our consolidated statements of operations as acquired intangibles amortization and cost of revenue.</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aggregate amortization expense in future fiscal years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r>
      <w:tr>
        <w:trPr>
          <w:trHeight w:val="249"/>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 be determined</w:t>
            </w:r>
          </w:p>
        </w:tc>
        <w:tc>
          <w:tcPr>
            <w:tcW w:w="4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5480" w:type="dxa"/>
            <w:vAlign w:val="bottom"/>
          </w:tcPr>
          <w:p>
            <w:pPr>
              <w:ind w:left="18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6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64"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Debt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Senior Notes Indenture, by and among our company, the guarantors named therein and Wells Fargo Bank, National Association, as trustee.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3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On or after June 15, 2024, we may redeem some or all of the Senior Notes at the redemption prices specified below, plus accrued and unpaid interest, if any, up to, but excluding, the redemption date:</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5200" w:type="dxa"/>
            <w:vAlign w:val="bottom"/>
          </w:tcPr>
          <w:p>
            <w:pPr>
              <w:ind w:left="242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c>
          <w:tcPr>
            <w:tcW w:w="1480" w:type="dxa"/>
            <w:vAlign w:val="bottom"/>
            <w:gridSpan w:val="2"/>
          </w:tcPr>
          <w:p>
            <w:pPr>
              <w:jc w:val="right"/>
              <w:ind w:right="570"/>
              <w:spacing w:after="0"/>
              <w:rPr>
                <w:sz w:val="20"/>
                <w:szCs w:val="20"/>
                <w:color w:val="auto"/>
              </w:rPr>
            </w:pPr>
            <w:r>
              <w:rPr>
                <w:rFonts w:ascii="Arial" w:cs="Arial" w:eastAsia="Arial" w:hAnsi="Arial"/>
                <w:sz w:val="18"/>
                <w:szCs w:val="18"/>
                <w:color w:val="auto"/>
              </w:rPr>
              <w:t>Price</w:t>
            </w:r>
          </w:p>
        </w:tc>
      </w:tr>
      <w:tr>
        <w:trPr>
          <w:trHeight w:val="230"/>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2025</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100 %</w:t>
            </w:r>
          </w:p>
        </w:tc>
      </w:tr>
    </w:tbl>
    <w:p>
      <w:pPr>
        <w:spacing w:after="0" w:line="31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existing and future indebtedness and liabilities (including trade payables) of our subsidiaries that do not guarantee the Senior Notes.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consolidated balance sheet, </w:t>
      </w:r>
      <w:r>
        <w:rPr>
          <w:rFonts w:ascii="Arial" w:cs="Arial" w:eastAsia="Arial" w:hAnsi="Arial"/>
          <w:sz w:val="18"/>
          <w:szCs w:val="18"/>
          <w:color w:val="252525"/>
        </w:rPr>
        <w:t>are amortized as</w:t>
      </w:r>
      <w:r>
        <w:rPr>
          <w:rFonts w:ascii="Arial" w:cs="Arial" w:eastAsia="Arial" w:hAnsi="Arial"/>
          <w:sz w:val="18"/>
          <w:szCs w:val="18"/>
          <w:color w:val="auto"/>
        </w:rPr>
        <w:t xml:space="preserve"> </w:t>
      </w:r>
      <w:r>
        <w:rPr>
          <w:rFonts w:ascii="Arial" w:cs="Arial" w:eastAsia="Arial" w:hAnsi="Arial"/>
          <w:sz w:val="18"/>
          <w:szCs w:val="18"/>
          <w:color w:val="252525"/>
        </w:rPr>
        <w:t xml:space="preserve">interest expense using the effective interest method </w:t>
      </w:r>
      <w:r>
        <w:rPr>
          <w:rFonts w:ascii="Arial" w:cs="Arial" w:eastAsia="Arial" w:hAnsi="Arial"/>
          <w:sz w:val="18"/>
          <w:szCs w:val="18"/>
          <w:color w:val="000000"/>
        </w:rPr>
        <w:t>over 99 months. The total interest expense and amortization of the debt issuance costs recorded on the</w:t>
      </w:r>
      <w:r>
        <w:rPr>
          <w:rFonts w:ascii="Arial" w:cs="Arial" w:eastAsia="Arial" w:hAnsi="Arial"/>
          <w:sz w:val="18"/>
          <w:szCs w:val="18"/>
          <w:color w:val="252525"/>
        </w:rPr>
        <w:t xml:space="preserve"> </w:t>
      </w:r>
      <w:r>
        <w:rPr>
          <w:rFonts w:ascii="Arial" w:cs="Arial" w:eastAsia="Arial" w:hAnsi="Arial"/>
          <w:sz w:val="18"/>
          <w:szCs w:val="18"/>
          <w:color w:val="000000"/>
        </w:rPr>
        <w:t>Senior Notes during the fiscal year ended June 2023 and 2022 was $16.6 million in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March 16, 2023, we entered into a Second Amendment, or the Second Amendment, and on July 28, 2023, we entered into a Third Amendment, or the Third Amendment, to our Second Amended and Restated Credit Agreement, as amended, the Credit Agreement, with the lenders party thereto and Wells Fargo Bank, National Association, as administrative agent, dated March 11, 2021. The Second Amendment replaces the LIBOR-based interest rate applicable to borrowings under the Credit Agreement with a SOFR-based interest rate, and the Third Amendment provides that the consolidated interest coverage ratio financial covenant only applies if, as of the last day of any fiscal quarter, our aggregate cash and cash equivalents balance is less than $450 million.</w:t>
      </w:r>
    </w:p>
    <w:p>
      <w:pPr>
        <w:spacing w:after="0" w:line="8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June 2023, there was no balance outstanding under the revolving credit facility.</w:t>
      </w:r>
    </w:p>
    <w:p>
      <w:pPr>
        <w:spacing w:after="0" w:line="68"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3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8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Under the Credit Agreement, there are various restrictive covenants, including two financial covenants which limit the consolidated total leverage ratio, or leverage ratio, the consolidated interest coverage ratio, or interest coverage ratio, which after the Third Amendment, only applies if our cash and cash equivalents balance is less than $450 million as of the last day of any fiscal quarter.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If our quarter-end cash and cash equivalents balance is less than $450.0 million, the interest coverage ratio must not be less than 3.50 to 1.0 as of the date of determination. As of the end of the quarter, we remain in compliance with the restrictive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Borrowings under the Term Loan Facility accrue interest at the SOFR, plus 2.25%, or at the Base Rate plus 1.25%, subject to a 25 basis point step-down based on total gross leverage, and subject to an Adjusted Term SOFR floor of 50 basis points. The base rate is the highest of (i) the Federal Funds Rate plus 0.50%, (ii) the Prime Rate and (iii) the one-month Adjusted Term SOFR plus 1.00%. The Term Loan Facility contains customary representations and warranties, affirmative and negative covenants and events of default, in each case consistent with the Credit Agreement. The Term Loan Facility does not contain any financial covenants.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June 30, 2023, an excess cash flow sweep, subject to customary step-downs and thresholds.</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Debt issuance costs relating to the Term Loan Facility of $11.2 million, netted against the debt amount on the consolidated balance sheet, are amortized as interest expense over 96 months. The total interest expense and amortization of the debt issuance costs recorded on the Term Loan Facility during fiscal 2023 and 2022 was $37.9 million and $11.2 million, respectively</w:t>
      </w:r>
      <w:r>
        <w:rPr>
          <w:rFonts w:ascii="Arial" w:cs="Arial" w:eastAsia="Arial" w:hAnsi="Arial"/>
          <w:sz w:val="21"/>
          <w:szCs w:val="21"/>
          <w:color w:val="auto"/>
        </w:rPr>
        <w:t>.</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future principal payments related to our Senior Notes and Term Loan Facility in future fiscal years (in millions):</w:t>
      </w:r>
    </w:p>
    <w:p>
      <w:pPr>
        <w:spacing w:after="0" w:line="3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Term Loan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Senior Notes</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Facility</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961.0</w:t>
            </w:r>
          </w:p>
        </w:tc>
        <w:tc>
          <w:tcPr>
            <w:tcW w:w="100" w:type="dxa"/>
            <w:vAlign w:val="bottom"/>
          </w:tcPr>
          <w:p>
            <w:pPr>
              <w:spacing w:after="0"/>
              <w:rPr>
                <w:sz w:val="21"/>
                <w:szCs w:val="21"/>
                <w:color w:val="auto"/>
              </w:rPr>
            </w:pPr>
          </w:p>
        </w:tc>
      </w:tr>
      <w:tr>
        <w:trPr>
          <w:trHeight w:val="270"/>
        </w:trPr>
        <w:tc>
          <w:tcPr>
            <w:tcW w:w="66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the end of fiscal 2023 and 2022, our total debt is presented in our consolidated balance sheet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Total debt,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Total debt, net</w:t>
            </w: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w w:val="87"/>
              </w:rPr>
              <w:t>of issuance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87"/>
              </w:rPr>
              <w:t>of issuance</w:t>
            </w:r>
          </w:p>
        </w:tc>
        <w:tc>
          <w:tcPr>
            <w:tcW w:w="100" w:type="dxa"/>
            <w:vAlign w:val="bottom"/>
          </w:tcPr>
          <w:p>
            <w:pPr>
              <w:spacing w:after="0"/>
              <w:rPr>
                <w:sz w:val="18"/>
                <w:szCs w:val="18"/>
                <w:color w:val="auto"/>
              </w:rPr>
            </w:pPr>
          </w:p>
        </w:tc>
      </w:tr>
      <w:tr>
        <w:trPr>
          <w:trHeight w:val="237"/>
        </w:trPr>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Total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ind w:left="80"/>
              <w:spacing w:after="0"/>
              <w:rPr>
                <w:sz w:val="20"/>
                <w:szCs w:val="20"/>
                <w:color w:val="auto"/>
              </w:rPr>
            </w:pPr>
            <w:r>
              <w:rPr>
                <w:rFonts w:ascii="Arial" w:cs="Arial" w:eastAsia="Arial" w:hAnsi="Arial"/>
                <w:sz w:val="18"/>
                <w:szCs w:val="18"/>
                <w:color w:val="auto"/>
              </w:rPr>
              <w:t>Issuance costs</w:t>
            </w: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Total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Issuance costs</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5"/>
              </w:rPr>
              <w:t>costs</w:t>
            </w:r>
          </w:p>
        </w:tc>
        <w:tc>
          <w:tcPr>
            <w:tcW w:w="100" w:type="dxa"/>
            <w:vAlign w:val="bottom"/>
          </w:tcPr>
          <w:p>
            <w:pPr>
              <w:spacing w:after="0"/>
              <w:rPr>
                <w:sz w:val="20"/>
                <w:szCs w:val="20"/>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975.7</w:t>
            </w:r>
          </w:p>
        </w:tc>
        <w:tc>
          <w:tcPr>
            <w:tcW w:w="100" w:type="dxa"/>
            <w:vAlign w:val="bottom"/>
          </w:tcPr>
          <w:p>
            <w:pPr>
              <w:spacing w:after="0"/>
              <w:rPr>
                <w:sz w:val="21"/>
                <w:szCs w:val="21"/>
                <w:color w:val="auto"/>
              </w:rPr>
            </w:pPr>
          </w:p>
        </w:tc>
      </w:tr>
      <w:tr>
        <w:trPr>
          <w:trHeight w:val="270"/>
        </w:trPr>
        <w:tc>
          <w:tcPr>
            <w:tcW w:w="27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991.0</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978.0</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62"/>
        </w:trPr>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F-23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-539115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-522605</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-539115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-522605</wp:posOffset>
            </wp:positionV>
            <wp:extent cx="768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-539115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-522605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-539115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-522605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-539115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-522605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6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Holders of the Convertible Notes had the right to convert the Convertible Notes called for redemption no later than August 3, 2021, or the Conversion Deadline. The conversion rate was equal to 13.7267 shares per $1,000 principal amount of the Convertible Notes, which was the initial conversion rate of 13.6947 shares per $1,000 principal amount of the Convertible Notes plus a number of additional shares equal to 0.0320 shares per $1,000 principal amount of the Convertible Notes. We elected to settle any conversions by Combination Settlement (as defined in the Convertible Notes Indenture) with a Specified Dollar Amount (as defined in the Convertible Notes Indenture) per $1,000 principal amount of Convertible Notes equal to $1,000, plus a number of shares of our common stock, to be determined pursuant to the Convertible Notes Indenture, together with additional cash, if applicable, in lieu of delivering any fractional shares of common stock. As a result of this election, on August 4, 2021, we settled or redeemed the remaining outstanding Convertible Notes for $505.6 million in cash representing the principal amount outstanding and delivered approximately 3.5 million shares in common stock from our treasury stock for additional amounts, resulting in a loss of approximately $8.1 million which is included in Interest and other expense, net on our condensed consolidated statements of operations included elsewhere in this report.</w:t>
      </w:r>
    </w:p>
    <w:p>
      <w:pPr>
        <w:spacing w:after="0" w:line="181"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leases primarily include our headquarters office and worldwide office and research and development facilities which are all classified as operating leases. Certain leases include renewal options that are under our discretion. The leases expire at various dates through fiscal year 2034, some of which include options to extend the lease for up to seven years. During fiscal 2023 and 2022, we recorded approximately $12.0 million and $12.7 million of operating leases expense, respectively. Our short-term leases are immaterial and we do not have finance leases.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the end of fiscal 2023 and 2022, the components of leases are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83"/>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4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long-term</w:t>
            </w:r>
          </w:p>
        </w:tc>
        <w:tc>
          <w:tcPr>
            <w:tcW w:w="12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51.4</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-522605</wp:posOffset>
            </wp:positionV>
            <wp:extent cx="1354455" cy="1803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1354455" cy="18034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77470"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6"/>
              </w:rPr>
              <w:t>Supplemental cash flow information related to leases is as follows (in millions):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9"/>
        </w:trPr>
        <w:tc>
          <w:tcPr>
            <w:tcW w:w="1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4"/>
                <w:szCs w:val="24"/>
                <w:color w:val="auto"/>
              </w:rPr>
            </w:pPr>
          </w:p>
        </w:tc>
      </w:tr>
      <w:tr>
        <w:trPr>
          <w:trHeight w:val="215"/>
        </w:trPr>
        <w:tc>
          <w:tcPr>
            <w:tcW w:w="17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2"/>
              </w:rPr>
              <w:t>Cash paid for operating leases included in operating cash</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17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flows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r>
      <w:tr>
        <w:trPr>
          <w:trHeight w:val="222"/>
        </w:trPr>
        <w:tc>
          <w:tcPr>
            <w:tcW w:w="174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Supplemental non-cash information related to lease</w:t>
            </w:r>
          </w:p>
        </w:tc>
        <w:tc>
          <w:tcPr>
            <w:tcW w:w="840" w:type="dxa"/>
            <w:vAlign w:val="bottom"/>
            <w:shd w:val="clear" w:color="auto" w:fill="CFF0FC"/>
          </w:tcPr>
          <w:p>
            <w:pPr>
              <w:spacing w:after="0"/>
              <w:rPr>
                <w:sz w:val="19"/>
                <w:szCs w:val="19"/>
                <w:color w:val="auto"/>
              </w:rPr>
            </w:pPr>
          </w:p>
        </w:tc>
        <w:tc>
          <w:tcPr>
            <w:tcW w:w="440" w:type="dxa"/>
            <w:vAlign w:val="bottom"/>
            <w:tcBorders>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44"/>
        </w:trPr>
        <w:tc>
          <w:tcPr>
            <w:tcW w:w="174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liabilities arising from obtaining right-of-use assets</w:t>
            </w:r>
          </w:p>
        </w:tc>
        <w:tc>
          <w:tcPr>
            <w:tcW w:w="840" w:type="dxa"/>
            <w:vAlign w:val="bottom"/>
            <w:shd w:val="clear" w:color="auto" w:fill="CFF0FC"/>
          </w:tcPr>
          <w:p>
            <w:pPr>
              <w:spacing w:after="0"/>
              <w:rPr>
                <w:sz w:val="21"/>
                <w:szCs w:val="21"/>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As of the end of fiscal 2023, the weighted average remaining lease term was 7.38 years, and the weighted average discount rate was 5.15%.</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8760" w:type="dxa"/>
            <w:vAlign w:val="bottom"/>
          </w:tcPr>
          <w:p>
            <w:pPr>
              <w:ind w:left="3480"/>
              <w:spacing w:after="0"/>
              <w:rPr>
                <w:sz w:val="20"/>
                <w:szCs w:val="20"/>
                <w:color w:val="auto"/>
              </w:rPr>
            </w:pPr>
            <w:r>
              <w:rPr>
                <w:rFonts w:ascii="Arial" w:cs="Arial" w:eastAsia="Arial" w:hAnsi="Arial"/>
                <w:sz w:val="18"/>
                <w:szCs w:val="18"/>
                <w:b w:val="1"/>
                <w:bCs w:val="1"/>
                <w:color w:val="auto"/>
              </w:rPr>
              <w:t>SYNAPTICS INCORPORATED AND SUBSIDIARIES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760" w:type="dxa"/>
            <w:vAlign w:val="bottom"/>
          </w:tcPr>
          <w:p>
            <w:pPr>
              <w:ind w:left="28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1"/>
        </w:trPr>
        <w:tc>
          <w:tcPr>
            <w:tcW w:w="8760" w:type="dxa"/>
            <w:vAlign w:val="bottom"/>
          </w:tcPr>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8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Operating</w:t>
            </w:r>
          </w:p>
        </w:tc>
      </w:tr>
      <w:tr>
        <w:trPr>
          <w:trHeight w:val="243"/>
        </w:trPr>
        <w:tc>
          <w:tcPr>
            <w:tcW w:w="8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Lease</w:t>
            </w:r>
          </w:p>
        </w:tc>
      </w:tr>
      <w:tr>
        <w:trPr>
          <w:trHeight w:val="250"/>
        </w:trPr>
        <w:tc>
          <w:tcPr>
            <w:tcW w:w="876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Payments</w:t>
            </w:r>
          </w:p>
        </w:tc>
      </w:tr>
      <w:tr>
        <w:trPr>
          <w:trHeight w:val="243"/>
        </w:trPr>
        <w:tc>
          <w:tcPr>
            <w:tcW w:w="87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21"/>
                <w:szCs w:val="21"/>
                <w:color w:val="auto"/>
              </w:rPr>
            </w:pPr>
          </w:p>
        </w:tc>
      </w:tr>
      <w:tr>
        <w:trPr>
          <w:trHeight w:val="237"/>
        </w:trPr>
        <w:tc>
          <w:tcPr>
            <w:tcW w:w="87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r>
      <w:tr>
        <w:trPr>
          <w:trHeight w:val="249"/>
        </w:trPr>
        <w:tc>
          <w:tcPr>
            <w:tcW w:w="8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21"/>
                <w:szCs w:val="21"/>
                <w:color w:val="auto"/>
              </w:rPr>
            </w:pPr>
          </w:p>
        </w:tc>
      </w:tr>
      <w:tr>
        <w:trPr>
          <w:trHeight w:val="237"/>
        </w:trPr>
        <w:tc>
          <w:tcPr>
            <w:tcW w:w="8760" w:type="dxa"/>
            <w:vAlign w:val="bottom"/>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r>
      <w:tr>
        <w:trPr>
          <w:trHeight w:val="249"/>
        </w:trPr>
        <w:tc>
          <w:tcPr>
            <w:tcW w:w="8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r>
      <w:tr>
        <w:trPr>
          <w:trHeight w:val="237"/>
        </w:trPr>
        <w:tc>
          <w:tcPr>
            <w:tcW w:w="8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20"/>
                <w:szCs w:val="20"/>
                <w:color w:val="auto"/>
              </w:rPr>
            </w:pP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(10.7 )</w:t>
            </w:r>
          </w:p>
        </w:tc>
      </w:tr>
      <w:tr>
        <w:trPr>
          <w:trHeight w:val="276"/>
        </w:trPr>
        <w:tc>
          <w:tcPr>
            <w:tcW w:w="8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February 8, 2022, we executed a sale and leaseback transaction of our properties located at 1109-1251 McKay Drive and 1140-1150 Ringwood Court, San Jose, California, for a purchase price, net of closing and other expenses payable by us, of $55.9 million. Concurrent with the sale, we entered into a lease agreement with the buyer to lease back the land and properties located at 1109 and 1151 McKay Drive, San Jose, California, for an initial term of 12 years and a renewal option for an additional seven years. The transaction qualified for sale and leaseback and operating lease accounting classification, and we recorded a gain of $5.4 million which is recorded in the gain on sale and leaseback transaction line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Indemnifications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subject to a variety of claims and suits that arise from time-to-time in the ordinary course of our business. While management currently believes that resolving claims against us, individually or in the aggregate, will not have a material adverse impact on our financial position, results of operations or statements of cash flows, these matters are subject to inherent uncertainties and management’s view of these matters may change in the future. We accrue for loss contingencies when it is both probable that we will incur the loss and when we can reasonably estimate the amount of the loss or range of loss.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fourth quarter of fiscal 2023, we accrued $4.0 million in relation to a contractual dispute with a vendor.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46"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consolidated financial statements for such indemnification obligations.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time-to-time,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2023, there were no shares of preferred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ind w:left="520"/>
              <w:spacing w:after="0"/>
              <w:rPr>
                <w:sz w:val="20"/>
                <w:szCs w:val="20"/>
                <w:color w:val="auto"/>
              </w:rPr>
            </w:pPr>
            <w:r>
              <w:rPr>
                <w:rFonts w:ascii="Arial" w:cs="Arial" w:eastAsia="Arial" w:hAnsi="Arial"/>
                <w:sz w:val="18"/>
                <w:szCs w:val="18"/>
                <w:color w:val="auto"/>
              </w:rPr>
              <w:t>Shares of common stock reserved for future issuance as of the end of fiscal 2023 were as follows: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outstanding</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00" w:type="dxa"/>
            <w:vAlign w:val="bottom"/>
          </w:tcPr>
          <w:p>
            <w:pPr>
              <w:ind w:left="20"/>
              <w:spacing w:after="0"/>
              <w:rPr>
                <w:sz w:val="20"/>
                <w:szCs w:val="20"/>
                <w:color w:val="auto"/>
              </w:rPr>
            </w:pPr>
            <w:r>
              <w:rPr>
                <w:rFonts w:ascii="Arial" w:cs="Arial" w:eastAsia="Arial" w:hAnsi="Arial"/>
                <w:sz w:val="18"/>
                <w:szCs w:val="18"/>
                <w:color w:val="auto"/>
              </w:rPr>
              <w:t>Restricted stock units outstanding</w:t>
            </w:r>
          </w:p>
        </w:tc>
        <w:tc>
          <w:tcPr>
            <w:tcW w:w="1940" w:type="dxa"/>
            <w:vAlign w:val="bottom"/>
          </w:tcPr>
          <w:p>
            <w:pPr>
              <w:jc w:val="right"/>
              <w:spacing w:after="0"/>
              <w:rPr>
                <w:sz w:val="20"/>
                <w:szCs w:val="20"/>
                <w:color w:val="auto"/>
              </w:rPr>
            </w:pPr>
            <w:r>
              <w:rPr>
                <w:rFonts w:ascii="Arial" w:cs="Arial" w:eastAsia="Arial" w:hAnsi="Arial"/>
                <w:sz w:val="18"/>
                <w:szCs w:val="18"/>
                <w:color w:val="auto"/>
              </w:rPr>
              <w:t>1,304,926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 stock units outstanding</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00" w:type="dxa"/>
            <w:vAlign w:val="bottom"/>
          </w:tcPr>
          <w:p>
            <w:pPr>
              <w:ind w:left="20"/>
              <w:spacing w:after="0"/>
              <w:rPr>
                <w:sz w:val="20"/>
                <w:szCs w:val="20"/>
                <w:color w:val="auto"/>
              </w:rPr>
            </w:pPr>
            <w:r>
              <w:rPr>
                <w:rFonts w:ascii="Arial" w:cs="Arial" w:eastAsia="Arial" w:hAnsi="Arial"/>
                <w:sz w:val="18"/>
                <w:szCs w:val="18"/>
                <w:color w:val="auto"/>
              </w:rPr>
              <w:t>Performance stock units outstanding</w:t>
            </w:r>
          </w:p>
        </w:tc>
        <w:tc>
          <w:tcPr>
            <w:tcW w:w="1940" w:type="dxa"/>
            <w:vAlign w:val="bottom"/>
          </w:tcPr>
          <w:p>
            <w:pPr>
              <w:jc w:val="right"/>
              <w:spacing w:after="0"/>
              <w:rPr>
                <w:sz w:val="20"/>
                <w:szCs w:val="20"/>
                <w:color w:val="auto"/>
              </w:rPr>
            </w:pPr>
            <w:r>
              <w:rPr>
                <w:rFonts w:ascii="Arial" w:cs="Arial" w:eastAsia="Arial" w:hAnsi="Arial"/>
                <w:sz w:val="18"/>
                <w:szCs w:val="18"/>
                <w:color w:val="auto"/>
              </w:rPr>
              <w:t>253,359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available for grant under all share-based</w:t>
            </w:r>
          </w:p>
        </w:tc>
        <w:tc>
          <w:tcPr>
            <w:tcW w:w="1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3,994,824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compensation plans</w:t>
            </w:r>
          </w:p>
        </w:tc>
        <w:tc>
          <w:tcPr>
            <w:tcW w:w="1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200" w:type="dxa"/>
            <w:vAlign w:val="bottom"/>
          </w:tcPr>
          <w:p>
            <w:pPr>
              <w:ind w:left="200"/>
              <w:spacing w:after="0"/>
              <w:rPr>
                <w:sz w:val="20"/>
                <w:szCs w:val="20"/>
                <w:color w:val="auto"/>
              </w:rPr>
            </w:pPr>
            <w:r>
              <w:rPr>
                <w:rFonts w:ascii="Arial" w:cs="Arial" w:eastAsia="Arial" w:hAnsi="Arial"/>
                <w:sz w:val="18"/>
                <w:szCs w:val="18"/>
                <w:color w:val="auto"/>
              </w:rPr>
              <w:t>Reserved for future issuance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Our cumulative authorization of repurchases under our common stock repurchase program as of the end of fiscal 2023 was $2.3 billion expiring July 2025.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2023, we had $893.9 million of common stock remaining to be repurchased under our common stock repurchase program.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purpose of our various share-based compensation plans is to attract, motivate, retain, and reward high-quality employees, directors, and 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 creation of stockholder value. Consequently, we determine whether to grant share-based compensatory awards subsequent to the initial award for our employees and consultants primarily on individual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or our 2010 ESPP. Upon approval of the 2019 Incentive Plan, new awards are no longer issued under the 2010 Incentive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units, cash incentive awards, performance shares, performance stock units, and other stock-based awards. The cumulative number of shares approved under the 2019 Incentive Plan was 5,288,000. The 2019 ESPP authorizes us to provide eligible employees with an opportunity to acquire an equity interest in our company through the purchase of stock at a discount, with an initial authorization of 1,500,000 shares.</w:t>
      </w:r>
    </w:p>
    <w:p>
      <w:pPr>
        <w:spacing w:after="0" w:line="4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As a result of approval by our stockholders of our amended and restated 2019 Incentive Plan on October 27, 2020, no new awards will be granted under the 2019 Inducement Equity Plan.</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Share-based compensation awards available for grant or issuance for each plan as of the beginning of the fiscal year, including changes in the balance of awards available for grant for fiscal 2023,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Awards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6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Available</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2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Employee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Employee</w:t>
            </w: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6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rPr>
              <w:t>Under All</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Incentive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Inducement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Stock</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Incentive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DSPG</w:t>
            </w:r>
          </w:p>
        </w:tc>
      </w:tr>
      <w:tr>
        <w:trPr>
          <w:trHeight w:val="148"/>
        </w:trPr>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Replacement</w:t>
            </w:r>
          </w:p>
        </w:tc>
      </w:tr>
      <w:tr>
        <w:trPr>
          <w:trHeight w:val="175"/>
        </w:trPr>
        <w:tc>
          <w:tcPr>
            <w:tcW w:w="46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Share-Based</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Compensation</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Equity</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Purchase</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Compensation</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Award</w:t>
            </w:r>
          </w:p>
        </w:tc>
      </w:tr>
      <w:tr>
        <w:trPr>
          <w:trHeight w:val="181"/>
        </w:trPr>
        <w:tc>
          <w:tcPr>
            <w:tcW w:w="46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Award Plans</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Plan</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Plan</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Plan</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Plan</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Plan</w:t>
            </w:r>
          </w:p>
        </w:tc>
      </w:tr>
      <w:tr>
        <w:trPr>
          <w:trHeight w:val="23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2022</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4,449,604</w:t>
            </w:r>
          </w:p>
        </w:tc>
        <w:tc>
          <w:tcPr>
            <w:tcW w:w="24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3,379,524</w:t>
            </w:r>
          </w:p>
        </w:tc>
        <w:tc>
          <w:tcPr>
            <w:tcW w:w="24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1,070,080</w:t>
            </w:r>
          </w:p>
        </w:tc>
        <w:tc>
          <w:tcPr>
            <w:tcW w:w="20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Additional shares 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698,000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698,000</w:t>
            </w: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Transferred between plans</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(5,733 )</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Restricted stock units granted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(808,153 )</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(808,153 )</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 stock units granted</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(110,885 )</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(110,885 )</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Performance stock units granted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(157,710 )</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(157,710 )</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Performance stock units performance adjustment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141,565</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142,899</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(1,334 )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Market stock units performance adjustment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(168,796 )</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(148,347 )</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(20,449 )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under employee stock purchase plan</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(172,044 )</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(172,044 )</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rPr>
                <w:sz w:val="20"/>
                <w:szCs w:val="20"/>
                <w:color w:val="auto"/>
              </w:rPr>
            </w:pPr>
            <w:r>
              <w:rPr>
                <w:rFonts w:ascii="Arial" w:cs="Arial" w:eastAsia="Arial" w:hAnsi="Arial"/>
                <w:sz w:val="18"/>
                <w:szCs w:val="18"/>
                <w:color w:val="auto"/>
              </w:rPr>
              <w:t>103,689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95,727</w:t>
            </w: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5,733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0"/>
                <w:szCs w:val="20"/>
                <w:color w:val="auto"/>
              </w:rPr>
            </w:pP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Plan shares no longer available for new grants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19,554</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21,783</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(2,229 )</w:t>
            </w:r>
          </w:p>
        </w:tc>
      </w:tr>
      <w:tr>
        <w:trPr>
          <w:trHeight w:val="237"/>
        </w:trPr>
        <w:tc>
          <w:tcPr>
            <w:tcW w:w="4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June 2023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3,994,824</w:t>
            </w:r>
          </w:p>
        </w:tc>
        <w:tc>
          <w:tcPr>
            <w:tcW w:w="240" w:type="dxa"/>
            <w:vAlign w:val="bottom"/>
            <w:tcBorders>
              <w:top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3,096,788</w:t>
            </w:r>
          </w:p>
        </w:tc>
        <w:tc>
          <w:tcPr>
            <w:tcW w:w="240" w:type="dxa"/>
            <w:vAlign w:val="bottom"/>
            <w:tcBorders>
              <w:top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898,036</w:t>
            </w:r>
          </w:p>
        </w:tc>
        <w:tc>
          <w:tcPr>
            <w:tcW w:w="20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-187960</wp:posOffset>
            </wp:positionV>
            <wp:extent cx="7747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-187960</wp:posOffset>
            </wp:positionV>
            <wp:extent cx="7747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6858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6858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6858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 xml:space="preserve">Share-based compensation and the related tax benefit for our stock-based awards and our cash settled phantom stock units, which we granted in October 2019 (see </w:t>
      </w:r>
      <w:r>
        <w:rPr>
          <w:rFonts w:ascii="Arial" w:cs="Arial" w:eastAsia="Arial" w:hAnsi="Arial"/>
          <w:sz w:val="18"/>
          <w:szCs w:val="18"/>
          <w:i w:val="1"/>
          <w:iCs w:val="1"/>
          <w:color w:val="auto"/>
        </w:rPr>
        <w:t>Phantom Stock Units</w:t>
      </w:r>
      <w:r>
        <w:rPr>
          <w:rFonts w:ascii="Arial" w:cs="Arial" w:eastAsia="Arial" w:hAnsi="Arial"/>
          <w:sz w:val="18"/>
          <w:szCs w:val="18"/>
          <w:color w:val="auto"/>
        </w:rPr>
        <w:t xml:space="preserve"> below) recognized in our consolidated statements of income for fiscal 2023, 2022, and 2021 were as follows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2023</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2022</w:t>
            </w:r>
          </w:p>
        </w:tc>
        <w:tc>
          <w:tcPr>
            <w:tcW w:w="9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2021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Stock-based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99"/>
              </w:rPr>
              <w:t>Phantom</w:t>
            </w:r>
          </w:p>
        </w:tc>
        <w:tc>
          <w:tcPr>
            <w:tcW w:w="2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Stock-based</w:t>
            </w:r>
          </w:p>
        </w:tc>
        <w:tc>
          <w:tcPr>
            <w:tcW w:w="3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w w:val="91"/>
              </w:rPr>
              <w:t>Phantom Stock</w:t>
            </w: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Stock-based</w:t>
            </w:r>
          </w:p>
        </w:tc>
        <w:tc>
          <w:tcPr>
            <w:tcW w:w="3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3"/>
              </w:rPr>
              <w:t>Phantom Stock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awards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Stock Units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awards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Units</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awards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100.8</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Income tax benefit on share-based</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vMerge w:val="restart"/>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vMerge w:val="restart"/>
            <w:shd w:val="clear" w:color="auto" w:fill="CFF0FC"/>
          </w:tcPr>
          <w:p>
            <w:pPr>
              <w:spacing w:after="0"/>
              <w:rPr>
                <w:sz w:val="17"/>
                <w:szCs w:val="17"/>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6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F-27</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-993775</wp:posOffset>
            </wp:positionV>
            <wp:extent cx="76835"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-993775</wp:posOffset>
            </wp:positionV>
            <wp:extent cx="7747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-993775</wp:posOffset>
            </wp:positionV>
            <wp:extent cx="6858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-993775</wp:posOffset>
            </wp:positionV>
            <wp:extent cx="6858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-993775</wp:posOffset>
            </wp:positionV>
            <wp:extent cx="6858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-539115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-522605</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-539115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-522605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-539115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-522605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recognize a tax benefit upon expensing certain share-based awards associated with our share-based compensation plans, including RSUs, market stock units, or MSUs, PSUs, and phantom stock units. We do not recognize a tax benefit upon expensing all or a portion of share-based awards granted to certain executive officers and certain foreign-based employees.</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compare the actual tax benefit associated with the tax deduction from share-based award activity to the hypothetical tax benefit based on the grant date fair values of the corresponding share-based awards. Tax benefit associated with excess tax deduction creditable to our income tax provision is recognized when incurred. Tax deficiency associated with a tax deduction shortfall is debited to our income tax provision when incurred.</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share-based compensation plans with outstanding stock option awards include our 2010 Incentive Plan. Under our 2010 Incentive Plan, we were able to grant incentive stock options or nonqualified stock options to purchase shares of our common stock at not less than 100% of the fair market value, or FMV, on the date of grant. We ceased granting stock options in fiscal 2018.</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Options granted under our 2010 Incentive Plan generally vest three to four years from the vesting commencement date and expire seven years after the date of grant if not exercised.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stock option activity for fiscal 2023 and balances as of the end of fiscal 2023 were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Stock</w:t>
            </w:r>
          </w:p>
        </w:tc>
        <w:tc>
          <w:tcPr>
            <w:tcW w:w="180" w:type="dxa"/>
            <w:vAlign w:val="bottom"/>
          </w:tcPr>
          <w:p>
            <w:pPr>
              <w:spacing w:after="0"/>
              <w:rPr>
                <w:sz w:val="15"/>
                <w:szCs w:val="15"/>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color w:val="auto"/>
                <w:w w:val="94"/>
              </w:rPr>
              <w:t>Weighted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2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Option</w:t>
            </w:r>
          </w:p>
        </w:tc>
        <w:tc>
          <w:tcPr>
            <w:tcW w:w="180" w:type="dxa"/>
            <w:vAlign w:val="bottom"/>
          </w:tcPr>
          <w:p>
            <w:pPr>
              <w:spacing w:after="0"/>
              <w:rPr>
                <w:sz w:val="15"/>
                <w:szCs w:val="15"/>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5"/>
        </w:trPr>
        <w:tc>
          <w:tcPr>
            <w:tcW w:w="52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Awards</w:t>
            </w:r>
          </w:p>
        </w:tc>
        <w:tc>
          <w:tcPr>
            <w:tcW w:w="180" w:type="dxa"/>
            <w:vAlign w:val="bottom"/>
          </w:tcPr>
          <w:p>
            <w:pPr>
              <w:spacing w:after="0"/>
              <w:rPr>
                <w:sz w:val="15"/>
                <w:szCs w:val="15"/>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color w:val="auto"/>
                <w:w w:val="93"/>
              </w:rPr>
              <w:t>Exercise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color w:val="auto"/>
                <w:w w:val="94"/>
              </w:rPr>
              <w:t>Value</w:t>
            </w:r>
          </w:p>
        </w:tc>
        <w:tc>
          <w:tcPr>
            <w:tcW w:w="80" w:type="dxa"/>
            <w:vAlign w:val="bottom"/>
          </w:tcPr>
          <w:p>
            <w:pPr>
              <w:spacing w:after="0"/>
              <w:rPr>
                <w:sz w:val="15"/>
                <w:szCs w:val="15"/>
                <w:color w:val="auto"/>
              </w:rPr>
            </w:pPr>
          </w:p>
        </w:tc>
      </w:tr>
      <w:tr>
        <w:trPr>
          <w:trHeight w:val="181"/>
        </w:trPr>
        <w:tc>
          <w:tcPr>
            <w:tcW w:w="52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5"/>
                <w:szCs w:val="15"/>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color w:val="auto"/>
                <w:w w:val="93"/>
              </w:rPr>
              <w:t>Price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31,185</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(27,545 )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81.88</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52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June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52.53</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FF0FC"/>
            </w:tcBorders>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June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52.53</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-367665</wp:posOffset>
            </wp:positionV>
            <wp:extent cx="60325"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the last trading day of fiscal 2023, or June 23, 2023, of $81.16.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received and the aggregate intrinsic value of stock options exercised for fiscal 2023, 2022, and 2021 were as follows (in millions):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20"/>
                <w:szCs w:val="20"/>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r>
    </w:tbl>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unrecognized share-based compensation costs for stock options granted under our various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Our 2019 Incentive Plan provides for the grant of RSUs to our employees, consultants, and directors, and previously our 2019 Inducement Equity Plan and our 2010 Incentive Plan provided for the grant of deferred stock units, or DSUs, to our employees, consultants, and directors. An RSU and a DSU are each a promise to deliver shares of our common stock at a future date in accordance with the terms of the grant agreement and the words can be used interchangeably. We began granting DSUs in January 2006 and RSUs in 2019. The use of RSUs will cover the meaning of both RSUs and DSUs.</w:t>
      </w:r>
    </w:p>
    <w:p>
      <w:pPr>
        <w:spacing w:after="0" w:line="1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RSUs granted generally vest ratably over three to four years from the vesting commencement date. Delivery of shares under the plans take place on the quarterly vesting dates. At the delivery date, we withhold shares to cover applicable statutory tax withholding for grantees subject to withholding and deliver a net quantity of shares to the grantee after such withholding. Until delivery of shares, the grantee has no rights as a stockholder with respect to any shares underlying the RSU award.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RSU activity, including RSUs granted, delivered, and forfeited in fiscal 2023, and the balance and aggregate intrinsic value of RSUs as of the end of fiscal 2023 were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5"/>
                <w:szCs w:val="15"/>
                <w:color w:val="auto"/>
              </w:rPr>
            </w:pPr>
          </w:p>
        </w:tc>
      </w:tr>
      <w:tr>
        <w:trPr>
          <w:trHeight w:val="176"/>
        </w:trPr>
        <w:tc>
          <w:tcPr>
            <w:tcW w:w="614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color w:val="auto"/>
              </w:rPr>
              <w:t>RSU Awards</w:t>
            </w: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color w:val="auto"/>
                <w:w w:val="93"/>
              </w:rPr>
              <w:t>Grant Date</w:t>
            </w:r>
          </w:p>
        </w:tc>
        <w:tc>
          <w:tcPr>
            <w:tcW w:w="80" w:type="dxa"/>
            <w:vAlign w:val="bottom"/>
          </w:tcPr>
          <w:p>
            <w:pPr>
              <w:spacing w:after="0"/>
              <w:rPr>
                <w:sz w:val="15"/>
                <w:szCs w:val="15"/>
                <w:color w:val="auto"/>
              </w:rPr>
            </w:pPr>
          </w:p>
        </w:tc>
      </w:tr>
      <w:tr>
        <w:trPr>
          <w:trHeight w:val="181"/>
        </w:trPr>
        <w:tc>
          <w:tcPr>
            <w:tcW w:w="614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5"/>
                <w:szCs w:val="15"/>
                <w:color w:val="auto"/>
              </w:rPr>
            </w:pPr>
          </w:p>
        </w:tc>
      </w:tr>
      <w:tr>
        <w:trPr>
          <w:trHeight w:val="23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1,220,565</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119.83</w:t>
            </w:r>
          </w:p>
        </w:tc>
        <w:tc>
          <w:tcPr>
            <w:tcW w:w="80" w:type="dxa"/>
            <w:vAlign w:val="bottom"/>
            <w:shd w:val="clear" w:color="auto" w:fill="CFF0FC"/>
          </w:tcPr>
          <w:p>
            <w:pPr>
              <w:spacing w:after="0"/>
              <w:rPr>
                <w:sz w:val="20"/>
                <w:szCs w:val="20"/>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808,153</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129.14</w:t>
            </w: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(631,492 )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80" w:type="dxa"/>
            <w:vAlign w:val="bottom"/>
            <w:shd w:val="clear" w:color="auto" w:fill="CFF0FC"/>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(92,300 )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137.60</w:t>
            </w:r>
          </w:p>
        </w:tc>
        <w:tc>
          <w:tcPr>
            <w:tcW w:w="80" w:type="dxa"/>
            <w:vAlign w:val="bottom"/>
          </w:tcPr>
          <w:p>
            <w:pPr>
              <w:spacing w:after="0"/>
              <w:rPr>
                <w:sz w:val="21"/>
                <w:szCs w:val="21"/>
                <w:color w:val="auto"/>
              </w:rPr>
            </w:pPr>
          </w:p>
        </w:tc>
      </w:tr>
      <w:tr>
        <w:trPr>
          <w:trHeight w:val="277"/>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1,304,926</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At the end of fiscal 2023, the aggregate intrinsic value of RSUs expected to vest was $105.9 million and the number of RSU awards expected to vest is 1.3 million shares. Our closing stock price of $81.16 on the last day of trading in fiscal 2023 was used to calculate the intrinsic value for the RSUs.</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unrecognized share-based compensation cost for RSUs granted under our 2019 Incentive Plan, our 2019 Inducement Equity Plan and our 2010 Incentive Plan was approximately $122.7 million as of the end of fiscal 2023, which will be recognized over a weighted average period of approximately 1.84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For MSU awards granted in fiscal 2023, performance is measured based on our achievement of a specified level of total stockholder return, or TSR, relative to the TSRs of each company in the Russell 2000 Index. The potential payout ranges from 0% to 300% of the target grant quantity based on our TSR performance relative to the TSRs of each company in the Russell 2000 Index. No payout will occur if our TSR performance falls below the 25th percentile of the TSRs of each company in the Russell 2000 Index, and a 300% payout will occur if our TSR performance exceeds the 80th percentile of the TSRs of each company in the Russell 2000 Index. Performance payouts between the 25th and 80th percentiles will be determined on a linear basis with performance at the 50th percentile equal to 100% of target.</w:t>
      </w:r>
    </w:p>
    <w:p>
      <w:pPr>
        <w:spacing w:after="0" w:line="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first tranche and the second tranche can payout up to 300%, and the payout for the third tranche will be calculated based on the total target quantity for the entire grant multiplied by the payout factor, based on performance for the three-year performance period, less shares issued for the first tranche and the second tranche, but not less than the third tranche target quantity multiplied by the final payout factor.</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For MSU awards granted in fiscal 2022 and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25th percentile of the TSRs of each company in the Russell 2000 Index, and a 200% payout will occur if our TSR performance exceeds the 75th percentile of the TSRs of each company in the Russell 2000 Index. Performance payouts between the 25th and 75th percentiles will be determined on a linear basis with performance at the 50th percentile equal to 100% of target.</w:t>
      </w:r>
    </w:p>
    <w:p>
      <w:pPr>
        <w:spacing w:after="0" w:line="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 but not less than the third tranche target quantity multiplied by the final payout factor.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outstanding MSU awards granted in fiscal 2020, performance is measured based on our achievement of a specified level of TSR relative to the TSR of the S&amp;P Semiconductor Select Industry Index, or the Index. The potential payout ranges from 0% to 200% of the target grant quantity and is adjusted on a two-to-one ratio based on our TSR performance relative to the Index.</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MSU activity, including MSUs granted, delivered, and forfeited in fiscal 2023, and the balance and aggregate intrinsic value of MSUs as of the end of fiscal 2023 were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color w:val="auto"/>
                <w:w w:val="94"/>
              </w:rPr>
              <w:t>Weighted</w:t>
            </w:r>
          </w:p>
        </w:tc>
        <w:tc>
          <w:tcPr>
            <w:tcW w:w="80" w:type="dxa"/>
            <w:vAlign w:val="bottom"/>
          </w:tcPr>
          <w:p>
            <w:pPr>
              <w:spacing w:after="0"/>
              <w:rPr>
                <w:sz w:val="15"/>
                <w:szCs w:val="15"/>
                <w:color w:val="auto"/>
              </w:rPr>
            </w:pPr>
          </w:p>
        </w:tc>
      </w:tr>
      <w:tr>
        <w:trPr>
          <w:trHeight w:val="176"/>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5"/>
                <w:szCs w:val="15"/>
                <w:color w:val="auto"/>
              </w:rPr>
            </w:pPr>
          </w:p>
        </w:tc>
      </w:tr>
      <w:tr>
        <w:trPr>
          <w:trHeight w:val="176"/>
        </w:trPr>
        <w:tc>
          <w:tcPr>
            <w:tcW w:w="614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color w:val="auto"/>
              </w:rPr>
              <w:t>MSU Awards</w:t>
            </w:r>
          </w:p>
        </w:tc>
        <w:tc>
          <w:tcPr>
            <w:tcW w:w="20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color w:val="auto"/>
                <w:w w:val="93"/>
              </w:rPr>
              <w:t>Grant Date</w:t>
            </w:r>
          </w:p>
        </w:tc>
        <w:tc>
          <w:tcPr>
            <w:tcW w:w="80" w:type="dxa"/>
            <w:vAlign w:val="bottom"/>
          </w:tcPr>
          <w:p>
            <w:pPr>
              <w:spacing w:after="0"/>
              <w:rPr>
                <w:sz w:val="15"/>
                <w:szCs w:val="15"/>
                <w:color w:val="auto"/>
              </w:rPr>
            </w:pPr>
          </w:p>
        </w:tc>
      </w:tr>
      <w:tr>
        <w:trPr>
          <w:trHeight w:val="181"/>
        </w:trPr>
        <w:tc>
          <w:tcPr>
            <w:tcW w:w="614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5"/>
                <w:szCs w:val="15"/>
                <w:color w:val="auto"/>
              </w:rPr>
            </w:pPr>
          </w:p>
        </w:tc>
      </w:tr>
      <w:tr>
        <w:trPr>
          <w:trHeight w:val="237"/>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251,974</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138.51</w:t>
            </w:r>
          </w:p>
        </w:tc>
        <w:tc>
          <w:tcPr>
            <w:tcW w:w="80" w:type="dxa"/>
            <w:vAlign w:val="bottom"/>
            <w:shd w:val="clear" w:color="auto" w:fill="CFF0FC"/>
          </w:tcPr>
          <w:p>
            <w:pPr>
              <w:spacing w:after="0"/>
              <w:rPr>
                <w:sz w:val="20"/>
                <w:szCs w:val="20"/>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110,885</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179.98</w:t>
            </w: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Performance adjustment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168,796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(304,334 )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104.04</w:t>
            </w:r>
          </w:p>
        </w:tc>
        <w:tc>
          <w:tcPr>
            <w:tcW w:w="80" w:type="dxa"/>
            <w:vAlign w:val="bottom"/>
          </w:tcPr>
          <w:p>
            <w:pPr>
              <w:spacing w:after="0"/>
              <w:rPr>
                <w:sz w:val="21"/>
                <w:szCs w:val="21"/>
                <w:color w:val="auto"/>
              </w:rPr>
            </w:pPr>
          </w:p>
        </w:tc>
      </w:tr>
      <w:tr>
        <w:trPr>
          <w:trHeight w:val="276"/>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227,321</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235.67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596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7" w:lineRule="exact"/>
        <w:rPr>
          <w:sz w:val="20"/>
          <w:szCs w:val="20"/>
          <w:color w:val="auto"/>
        </w:rPr>
      </w:pPr>
    </w:p>
    <w:p>
      <w:pPr>
        <w:jc w:val="both"/>
        <w:ind w:firstLine="509"/>
        <w:spacing w:after="0"/>
        <w:rPr>
          <w:sz w:val="20"/>
          <w:szCs w:val="20"/>
          <w:color w:val="auto"/>
        </w:rPr>
      </w:pPr>
      <w:r>
        <w:rPr>
          <w:rFonts w:ascii="Arial" w:cs="Arial" w:eastAsia="Arial" w:hAnsi="Arial"/>
          <w:sz w:val="17"/>
          <w:szCs w:val="17"/>
          <w:color w:val="auto"/>
        </w:rPr>
        <w:t>As a result of Synaptics achieving the 80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percentile relative to the remaining constituents in the Russell 2000 Index, we delivered 200% of the targeted shares underlying tranche one of the fiscal 2022 MSU grants. As a result of Synaptics achieving the 84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percentile relative to the remaining constituents in the Russell 2000 Index, we delivered 200% of the targeted shares underlying tranche two of the fiscal 2021 MSU grants. As a result of the Synaptics TSR outperforming the Index TSR by 84.53 percentage points for the tranche three performance period, we delivered 200% of the targeted shares underlying the fiscal 2020 MSU grants, less shares issued for the first tranche and second tranche.</w:t>
      </w:r>
    </w:p>
    <w:p>
      <w:pPr>
        <w:spacing w:after="0" w:line="95"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At the end of fiscal 2023, the aggregate intrinsic value of MSUs expected to vest was $18.5 million and the number of MSU awards expected to vest is 0.2 million shares. Our closing stock price of $81.16 on the last day of trading in fiscal 2023 was used to calculate the intrinsic value for the MSUs.</w:t>
      </w:r>
    </w:p>
    <w:p>
      <w:pPr>
        <w:spacing w:after="0" w:line="1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fair value of each MSU granted from our plans for fiscal 2023, 2022, and 2021 was estimated at the date of grant using the Monte Carlo simulation model, assuming no expected dividends and the following assumptions: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17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5"/>
                <w:szCs w:val="15"/>
                <w:color w:val="auto"/>
              </w:rPr>
            </w:pPr>
          </w:p>
        </w:tc>
        <w:tc>
          <w:tcPr>
            <w:tcW w:w="17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5"/>
                <w:szCs w:val="15"/>
                <w:color w:val="auto"/>
              </w:rPr>
            </w:pPr>
          </w:p>
        </w:tc>
        <w:tc>
          <w:tcPr>
            <w:tcW w:w="17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Expected volatility of company</w:t>
            </w:r>
          </w:p>
        </w:tc>
        <w:tc>
          <w:tcPr>
            <w:tcW w:w="1720" w:type="dxa"/>
            <w:vAlign w:val="bottom"/>
          </w:tcPr>
          <w:p>
            <w:pPr>
              <w:jc w:val="right"/>
              <w:spacing w:after="0"/>
              <w:rPr>
                <w:sz w:val="20"/>
                <w:szCs w:val="20"/>
                <w:color w:val="auto"/>
              </w:rPr>
            </w:pPr>
            <w:r>
              <w:rPr>
                <w:rFonts w:ascii="Arial" w:cs="Arial" w:eastAsia="Arial" w:hAnsi="Arial"/>
                <w:sz w:val="18"/>
                <w:szCs w:val="18"/>
                <w:color w:val="auto"/>
              </w:rPr>
              <w:t>55.22</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53.62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3300" w:type="dxa"/>
            <w:vAlign w:val="bottom"/>
          </w:tcPr>
          <w:p>
            <w:pPr>
              <w:spacing w:after="0"/>
              <w:rPr>
                <w:sz w:val="20"/>
                <w:szCs w:val="20"/>
                <w:color w:val="auto"/>
              </w:rPr>
            </w:pPr>
            <w:r>
              <w:rPr>
                <w:rFonts w:ascii="Arial" w:cs="Arial" w:eastAsia="Arial" w:hAnsi="Arial"/>
                <w:sz w:val="18"/>
                <w:szCs w:val="18"/>
                <w:color w:val="auto"/>
              </w:rPr>
              <w:t>Expected volatility of Index</w:t>
            </w:r>
          </w:p>
        </w:tc>
        <w:tc>
          <w:tcPr>
            <w:tcW w:w="1720" w:type="dxa"/>
            <w:vAlign w:val="bottom"/>
          </w:tcPr>
          <w:p>
            <w:pPr>
              <w:jc w:val="right"/>
              <w:spacing w:after="0"/>
              <w:rPr>
                <w:sz w:val="20"/>
                <w:szCs w:val="20"/>
                <w:color w:val="auto"/>
              </w:rPr>
            </w:pPr>
            <w:r>
              <w:rPr>
                <w:rFonts w:ascii="Arial" w:cs="Arial" w:eastAsia="Arial" w:hAnsi="Arial"/>
                <w:sz w:val="18"/>
                <w:szCs w:val="18"/>
                <w:color w:val="auto"/>
              </w:rPr>
              <w:t>17.9% - 320.7%</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17.4% - 581.6%</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19.6% - 197.6%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Correlation coefficient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3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3.24 %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0.40 %</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0.17 %</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Fair value per award</w:t>
            </w:r>
          </w:p>
        </w:tc>
        <w:tc>
          <w:tcPr>
            <w:tcW w:w="1720" w:type="dxa"/>
            <w:vAlign w:val="bottom"/>
          </w:tcPr>
          <w:p>
            <w:pPr>
              <w:jc w:val="right"/>
              <w:spacing w:after="0"/>
              <w:rPr>
                <w:sz w:val="20"/>
                <w:szCs w:val="20"/>
                <w:color w:val="auto"/>
              </w:rPr>
            </w:pPr>
            <w:r>
              <w:rPr>
                <w:rFonts w:ascii="Arial" w:cs="Arial" w:eastAsia="Arial" w:hAnsi="Arial"/>
                <w:sz w:val="18"/>
                <w:szCs w:val="18"/>
                <w:color w:val="auto"/>
              </w:rPr>
              <w:t>$218.15 - $438.24</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$284.43 - $342.89</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$131.34 - $175.15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-916940</wp:posOffset>
            </wp:positionV>
            <wp:extent cx="562356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3">
                      <a:extLst>
                        <a:ext uri="{28A0092B-C50C-407E-A947-70E740481C1C}"/>
                      </a:extLst>
                    </a:blip>
                    <a:srcRect/>
                    <a:stretch>
                      <a:fillRect/>
                    </a:stretch>
                  </pic:blipFill>
                  <pic:spPr bwMode="auto">
                    <a:xfrm>
                      <a:off x="0" y="0"/>
                      <a:ext cx="5623560"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-299720</wp:posOffset>
            </wp:positionV>
            <wp:extent cx="562356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4">
                      <a:extLst>
                        <a:ext uri="{28A0092B-C50C-407E-A947-70E740481C1C}"/>
                      </a:extLst>
                    </a:blip>
                    <a:srcRect/>
                    <a:stretch>
                      <a:fillRect/>
                    </a:stretch>
                  </pic:blipFill>
                  <pic:spPr bwMode="auto">
                    <a:xfrm>
                      <a:off x="0" y="0"/>
                      <a:ext cx="5623560" cy="15430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amortize the compensation expense over the three- or four-year performance and service period on a ratable basis. The unrecognized share-based compensation cost of our outstanding MSUs was approximately $22.3 million as of the end of fiscal 2023, which will be recognized over a weighted average period of approximately 0.73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2019 Incentive Plan and our 2010 Incentive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76"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7"/>
          <w:szCs w:val="17"/>
          <w:color w:val="auto"/>
        </w:rPr>
        <w:t>We have granted PSU awards to our executive officers and other key management team members under our 2010 Incentive Plan, our 2019 Incentive Plan and our 2019 Inducement Equity Plan, which, generally, are designed to vest in three tranches with the target quantity for each tranche equal to one-third of the total PSU award. Generally, PSU awards have a specific one-year performance period and vesting occurs over three service periods with the final service period ending approximately three years from the grant date. Performance is measured based on the achievement of a specified level of performance relative to predefined performance criteria (for PSU awards granted in fiscal 2023 and 2022, the performance criteria was based on non-GAAP earnings per share, for PSU awards granted in fiscal 2021 the performance criteria was based on a combination of our design win revenue, non-GAAP gross margin percentage and non-GAAP operating expenses). For our fiscal 2023 PSU awards, the potential payout ranges from 0% to 200% of the target grant quantity and is adjusted on a linear basis with a payout triggering if our measurement results are greater than 65% of the target with a maximum payout achieved at 135% of target.</w:t>
      </w:r>
    </w:p>
    <w:p>
      <w:pPr>
        <w:spacing w:after="0" w:line="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PSU activity, including PSUs granted, delivered, and forfeited in fiscal 2023, and the balance and aggregate intrinsic value of PSUs as of the end of fiscal 2023 were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color w:val="auto"/>
                <w:w w:val="94"/>
              </w:rPr>
              <w:t>Weighted</w:t>
            </w:r>
          </w:p>
        </w:tc>
        <w:tc>
          <w:tcPr>
            <w:tcW w:w="80" w:type="dxa"/>
            <w:vAlign w:val="bottom"/>
          </w:tcPr>
          <w:p>
            <w:pPr>
              <w:spacing w:after="0"/>
              <w:rPr>
                <w:sz w:val="15"/>
                <w:szCs w:val="15"/>
                <w:color w:val="auto"/>
              </w:rPr>
            </w:pPr>
          </w:p>
        </w:tc>
      </w:tr>
      <w:tr>
        <w:trPr>
          <w:trHeight w:val="176"/>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5"/>
                <w:szCs w:val="15"/>
                <w:color w:val="auto"/>
              </w:rPr>
            </w:pPr>
          </w:p>
        </w:tc>
      </w:tr>
      <w:tr>
        <w:trPr>
          <w:trHeight w:val="176"/>
        </w:trPr>
        <w:tc>
          <w:tcPr>
            <w:tcW w:w="614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PSU Awards</w:t>
            </w: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color w:val="auto"/>
                <w:w w:val="93"/>
              </w:rPr>
              <w:t>Grant Date</w:t>
            </w:r>
          </w:p>
        </w:tc>
        <w:tc>
          <w:tcPr>
            <w:tcW w:w="80" w:type="dxa"/>
            <w:vAlign w:val="bottom"/>
          </w:tcPr>
          <w:p>
            <w:pPr>
              <w:spacing w:after="0"/>
              <w:rPr>
                <w:sz w:val="15"/>
                <w:szCs w:val="15"/>
                <w:color w:val="auto"/>
              </w:rPr>
            </w:pPr>
          </w:p>
        </w:tc>
      </w:tr>
      <w:tr>
        <w:trPr>
          <w:trHeight w:val="181"/>
        </w:trPr>
        <w:tc>
          <w:tcPr>
            <w:tcW w:w="614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5"/>
                <w:szCs w:val="15"/>
                <w:color w:val="auto"/>
              </w:rPr>
            </w:pPr>
          </w:p>
        </w:tc>
      </w:tr>
      <w:tr>
        <w:trPr>
          <w:trHeight w:val="237"/>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257,903</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101.50</w:t>
            </w:r>
          </w:p>
        </w:tc>
        <w:tc>
          <w:tcPr>
            <w:tcW w:w="80" w:type="dxa"/>
            <w:vAlign w:val="bottom"/>
            <w:shd w:val="clear" w:color="auto" w:fill="CFF0FC"/>
          </w:tcPr>
          <w:p>
            <w:pPr>
              <w:spacing w:after="0"/>
              <w:rPr>
                <w:sz w:val="20"/>
                <w:szCs w:val="20"/>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157,710</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119.50</w:t>
            </w: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Performance adjustment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128,622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(279,438 )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97.40</w:t>
            </w: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(11,438 )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w:t>
            </w:r>
          </w:p>
        </w:tc>
        <w:tc>
          <w:tcPr>
            <w:tcW w:w="80" w:type="dxa"/>
            <w:vAlign w:val="bottom"/>
            <w:shd w:val="clear" w:color="auto" w:fill="CFF0FC"/>
          </w:tcPr>
          <w:p>
            <w:pPr>
              <w:spacing w:after="0"/>
              <w:rPr>
                <w:sz w:val="21"/>
                <w:szCs w:val="21"/>
                <w:color w:val="auto"/>
              </w:rPr>
            </w:pPr>
          </w:p>
        </w:tc>
      </w:tr>
      <w:tr>
        <w:trPr>
          <w:trHeight w:val="237"/>
        </w:trPr>
        <w:tc>
          <w:tcPr>
            <w:tcW w:w="6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June 2023</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253,359</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125.40</w:t>
            </w:r>
          </w:p>
        </w:tc>
        <w:tc>
          <w:tcPr>
            <w:tcW w:w="80" w:type="dxa"/>
            <w:vAlign w:val="bottom"/>
            <w:tcBorders>
              <w:top w:val="single" w:sz="8" w:color="CFF0FC"/>
            </w:tcBorders>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value PSUs using the aggregate intrinsic value on the grant date and amortize the compensation expense over the three-year service period on a ratable basis, dependent upon the probability of meeting the performance measures. The PSU awards outstanding balance at June 2023 is based on the target grant quantity and does not include any performance adjustment of shares for completed performance periods.</w:t>
      </w:r>
    </w:p>
    <w:p>
      <w:pPr>
        <w:spacing w:after="0" w:line="5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At the end of fiscal 2023, the aggregate intrinsic value of PSUs expected to vest was $20.6 million and the number of PSU awards expected to vest is 0.2 million shares. Our closing stock price of $81.16 on the last day of trading in fiscal 2023 was used to calculate the intrinsic value for the PSUs.</w:t>
      </w:r>
    </w:p>
    <w:p>
      <w:pPr>
        <w:spacing w:after="0" w:line="1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unrecognized share-based compensation cost of our outstanding PSUs was approximately $3.3 million as of June 2023, which will be recognized over a weighted average period of approximately 0.67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2019 Incentive Plan authorized the grant of phantom stock units to non-employee directors, officers and employees. We initially granted phantom stock units in October 2019. Phantom stock units were cash-settled and entitled the recipient to receive a cash payment equal to the value of a single share for each unit based on the average closing share price of our stock over the thirty calendar days prior to the vesting date. Grants of phantom stock units vested over three years, with an annual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vesting date of October 31 each year subsequent to the grant date. The final vesting occurred on October 31, 2022, and no phantom stock units remain outstanding under this plan.</w:t>
      </w:r>
    </w:p>
    <w:p>
      <w:pPr>
        <w:sectPr>
          <w:pgSz w:w="11900" w:h="16838" w:orient="portrait"/>
          <w:cols w:equalWidth="0" w:num="1">
            <w:col w:w="11240"/>
          </w:cols>
          <w:pgMar w:left="320" w:top="121" w:right="339" w:bottom="1440" w:gutter="0" w:footer="0" w:header="0"/>
        </w:sectPr>
      </w:pPr>
    </w:p>
    <w:p>
      <w:pPr>
        <w:spacing w:after="0" w:line="62"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2022</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Paid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Weighted</w:t>
            </w:r>
          </w:p>
        </w:tc>
      </w:tr>
      <w:tr>
        <w:trPr>
          <w:trHeight w:val="243"/>
        </w:trPr>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Phantom</w:t>
            </w:r>
          </w:p>
        </w:tc>
        <w:tc>
          <w:tcPr>
            <w:tcW w:w="240" w:type="dxa"/>
            <w:vAlign w:val="bottom"/>
          </w:tcPr>
          <w:p>
            <w:pPr>
              <w:spacing w:after="0"/>
              <w:rPr>
                <w:sz w:val="21"/>
                <w:szCs w:val="21"/>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r>
      <w:tr>
        <w:trPr>
          <w:trHeight w:val="243"/>
        </w:trPr>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Stock Units</w:t>
            </w:r>
          </w:p>
        </w:tc>
        <w:tc>
          <w:tcPr>
            <w:tcW w:w="240" w:type="dxa"/>
            <w:vAlign w:val="bottom"/>
          </w:tcPr>
          <w:p>
            <w:pPr>
              <w:spacing w:after="0"/>
              <w:rPr>
                <w:sz w:val="21"/>
                <w:szCs w:val="21"/>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90"/>
              </w:rPr>
              <w:t>Grant Date</w:t>
            </w:r>
          </w:p>
        </w:tc>
      </w:tr>
      <w:tr>
        <w:trPr>
          <w:trHeight w:val="250"/>
        </w:trPr>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w:t>
            </w:r>
          </w:p>
        </w:tc>
        <w:tc>
          <w:tcPr>
            <w:tcW w:w="240" w:type="dxa"/>
            <w:vAlign w:val="bottom"/>
          </w:tcPr>
          <w:p>
            <w:pPr>
              <w:spacing w:after="0"/>
              <w:rPr>
                <w:sz w:val="21"/>
                <w:szCs w:val="21"/>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0"/>
              </w:rPr>
              <w:t>Fair Value</w:t>
            </w:r>
          </w:p>
        </w:tc>
      </w:tr>
      <w:tr>
        <w:trPr>
          <w:trHeight w:val="230"/>
        </w:trPr>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176,097</w:t>
            </w:r>
          </w:p>
        </w:tc>
        <w:tc>
          <w:tcPr>
            <w:tcW w:w="3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42.11</w:t>
            </w:r>
          </w:p>
        </w:tc>
      </w:tr>
      <w:tr>
        <w:trPr>
          <w:trHeight w:val="242"/>
        </w:trPr>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(173,436 )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42.11</w:t>
            </w:r>
          </w:p>
        </w:tc>
      </w:tr>
      <w:tr>
        <w:trPr>
          <w:trHeight w:val="256"/>
        </w:trPr>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(2,661 )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42.11</w:t>
            </w:r>
          </w:p>
        </w:tc>
      </w:tr>
      <w:tr>
        <w:trPr>
          <w:trHeight w:val="237"/>
        </w:trPr>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-650875</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-342265</wp:posOffset>
            </wp:positionV>
            <wp:extent cx="7132320" cy="3429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p>
      <w:pPr>
        <w:jc w:val="both"/>
        <w:ind w:firstLine="509"/>
        <w:spacing w:after="0" w:line="301" w:lineRule="auto"/>
        <w:rPr>
          <w:sz w:val="20"/>
          <w:szCs w:val="20"/>
          <w:color w:val="auto"/>
        </w:rPr>
      </w:pPr>
      <w:r>
        <w:rPr>
          <w:rFonts w:ascii="Arial" w:cs="Arial" w:eastAsia="Arial" w:hAnsi="Arial"/>
          <w:sz w:val="16"/>
          <w:szCs w:val="16"/>
          <w:color w:val="auto"/>
        </w:rPr>
        <w:t>Our 2019 ESPP allows employees to designate up to 15% of their base compensation, subject to legal restrictions and limitations, to purchase shares of common stock at 85% of the lesser of the FMV at the beginning of the offering period or the exercise date. Under the 2019 ESPP, the offering period extends for up to one year and includes two exercise dates occurring at six-month intervals. Under the terms of our 2019 ESPP, if the FMV at an exercise date is less than the FMV at the beginning of the offering period, the current offering period will terminate and a new offering period will commence.</w:t>
      </w:r>
    </w:p>
    <w:p>
      <w:pPr>
        <w:spacing w:after="0" w:line="4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in fiscal 2023, 2022, and 2021 were as follows (in millions, except shares purchased and weighted average purchase price):</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172,044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138,502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220,389</w:t>
            </w:r>
          </w:p>
        </w:tc>
        <w:tc>
          <w:tcPr>
            <w:tcW w:w="80" w:type="dxa"/>
            <w:vAlign w:val="bottom"/>
            <w:shd w:val="clear" w:color="auto" w:fill="CFF0FC"/>
          </w:tcPr>
          <w:p>
            <w:pPr>
              <w:spacing w:after="0"/>
              <w:rPr>
                <w:sz w:val="20"/>
                <w:szCs w:val="20"/>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91.88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97.90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57.00</w:t>
            </w: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1"/>
                <w:szCs w:val="2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each award granted under our 2019 ESPP for fiscal 2023, 2022, and 2021 was based on the Black-Scholes option pricing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per award for fiscal 2023, 2022 and 2021 was $40.70, $38.93 and $20.82, respectively.</w:t>
      </w:r>
    </w:p>
    <w:p>
      <w:pPr>
        <w:spacing w:after="0" w:line="10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Unrecognized share-based compensation costs for awards granted under our 2019 ESPP at the end of fiscal 2023 were approximately $6.3 million that will be amortized over the next 8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a 401(k) Retirement Savings Plan for full-time employees in the U.S. Under the plan, eligible employees may contribute a portion of their net compensation up to the annual limit of $22,500 or $30,000 for employees who are 50 years or older. In fiscal 2023, we provided matching funds of 25% of our employees’ contributions, excluding catch-up contributions. The employer matching funds vest immediately. We made matching contributions of $1.9 million, $1.7 million and $1.8 million in fiscal 2023, 2022, and 2021,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Income/(loss) before provision for income taxes for fiscal 2023, 2022, and 2021 consisted of the following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30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(118.2</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Foreign</w:t>
            </w:r>
          </w:p>
        </w:tc>
        <w:tc>
          <w:tcPr>
            <w:tcW w:w="23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365.3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r>
      <w:tr>
        <w:trPr>
          <w:trHeight w:val="277"/>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2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320.5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55"/>
        </w:trPr>
        <w:tc>
          <w:tcPr>
            <w:tcW w:w="4340" w:type="dxa"/>
            <w:vAlign w:val="bottom"/>
          </w:tcPr>
          <w:p>
            <w:pPr>
              <w:spacing w:after="0"/>
              <w:rPr>
                <w:sz w:val="24"/>
                <w:szCs w:val="24"/>
                <w:color w:val="auto"/>
              </w:rPr>
            </w:pPr>
          </w:p>
        </w:tc>
        <w:tc>
          <w:tcPr>
            <w:tcW w:w="3140" w:type="dxa"/>
            <w:vAlign w:val="bottom"/>
            <w:gridSpan w:val="2"/>
          </w:tcPr>
          <w:p>
            <w:pPr>
              <w:jc w:val="right"/>
              <w:ind w:right="1590"/>
              <w:spacing w:after="0"/>
              <w:rPr>
                <w:sz w:val="20"/>
                <w:szCs w:val="20"/>
                <w:color w:val="auto"/>
              </w:rPr>
            </w:pPr>
            <w:r>
              <w:rPr>
                <w:rFonts w:ascii="Arial" w:cs="Arial" w:eastAsia="Arial" w:hAnsi="Arial"/>
                <w:sz w:val="18"/>
                <w:szCs w:val="18"/>
                <w:color w:val="auto"/>
              </w:rPr>
              <w:t>F-32</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-539115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-522605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-539115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-522605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for fiscal 2023, 2022, and 2021 consisted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r>
      <w:tr>
        <w:trPr>
          <w:trHeight w:val="23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tax expense/(benefit)</w:t>
            </w:r>
          </w:p>
        </w:tc>
        <w:tc>
          <w:tcPr>
            <w:tcW w:w="1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760" w:type="dxa"/>
            <w:vAlign w:val="bottom"/>
          </w:tcPr>
          <w:p>
            <w:pPr>
              <w:ind w:left="200"/>
              <w:spacing w:after="0"/>
              <w:rPr>
                <w:sz w:val="20"/>
                <w:szCs w:val="20"/>
                <w:color w:val="auto"/>
              </w:rPr>
            </w:pPr>
            <w:r>
              <w:rPr>
                <w:rFonts w:ascii="Arial" w:cs="Arial" w:eastAsia="Arial" w:hAnsi="Arial"/>
                <w:sz w:val="18"/>
                <w:szCs w:val="18"/>
                <w:color w:val="auto"/>
              </w:rPr>
              <w:t>Federal</w:t>
            </w:r>
          </w:p>
        </w:tc>
        <w:tc>
          <w:tcPr>
            <w:tcW w:w="2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Foreign</w:t>
            </w:r>
          </w:p>
        </w:tc>
        <w:tc>
          <w:tcPr>
            <w:tcW w:w="1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r>
      <w:tr>
        <w:trPr>
          <w:trHeight w:val="230"/>
        </w:trPr>
        <w:tc>
          <w:tcPr>
            <w:tcW w:w="476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Deferred tax expense/(benefit)</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(21.8 )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(0.5 )</w:t>
            </w:r>
          </w:p>
        </w:tc>
      </w:tr>
      <w:tr>
        <w:trPr>
          <w:trHeight w:val="237"/>
        </w:trPr>
        <w:tc>
          <w:tcPr>
            <w:tcW w:w="4760" w:type="dxa"/>
            <w:vAlign w:val="bottom"/>
          </w:tcPr>
          <w:p>
            <w:pPr>
              <w:ind w:left="200"/>
              <w:spacing w:after="0"/>
              <w:rPr>
                <w:sz w:val="20"/>
                <w:szCs w:val="20"/>
                <w:color w:val="auto"/>
              </w:rPr>
            </w:pPr>
            <w:r>
              <w:rPr>
                <w:rFonts w:ascii="Arial" w:cs="Arial" w:eastAsia="Arial" w:hAnsi="Arial"/>
                <w:sz w:val="18"/>
                <w:szCs w:val="18"/>
                <w:color w:val="auto"/>
              </w:rPr>
              <w:t>State</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(13.2 )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(8.4 )</w:t>
            </w:r>
          </w:p>
        </w:tc>
      </w:tr>
      <w:tr>
        <w:trPr>
          <w:trHeight w:val="20"/>
        </w:trPr>
        <w:tc>
          <w:tcPr>
            <w:tcW w:w="476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7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(25.9 )</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(29.7 )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(8.9 )</w:t>
            </w:r>
          </w:p>
        </w:tc>
      </w:tr>
      <w:tr>
        <w:trPr>
          <w:trHeight w:val="283"/>
        </w:trPr>
        <w:tc>
          <w:tcPr>
            <w:tcW w:w="4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Provision for income taxes</w:t>
            </w:r>
          </w:p>
        </w:tc>
        <w:tc>
          <w:tcPr>
            <w:tcW w:w="18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3"/>
        </w:trPr>
        <w:tc>
          <w:tcPr>
            <w:tcW w:w="9820" w:type="dxa"/>
            <w:vAlign w:val="bottom"/>
            <w:gridSpan w:val="8"/>
          </w:tcPr>
          <w:p>
            <w:pPr>
              <w:ind w:left="520"/>
              <w:spacing w:after="0"/>
              <w:rPr>
                <w:sz w:val="20"/>
                <w:szCs w:val="20"/>
                <w:color w:val="auto"/>
              </w:rPr>
            </w:pPr>
            <w:r>
              <w:rPr>
                <w:rFonts w:ascii="Arial" w:cs="Arial" w:eastAsia="Arial" w:hAnsi="Arial"/>
                <w:sz w:val="18"/>
                <w:szCs w:val="18"/>
                <w:color w:val="auto"/>
                <w:w w:val="94"/>
              </w:rPr>
              <w:t>The provision for income taxes differs from the federal statutory rate for fiscal 2023, 2022, and 2021 as follows (in millions):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4"/>
                <w:szCs w:val="24"/>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Provision at U.S. federal statutory tax rate</w:t>
            </w:r>
          </w:p>
        </w:tc>
        <w:tc>
          <w:tcPr>
            <w:tcW w:w="18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income taxes</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1"/>
                <w:szCs w:val="2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Non-deductible share-based compensation</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(Windfall)/shortfall related to share-based compensation</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(3.8 )</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Non-deductible officer compensation</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Business credits</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(3.8 )</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Foreign tax differential</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(0.5 )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inclusion of foreign income</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1"/>
                <w:szCs w:val="2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Deferred taxes on unremitted foreign earnings</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differences</w:t>
            </w:r>
          </w:p>
        </w:tc>
        <w:tc>
          <w:tcPr>
            <w:tcW w:w="1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(1.3 )</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1"/>
                <w:szCs w:val="21"/>
                <w:color w:val="auto"/>
              </w:rPr>
            </w:pPr>
          </w:p>
        </w:tc>
      </w:tr>
      <w:tr>
        <w:trPr>
          <w:trHeight w:val="237"/>
        </w:trPr>
        <w:tc>
          <w:tcPr>
            <w:tcW w:w="47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Provision for income taxes</w:t>
            </w:r>
          </w:p>
        </w:tc>
        <w:tc>
          <w:tcPr>
            <w:tcW w:w="18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FF0FC"/>
            </w:tcBorders>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2200" w:type="dxa"/>
            <w:vAlign w:val="bottom"/>
            <w:gridSpan w:val="2"/>
          </w:tcPr>
          <w:p>
            <w:pPr>
              <w:jc w:val="right"/>
              <w:ind w:right="1070"/>
              <w:spacing w:after="0"/>
              <w:rPr>
                <w:sz w:val="20"/>
                <w:szCs w:val="20"/>
                <w:color w:val="auto"/>
              </w:rPr>
            </w:pPr>
            <w:r>
              <w:rPr>
                <w:rFonts w:ascii="Arial" w:cs="Arial" w:eastAsia="Arial" w:hAnsi="Arial"/>
                <w:sz w:val="18"/>
                <w:szCs w:val="18"/>
                <w:color w:val="auto"/>
              </w:rPr>
              <w:t>F-33</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-3754120</wp:posOffset>
            </wp:positionV>
            <wp:extent cx="76835" cy="1631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-3754120</wp:posOffset>
            </wp:positionV>
            <wp:extent cx="68580" cy="1631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1631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-3128010</wp:posOffset>
            </wp:positionV>
            <wp:extent cx="76835"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-3128010</wp:posOffset>
            </wp:positionV>
            <wp:extent cx="6858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-2802890</wp:posOffset>
            </wp:positionV>
            <wp:extent cx="768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-2785110</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-2802890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-2785110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-702310</wp:posOffset>
            </wp:positionV>
            <wp:extent cx="76835"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-702310</wp:posOffset>
            </wp:positionV>
            <wp:extent cx="6858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Non-current deferred tax assets and non-current deferred tax liabilities are included in “Non-current other assets” and “Other long-term liabilities,” respectively, on our consolidated balance sheets.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Significant components of our deferred tax assets (liabilities) as of the end of fiscal 2023 and 2022 consisted of the following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loss carryforward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Inventory write downs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and intangible assets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Nondeductible interest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Business credit carryforward</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Net operating loss carryforward</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accruals</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(78.4 )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(75.0 )</w:t>
            </w:r>
          </w:p>
        </w:tc>
      </w:tr>
      <w:tr>
        <w:trPr>
          <w:trHeight w:val="230"/>
        </w:trPr>
        <w:tc>
          <w:tcPr>
            <w:tcW w:w="77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FF0FC"/>
            </w:tcBorders>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Unremitted foreign earnings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(14.3 )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(22.1 )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intangibles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(45.8 )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(57.1 )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(81.4 )</w:t>
            </w:r>
          </w:p>
        </w:tc>
      </w:tr>
      <w:tr>
        <w:trPr>
          <w:trHeight w:val="28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-1610995</wp:posOffset>
            </wp:positionV>
            <wp:extent cx="68580" cy="1631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631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-1293495</wp:posOffset>
            </wp:positionV>
            <wp:extent cx="6858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fiscal 2022 capital loss carryforward deferred tax asset and its corresponding valuation allowance includes a reclassification adjustment of $16.0 million to conform to the current period presentation. This reclassification had no impact on previously reported deferred tax assets.</w:t>
      </w:r>
    </w:p>
    <w:p>
      <w:pPr>
        <w:spacing w:after="0" w:line="3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2023, a valuation allowance of $78.4 million was maintained to reduce deferred tax assets primarily related to state tax credits and capital losses carryforwards that are not more likely than not to be realized through future taxable income. The net change in the valuation allowance during fiscal 2023 was an increase of $3.4 million, primarily due to an increase of unrealized deferred tax assets associated with state tax credits.</w:t>
      </w:r>
    </w:p>
    <w:p>
      <w:pPr>
        <w:spacing w:after="0" w:line="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consider most of the earnings of our foreign subsidiaries as not indefinitely reinvested overseas and have made appropriate provisions for income or withholding taxes, that may result from a future repatriation of those earnings. As a result, $14.3 million of our deferred tax liability is associated with unremitted foreign earnings, which if remitted would not result in a further provision for income taxes. We continue to indefinitely reinvest $200 million on certain accumulated earnings and outside basis differences primarily related to our DSPG acquisition. If the undistributed earnings and other outside basis differences were recognized in a taxable transaction, the associated foreign tax credits would be expected to reduce the U.S. income tax liability associated with the foreign distribution or the otherwise taxable transaction. As of our fiscal 2023, assuming full utilization of the associated foreign tax credits, the potential net deferred tax liability associated with these undistributed earnings and outside basis differences would be approximately $46 million.</w:t>
      </w:r>
    </w:p>
    <w:p>
      <w:pPr>
        <w:spacing w:after="0" w:line="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of the end of fiscal 2023, we had federal, California, and foreign net operating loss carryforwards of approximately $28.7 million, $25.0 million, and $49.6 million, respectively. The federal and California net operating loss will begin to expire in fiscal 2037 and 2027, respectively, if not utilized. Most of our foreign net operating losses have no expiration date. Under current tax law, net operating loss and tax credit carryforwards available to offset future income or income taxes may be limited by statute or upon the occurrence of certain events, including significant changes in ownership.</w:t>
      </w:r>
    </w:p>
    <w:p>
      <w:pPr>
        <w:spacing w:after="0" w:line="4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had $16.4 million and $53.4 million of federal and state research tax credit carryforwards, respectively, as of the end of fiscal 2023. The federal research tax credit carryforward will begin to expire in 2029 and the state research tax credit can be carried forward indefinitely.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total liability for gross unrecognized tax benefits related to uncertain tax positions, included in other liabilities in our consolidated balance sheets, increased by $13.9 million from $29.8 million in fiscal 2022 to $43.7 million in fiscal 2023. Of this amount, $33.1 million will reduce the effective tax rate on income from operations, if recognized. A reconciliation of the beginning and ending balance of gross unrecognized tax benefits for fiscal 2023, 2022, and 2021 consisted of the following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40" w:type="dxa"/>
            <w:vAlign w:val="bottom"/>
          </w:tcPr>
          <w:p>
            <w:pPr>
              <w:spacing w:after="0"/>
              <w:rPr>
                <w:sz w:val="15"/>
                <w:szCs w:val="15"/>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20"/>
                <w:szCs w:val="20"/>
                <w:color w:val="auto"/>
              </w:rPr>
            </w:pPr>
          </w:p>
        </w:tc>
      </w:tr>
      <w:tr>
        <w:trPr>
          <w:trHeight w:val="215"/>
        </w:trPr>
        <w:tc>
          <w:tcPr>
            <w:tcW w:w="6640" w:type="dxa"/>
            <w:vAlign w:val="bottom"/>
          </w:tcPr>
          <w:p>
            <w:pPr>
              <w:ind w:left="200"/>
              <w:spacing w:after="0"/>
              <w:rPr>
                <w:sz w:val="20"/>
                <w:szCs w:val="20"/>
                <w:color w:val="auto"/>
              </w:rPr>
            </w:pPr>
            <w:r>
              <w:rPr>
                <w:rFonts w:ascii="Arial" w:cs="Arial" w:eastAsia="Arial" w:hAnsi="Arial"/>
                <w:sz w:val="18"/>
                <w:szCs w:val="18"/>
                <w:color w:val="auto"/>
              </w:rPr>
              <w:t>Increase in unrecognized tax benefits related to current year tax</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640" w:type="dxa"/>
            <w:vAlign w:val="bottom"/>
          </w:tcPr>
          <w:p>
            <w:pPr>
              <w:ind w:left="340"/>
              <w:spacing w:after="0"/>
              <w:rPr>
                <w:sz w:val="20"/>
                <w:szCs w:val="20"/>
                <w:color w:val="auto"/>
              </w:rPr>
            </w:pPr>
            <w:r>
              <w:rPr>
                <w:rFonts w:ascii="Arial" w:cs="Arial" w:eastAsia="Arial" w:hAnsi="Arial"/>
                <w:sz w:val="18"/>
                <w:szCs w:val="18"/>
                <w:color w:val="auto"/>
              </w:rPr>
              <w:t>positions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r>
      <w:tr>
        <w:trPr>
          <w:trHeight w:val="222"/>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Increase in unrecognized tax benefits related to prior year tax</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positions</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Decrease due to effective settlement with tax authorities</w:t>
            </w:r>
          </w:p>
        </w:tc>
        <w:tc>
          <w:tcPr>
            <w:tcW w:w="9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Remeasurement of unrecognized tax benefits</w:t>
            </w:r>
          </w:p>
        </w:tc>
        <w:tc>
          <w:tcPr>
            <w:tcW w:w="9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Decrease due to statute expiration</w:t>
            </w: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(0.9 )</w:t>
            </w:r>
          </w:p>
        </w:tc>
        <w:tc>
          <w:tcPr>
            <w:tcW w:w="3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(4.9 )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(3.0 )</w:t>
            </w: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Accrued interest and penalties increased by $0.5 million in fiscal 2023 as compared to fiscal 2022 and increased by $0.8 million in fiscal 2022 as compared to fiscal 2021. Accrued interest and penalties were $3.0 million and $2.5 million as of the end of fiscal 2023and 2022, respectively. Our policy is to classify interest and penalties, if any, as components of income tax expense.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$1.4 million to an increase of $8.8 million.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major tax jurisdictions are the U.S., Hong Kong SAR, Japan, Israel and the U.K. From fiscal 2017 onward, we remain subject to examination by one or more of these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Customers, and Geographic Information</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IoT product applications market, the personal computing, or PC, product applications market, and the mobile, product applications market. The chief executive officer was identified as the chief operating decision maker, or CODM, and is ultimately responsible for and actively involved in the allocation of resources and the assessment of our performance. The fact that we operate in only one reportable segment is based on the following:</w:t>
      </w:r>
    </w:p>
    <w:p>
      <w:pPr>
        <w:spacing w:after="0" w:line="80"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organizational structure is based along functional lines. Each of the functional department heads reports directly to the CODM.</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assessments of our performance company-wide, including assessment of our incentive compensation plan, are based largely on our operational performance and consolidated financial performance.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decisions on allocation of resources and other operational decisions are made by the CODM based on his direct involvement with our operations and product development.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revenue within geographic areas based on our customers’ locations for fiscal 2023, 2022, and 2021, consisted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1140" w:type="dxa"/>
            <w:vAlign w:val="bottom"/>
          </w:tcPr>
          <w:p>
            <w:pPr>
              <w:spacing w:after="0"/>
              <w:rPr>
                <w:sz w:val="20"/>
                <w:szCs w:val="20"/>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6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Taiwan</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Vietnam</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South Korea</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1,739.7</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62"/>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00" w:type="dxa"/>
            <w:vAlign w:val="bottom"/>
            <w:gridSpan w:val="2"/>
          </w:tcPr>
          <w:p>
            <w:pPr>
              <w:jc w:val="right"/>
              <w:ind w:right="790"/>
              <w:spacing w:after="0"/>
              <w:rPr>
                <w:sz w:val="20"/>
                <w:szCs w:val="20"/>
                <w:color w:val="auto"/>
              </w:rPr>
            </w:pPr>
            <w:r>
              <w:rPr>
                <w:rFonts w:ascii="Arial" w:cs="Arial" w:eastAsia="Arial" w:hAnsi="Arial"/>
                <w:sz w:val="18"/>
                <w:szCs w:val="18"/>
                <w:color w:val="auto"/>
              </w:rPr>
              <w:t>F-35</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-702310</wp:posOffset>
            </wp:positionV>
            <wp:extent cx="60325" cy="1885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-702310</wp:posOffset>
            </wp:positionV>
            <wp:extent cx="51435" cy="188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-702310</wp:posOffset>
            </wp:positionV>
            <wp:extent cx="51435"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revenue from external customers for each group of similar products for fiscal 2023, 2022, and 2021 consisted of the following (in millions):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612.9</w:t>
            </w:r>
          </w:p>
        </w:tc>
        <w:tc>
          <w:tcPr>
            <w:tcW w:w="80" w:type="dxa"/>
            <w:vAlign w:val="bottom"/>
            <w:shd w:val="clear" w:color="auto" w:fill="CFF0FC"/>
          </w:tcPr>
          <w:p>
            <w:pPr>
              <w:spacing w:after="0"/>
              <w:rPr>
                <w:sz w:val="20"/>
                <w:szCs w:val="20"/>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354.7</w:t>
            </w:r>
          </w:p>
        </w:tc>
        <w:tc>
          <w:tcPr>
            <w:tcW w:w="80" w:type="dxa"/>
            <w:vAlign w:val="bottom"/>
          </w:tcPr>
          <w:p>
            <w:pPr>
              <w:spacing w:after="0"/>
              <w:rPr>
                <w:sz w:val="20"/>
                <w:szCs w:val="20"/>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1,355.1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1,739.7</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1,339.6</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1885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1885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Long-lived assets within geographic areas as of the end of fiscal 2023 and 2022 consisted of the following (in millions):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FF0FC"/>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Asia Pacific</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w:t>
            </w:r>
          </w:p>
        </w:tc>
        <w:tc>
          <w:tcPr>
            <w:tcW w:w="80" w:type="dxa"/>
            <w:vAlign w:val="bottom"/>
          </w:tcPr>
          <w:p>
            <w:pPr>
              <w:spacing w:after="0"/>
              <w:rPr>
                <w:sz w:val="20"/>
                <w:szCs w:val="20"/>
                <w:color w:val="auto"/>
              </w:rPr>
            </w:pPr>
          </w:p>
        </w:tc>
      </w:tr>
      <w:tr>
        <w:trPr>
          <w:trHeight w:val="249"/>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4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1,181.3</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1,259.5</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-187960</wp:posOffset>
            </wp:positionV>
            <wp:extent cx="51435"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1">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fiscal 2022 long-lived assets reported in the above table includes a reclassification of approximately $428.0 million to conform to the current period presentation. The reclassification relates to goodwill and intangible assets previously reported within the Asia Pacific region that are now presented within the EMEA region. This reclassification had no impact on previously reported geographic long-lived assets.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goodwill of $816.4 million has been allocated to two reporting units which include IoT and Mobile/PC.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customers’ revenue as a percentage of total net revenue for fiscal 2023, 2022, and 2021 were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260" w:type="dxa"/>
            <w:vAlign w:val="bottom"/>
            <w:gridSpan w:val="2"/>
          </w:tcPr>
          <w:p>
            <w:pPr>
              <w:jc w:val="center"/>
              <w:ind w:left="36"/>
              <w:spacing w:after="0"/>
              <w:rPr>
                <w:sz w:val="20"/>
                <w:szCs w:val="20"/>
                <w:color w:val="auto"/>
              </w:rPr>
            </w:pPr>
            <w:r>
              <w:rPr>
                <w:rFonts w:ascii="Arial" w:cs="Arial" w:eastAsia="Arial" w:hAnsi="Arial"/>
                <w:sz w:val="14"/>
                <w:szCs w:val="14"/>
                <w:color w:val="auto"/>
                <w:w w:val="96"/>
              </w:rPr>
              <w:t>2022</w:t>
            </w:r>
          </w:p>
        </w:tc>
        <w:tc>
          <w:tcPr>
            <w:tcW w:w="1260" w:type="dxa"/>
            <w:vAlign w:val="bottom"/>
            <w:gridSpan w:val="2"/>
          </w:tcPr>
          <w:p>
            <w:pPr>
              <w:jc w:val="center"/>
              <w:ind w:left="16"/>
              <w:spacing w:after="0"/>
              <w:rPr>
                <w:sz w:val="20"/>
                <w:szCs w:val="20"/>
                <w:color w:val="auto"/>
              </w:rPr>
            </w:pPr>
            <w:r>
              <w:rPr>
                <w:rFonts w:ascii="Arial" w:cs="Arial" w:eastAsia="Arial" w:hAnsi="Arial"/>
                <w:sz w:val="14"/>
                <w:szCs w:val="14"/>
                <w:color w:val="auto"/>
                <w:w w:val="89"/>
              </w:rPr>
              <w:t>2021</w:t>
            </w: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1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10%</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Customer B</w:t>
            </w: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left="36"/>
              <w:spacing w:after="0"/>
              <w:rPr>
                <w:sz w:val="20"/>
                <w:szCs w:val="20"/>
                <w:color w:val="auto"/>
              </w:rPr>
            </w:pPr>
            <w:r>
              <w:rPr>
                <w:rFonts w:ascii="Arial" w:cs="Arial" w:eastAsia="Arial" w:hAnsi="Arial"/>
                <w:sz w:val="18"/>
                <w:szCs w:val="18"/>
                <w:color w:val="auto"/>
                <w:w w:val="94"/>
              </w:rPr>
              <w:t>13%</w:t>
            </w:r>
          </w:p>
        </w:tc>
        <w:tc>
          <w:tcPr>
            <w:tcW w:w="1260" w:type="dxa"/>
            <w:vAlign w:val="bottom"/>
            <w:gridSpan w:val="2"/>
          </w:tcPr>
          <w:p>
            <w:pPr>
              <w:jc w:val="center"/>
              <w:ind w:left="36"/>
              <w:spacing w:after="0"/>
              <w:rPr>
                <w:sz w:val="20"/>
                <w:szCs w:val="20"/>
                <w:color w:val="auto"/>
              </w:rPr>
            </w:pPr>
            <w:r>
              <w:rPr>
                <w:rFonts w:ascii="Arial" w:cs="Arial" w:eastAsia="Arial" w:hAnsi="Arial"/>
                <w:sz w:val="18"/>
                <w:szCs w:val="18"/>
                <w:color w:val="auto"/>
                <w:w w:val="94"/>
              </w:rPr>
              <w:t>13%</w:t>
            </w: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center"/>
              <w:ind w:left="3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center"/>
              <w:ind w:left="36"/>
              <w:spacing w:after="0"/>
              <w:rPr>
                <w:sz w:val="20"/>
                <w:szCs w:val="20"/>
                <w:color w:val="auto"/>
              </w:rPr>
            </w:pPr>
            <w:r>
              <w:rPr>
                <w:rFonts w:ascii="Arial" w:cs="Arial" w:eastAsia="Arial" w:hAnsi="Arial"/>
                <w:sz w:val="18"/>
                <w:szCs w:val="18"/>
                <w:color w:val="auto"/>
                <w:w w:val="94"/>
              </w:rPr>
              <w:t>14%</w:t>
            </w:r>
          </w:p>
        </w:tc>
      </w:tr>
    </w:tbl>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have initiated various strategic restructuring actions primarily intended to reduce costs, gain synergies from our recent acquisitions and align our business in response to market conditions.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restructuring activity and related charges during the periods presented (in millions):</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22860</wp:posOffset>
            </wp:positionV>
            <wp:extent cx="2854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40" w:type="dxa"/>
            <w:vAlign w:val="bottom"/>
          </w:tcPr>
          <w:p>
            <w:pPr>
              <w:spacing w:after="0"/>
              <w:rPr>
                <w:sz w:val="15"/>
                <w:szCs w:val="15"/>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Charges</w:t>
            </w:r>
          </w:p>
        </w:tc>
        <w:tc>
          <w:tcPr>
            <w:tcW w:w="9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(1.4 )</w:t>
            </w:r>
          </w:p>
        </w:tc>
        <w:tc>
          <w:tcPr>
            <w:tcW w:w="3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(17.1 )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(13.3 )</w:t>
            </w: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end of period</w:t>
            </w: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fiscal 2023, no restructuring charges were recorded.</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fiscal 2022, we recorded restructuring and related charges of $18.3 million in our consolidated statements of operations. The charges were for activities intended to further improve efficiencies in our operational activities and gain synergies from the DSPG acquisition. These activities from the restructuring actions taken during fiscal 2022 are complete as of the end of fiscal 2022.</w:t>
      </w:r>
    </w:p>
    <w:p>
      <w:pPr>
        <w:spacing w:after="0" w:line="76"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During fiscal 2021, we recorded restructuring and related charges of $7.4 million in our consolidated statements of operations. The charges were for activities to gain synergies from our DisplayLink acquisition. The activities from the restructuring actions taken during fiscal 2021 were complete as of the end of fiscal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July 2023, we entered into an agreement with Avago Technologies International Sales PTE. Limited, or Broadcom, to acquire certain developed technology intangible assets from Broadcom for an aggregate consideration of $130.0 million. We are still in the process of evaluating the proper accounting treatment under Topic 805 on Business Combinations.</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July 21, 2023, the IRS issued Notice 2023-55 which generally allows taxpayers to defer application of elements of the 2022 foreign tax credit final regulations, and related guidance, until 2024. In our case, foreign taxes which were creditable under the prior regulations will continue to be creditable for our fiscal 2023. As this Notice was issued subsequent to our fiscal 2023 and represents a retroactive change in tax law, we anticipate recording a discrete tax benefit in the first quarter of fiscal 2024 in the amount of approximately $12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920" w:type="dxa"/>
            <w:vAlign w:val="bottom"/>
            <w:gridSpan w:val="3"/>
          </w:tcPr>
          <w:p>
            <w:pPr>
              <w:ind w:left="560"/>
              <w:spacing w:after="0"/>
              <w:rPr>
                <w:sz w:val="20"/>
                <w:szCs w:val="20"/>
                <w:color w:val="auto"/>
              </w:rPr>
            </w:pPr>
            <w:r>
              <w:rPr>
                <w:rFonts w:ascii="Arial" w:cs="Arial" w:eastAsia="Arial" w:hAnsi="Arial"/>
                <w:sz w:val="18"/>
                <w:szCs w:val="18"/>
                <w:b w:val="1"/>
                <w:bCs w:val="1"/>
                <w:color w:val="auto"/>
              </w:rPr>
              <w:t>List of Subsidiaries</w:t>
            </w:r>
          </w:p>
        </w:tc>
      </w:tr>
      <w:tr>
        <w:trPr>
          <w:trHeight w:val="454"/>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rPr>
              <w:t>STATE OR JURISDICTION</w:t>
            </w:r>
          </w:p>
        </w:tc>
      </w:tr>
      <w:tr>
        <w:trPr>
          <w:trHeight w:val="241"/>
        </w:trPr>
        <w:tc>
          <w:tcPr>
            <w:tcW w:w="43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rPr>
              <w:t>NAME</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OF ORGANIZATION</w:t>
            </w:r>
          </w:p>
        </w:tc>
      </w:tr>
      <w:tr>
        <w:trPr>
          <w:trHeight w:val="338"/>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8"/>
              </w:rPr>
              <w:t>DisplayLink (UK)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51"/>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3"/>
              </w:rPr>
              <w:t>DSP Group Ltd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Israel</w:t>
            </w:r>
          </w:p>
        </w:tc>
      </w:tr>
      <w:tr>
        <w:trPr>
          <w:trHeight w:val="351"/>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2"/>
              </w:rPr>
              <w:t>Synaptics Holding GmbH</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351"/>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Hong Kong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351"/>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89"/>
              </w:rPr>
              <w:t>Synaptics Japan GK</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351"/>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LLC</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682"/>
        </w:trPr>
        <w:tc>
          <w:tcPr>
            <w:tcW w:w="4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238"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statements (Nos. 333-170401, 333-193470, 333-214950, 333-221585, 333-228118, 333-233338, 333-234437, 333-249793, 333-261460, and 333-268145) on Form S-8 and (No. 333-115274) on Form S-4 of our report dated August 18, 2023, with respect to the consolidated financial statements of Synaptics Incorporated and the effectiveness of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ind w:left="520" w:hanging="512"/>
        <w:spacing w:after="0" w:line="263" w:lineRule="auto"/>
        <w:tabs>
          <w:tab w:leader="none" w:pos="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0" w:hanging="512"/>
        <w:spacing w:after="0" w:line="308" w:lineRule="auto"/>
        <w:tabs>
          <w:tab w:leader="none" w:pos="3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3" w:lineRule="auto"/>
        <w:tabs>
          <w:tab w:leader="none" w:pos="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firstLine="6"/>
        <w:spacing w:after="0" w:line="263" w:lineRule="auto"/>
        <w:tabs>
          <w:tab w:leader="none" w:pos="12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20" w:firstLine="6"/>
        <w:spacing w:after="0" w:line="263" w:lineRule="auto"/>
        <w:tabs>
          <w:tab w:leader="none" w:pos="12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firstLine="6"/>
        <w:spacing w:after="0" w:line="342" w:lineRule="auto"/>
        <w:tabs>
          <w:tab w:leader="none" w:pos="1222"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20" w:firstLine="6"/>
        <w:spacing w:after="0" w:line="263" w:lineRule="auto"/>
        <w:tabs>
          <w:tab w:leader="none" w:pos="122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0" w:hanging="512"/>
        <w:spacing w:after="0" w:line="308" w:lineRule="auto"/>
        <w:tabs>
          <w:tab w:leader="none" w:pos="3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firstLine="6"/>
        <w:spacing w:after="0" w:line="308" w:lineRule="auto"/>
        <w:tabs>
          <w:tab w:leader="none" w:pos="1233"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firstLine="6"/>
        <w:spacing w:after="0" w:line="277" w:lineRule="auto"/>
        <w:tabs>
          <w:tab w:leader="none" w:pos="12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2023</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E. Hurlston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ind w:left="520" w:hanging="512"/>
        <w:spacing w:after="0" w:line="263" w:lineRule="auto"/>
        <w:tabs>
          <w:tab w:leader="none" w:pos="3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0" w:hanging="512"/>
        <w:spacing w:after="0" w:line="308" w:lineRule="auto"/>
        <w:tabs>
          <w:tab w:leader="none" w:pos="3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3" w:lineRule="auto"/>
        <w:tabs>
          <w:tab w:leader="none" w:pos="3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firstLine="6"/>
        <w:spacing w:after="0" w:line="263" w:lineRule="auto"/>
        <w:tabs>
          <w:tab w:leader="none" w:pos="12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20" w:firstLine="6"/>
        <w:spacing w:after="0" w:line="263" w:lineRule="auto"/>
        <w:tabs>
          <w:tab w:leader="none" w:pos="12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firstLine="6"/>
        <w:spacing w:after="0" w:line="342" w:lineRule="auto"/>
        <w:tabs>
          <w:tab w:leader="none" w:pos="1222"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20" w:firstLine="6"/>
        <w:spacing w:after="0" w:line="263" w:lineRule="auto"/>
        <w:tabs>
          <w:tab w:leader="none" w:pos="122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0" w:hanging="512"/>
        <w:spacing w:after="0" w:line="308" w:lineRule="auto"/>
        <w:tabs>
          <w:tab w:leader="none" w:pos="3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firstLine="6"/>
        <w:spacing w:after="0" w:line="308" w:lineRule="auto"/>
        <w:tabs>
          <w:tab w:leader="none" w:pos="1233"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firstLine="6"/>
        <w:spacing w:after="0" w:line="277" w:lineRule="auto"/>
        <w:tabs>
          <w:tab w:leader="none" w:pos="12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2023</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Dean Butler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connection with the Annual Report on Form 10-K of Synaptics Incorporated (the “Company”) for the year ended June 24, 2023, as filed with the Securities and Exchange Commission on the date hereof (the “Report”), I, Michael E. Hurlston, President and Chief Executive Officer of the Company, certify, to the best of my knowledge and belief, pursuant to 18 U.S.C. § 1350, as adopted pursuant to § 906 of the Sarbanes-Oxley Act of 2002, that:</w:t>
      </w:r>
    </w:p>
    <w:p>
      <w:pPr>
        <w:spacing w:after="0" w:line="41" w:lineRule="exact"/>
        <w:rPr>
          <w:sz w:val="20"/>
          <w:szCs w:val="20"/>
          <w:color w:val="auto"/>
        </w:rPr>
      </w:pPr>
    </w:p>
    <w:p>
      <w:pPr>
        <w:ind w:left="1020" w:right="20" w:hanging="479"/>
        <w:spacing w:after="0" w:line="277"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20" w:right="40" w:hanging="479"/>
        <w:spacing w:after="0" w:line="277"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E. Hurlston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connection with the Annual Report on Form 10-K of Synaptics Incorporated (the “Company”) for the year ended June 24, 2023,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1020" w:right="20" w:hanging="479"/>
        <w:spacing w:after="0" w:line="277" w:lineRule="auto"/>
        <w:tabs>
          <w:tab w:leader="none" w:pos="8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20" w:right="40" w:hanging="479"/>
        <w:spacing w:after="0" w:line="277" w:lineRule="auto"/>
        <w:tabs>
          <w:tab w:leader="none" w:pos="8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Dean Butler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lowerLetter"/>
      <w:start w:val="1"/>
    </w:lvl>
    <w:lvl w:ilvl="1">
      <w:lvlJc w:val="left"/>
      <w:lvlText w:val="(%2)"/>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lvl w:ilvl="1">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decimal"/>
      <w:start w:val="3"/>
    </w:lvl>
  </w:abstractNum>
  <w:abstractNum w:abstractNumId="25">
    <w:nsid w:val="737B8DDC"/>
    <w:multiLevelType w:val="hybridMultilevel"/>
    <w:lvl w:ilvl="0">
      <w:lvlJc w:val="left"/>
      <w:lvlText w:val="%1."/>
      <w:numFmt w:val="decimal"/>
      <w:start w:val="4"/>
    </w:lvl>
  </w:abstractNum>
  <w:abstractNum w:abstractNumId="26">
    <w:nsid w:val="6CEAF087"/>
    <w:multiLevelType w:val="hybridMultilevel"/>
    <w:lvl w:ilvl="0">
      <w:lvlJc w:val="left"/>
      <w:lvlText w:val="%1."/>
      <w:numFmt w:val="decimal"/>
      <w:start w:val="5"/>
    </w:lvl>
  </w:abstractNum>
  <w:abstractNum w:abstractNumId="27">
    <w:nsid w:val="22221A70"/>
    <w:multiLevelType w:val="hybridMultilevel"/>
    <w:lvl w:ilvl="0">
      <w:lvlJc w:val="left"/>
      <w:lvlText w:val="%1."/>
      <w:numFmt w:val="decimal"/>
      <w:start w:val="6"/>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7"/>
    </w:lvl>
  </w:abstractNum>
  <w:abstractNum w:abstractNumId="30">
    <w:nsid w:val="614FD4A1"/>
    <w:multiLevelType w:val="hybridMultilevel"/>
    <w:lvl w:ilvl="0">
      <w:lvlJc w:val="left"/>
      <w:lvlText w:val="%1."/>
      <w:numFmt w:val="decimal"/>
      <w:start w:val="8"/>
    </w:lvl>
  </w:abstractNum>
  <w:abstractNum w:abstractNumId="31">
    <w:nsid w:val="419AC241"/>
    <w:multiLevelType w:val="hybridMultilevel"/>
    <w:lvl w:ilvl="0">
      <w:lvlJc w:val="left"/>
      <w:lvlText w:val="%1."/>
      <w:numFmt w:val="decimal"/>
      <w:start w:val="9"/>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115"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379" Type="http://schemas.openxmlformats.org/officeDocument/2006/relationships/image" Target="media/image329.png"/><Relationship Id="rId380" Type="http://schemas.openxmlformats.org/officeDocument/2006/relationships/image" Target="media/image330.png"/><Relationship Id="rId381" Type="http://schemas.openxmlformats.org/officeDocument/2006/relationships/image" Target="media/image331.png"/><Relationship Id="rId382" Type="http://schemas.openxmlformats.org/officeDocument/2006/relationships/image" Target="media/image332.png"/><Relationship Id="rId383" Type="http://schemas.openxmlformats.org/officeDocument/2006/relationships/image" Target="media/image333.png"/><Relationship Id="rId384" Type="http://schemas.openxmlformats.org/officeDocument/2006/relationships/image" Target="media/image334.png"/><Relationship Id="rId385" Type="http://schemas.openxmlformats.org/officeDocument/2006/relationships/image" Target="media/image335.png"/><Relationship Id="rId386" Type="http://schemas.openxmlformats.org/officeDocument/2006/relationships/image" Target="media/image336.png"/><Relationship Id="rId387" Type="http://schemas.openxmlformats.org/officeDocument/2006/relationships/image" Target="media/image337.png"/><Relationship Id="rId388" Type="http://schemas.openxmlformats.org/officeDocument/2006/relationships/image" Target="media/image338.png"/><Relationship Id="rId389" Type="http://schemas.openxmlformats.org/officeDocument/2006/relationships/image" Target="media/image339.png"/><Relationship Id="rId390" Type="http://schemas.openxmlformats.org/officeDocument/2006/relationships/image" Target="media/image340.png"/><Relationship Id="rId391" Type="http://schemas.openxmlformats.org/officeDocument/2006/relationships/image" Target="media/image341.png"/><Relationship Id="rId392" Type="http://schemas.openxmlformats.org/officeDocument/2006/relationships/image" Target="media/image342.png"/><Relationship Id="rId393" Type="http://schemas.openxmlformats.org/officeDocument/2006/relationships/image" Target="media/image343.png"/><Relationship Id="rId394" Type="http://schemas.openxmlformats.org/officeDocument/2006/relationships/image" Target="media/image344.png"/><Relationship Id="rId395" Type="http://schemas.openxmlformats.org/officeDocument/2006/relationships/image" Target="media/image345.png"/><Relationship Id="rId396" Type="http://schemas.openxmlformats.org/officeDocument/2006/relationships/image" Target="media/image346.png"/><Relationship Id="rId397" Type="http://schemas.openxmlformats.org/officeDocument/2006/relationships/image" Target="media/image347.png"/><Relationship Id="rId398" Type="http://schemas.openxmlformats.org/officeDocument/2006/relationships/image" Target="media/image348.png"/><Relationship Id="rId399" Type="http://schemas.openxmlformats.org/officeDocument/2006/relationships/image" Target="media/image349.png"/><Relationship Id="rId400" Type="http://schemas.openxmlformats.org/officeDocument/2006/relationships/image" Target="media/image350.png"/><Relationship Id="rId401" Type="http://schemas.openxmlformats.org/officeDocument/2006/relationships/image" Target="media/image351.png"/><Relationship Id="rId402" Type="http://schemas.openxmlformats.org/officeDocument/2006/relationships/image" Target="media/image352.png"/><Relationship Id="rId403" Type="http://schemas.openxmlformats.org/officeDocument/2006/relationships/image" Target="media/image353.png"/><Relationship Id="rId404" Type="http://schemas.openxmlformats.org/officeDocument/2006/relationships/image" Target="media/image354.png"/><Relationship Id="rId405" Type="http://schemas.openxmlformats.org/officeDocument/2006/relationships/image" Target="media/image355.png"/><Relationship Id="rId406"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426" Type="http://schemas.openxmlformats.org/officeDocument/2006/relationships/image" Target="media/image376.png"/><Relationship Id="rId427" Type="http://schemas.openxmlformats.org/officeDocument/2006/relationships/image" Target="media/image377.png"/><Relationship Id="rId428" Type="http://schemas.openxmlformats.org/officeDocument/2006/relationships/image" Target="media/image378.png"/><Relationship Id="rId429" Type="http://schemas.openxmlformats.org/officeDocument/2006/relationships/image" Target="media/image379.png"/><Relationship Id="rId430" Type="http://schemas.openxmlformats.org/officeDocument/2006/relationships/image" Target="media/image380.png"/><Relationship Id="rId431" Type="http://schemas.openxmlformats.org/officeDocument/2006/relationships/image" Target="media/image381.png"/><Relationship Id="rId432" Type="http://schemas.openxmlformats.org/officeDocument/2006/relationships/image" Target="media/image382.png"/><Relationship Id="rId433" Type="http://schemas.openxmlformats.org/officeDocument/2006/relationships/image" Target="media/image383.png"/><Relationship Id="rId434" Type="http://schemas.openxmlformats.org/officeDocument/2006/relationships/image" Target="media/image384.png"/><Relationship Id="rId435" Type="http://schemas.openxmlformats.org/officeDocument/2006/relationships/image" Target="media/image385.png"/><Relationship Id="rId436" Type="http://schemas.openxmlformats.org/officeDocument/2006/relationships/image" Target="media/image386.png"/><Relationship Id="rId437" Type="http://schemas.openxmlformats.org/officeDocument/2006/relationships/image" Target="media/image387.png"/><Relationship Id="rId438" Type="http://schemas.openxmlformats.org/officeDocument/2006/relationships/image" Target="media/image388.png"/><Relationship Id="rId439" Type="http://schemas.openxmlformats.org/officeDocument/2006/relationships/image" Target="media/image389.png"/><Relationship Id="rId440" Type="http://schemas.openxmlformats.org/officeDocument/2006/relationships/image" Target="media/image390.png"/><Relationship Id="rId441" Type="http://schemas.openxmlformats.org/officeDocument/2006/relationships/image" Target="media/image391.png"/><Relationship Id="rId442" Type="http://schemas.openxmlformats.org/officeDocument/2006/relationships/image" Target="media/image392.png"/><Relationship Id="rId443" Type="http://schemas.openxmlformats.org/officeDocument/2006/relationships/image" Target="media/image393.png"/><Relationship Id="rId444" Type="http://schemas.openxmlformats.org/officeDocument/2006/relationships/image" Target="media/image394.png"/><Relationship Id="rId445" Type="http://schemas.openxmlformats.org/officeDocument/2006/relationships/image" Target="media/image395.png"/><Relationship Id="rId446" Type="http://schemas.openxmlformats.org/officeDocument/2006/relationships/image" Target="media/image396.png"/><Relationship Id="rId447" Type="http://schemas.openxmlformats.org/officeDocument/2006/relationships/image" Target="media/image397.png"/><Relationship Id="rId448" Type="http://schemas.openxmlformats.org/officeDocument/2006/relationships/image" Target="media/image398.png"/><Relationship Id="rId449" Type="http://schemas.openxmlformats.org/officeDocument/2006/relationships/image" Target="media/image399.png"/><Relationship Id="rId450" Type="http://schemas.openxmlformats.org/officeDocument/2006/relationships/image" Target="media/image400.png"/><Relationship Id="rId451" Type="http://schemas.openxmlformats.org/officeDocument/2006/relationships/image" Target="media/image401.png"/><Relationship Id="rId452" Type="http://schemas.openxmlformats.org/officeDocument/2006/relationships/image" Target="media/image402.png"/><Relationship Id="rId453" Type="http://schemas.openxmlformats.org/officeDocument/2006/relationships/image" Target="media/image403.png"/><Relationship Id="rId454" Type="http://schemas.openxmlformats.org/officeDocument/2006/relationships/image" Target="media/image404.png"/><Relationship Id="rId455" Type="http://schemas.openxmlformats.org/officeDocument/2006/relationships/image" Target="media/image405.png"/><Relationship Id="rId456" Type="http://schemas.openxmlformats.org/officeDocument/2006/relationships/image" Target="media/image406.png"/><Relationship Id="rId457" Type="http://schemas.openxmlformats.org/officeDocument/2006/relationships/image" Target="media/image407.png"/><Relationship Id="rId458" Type="http://schemas.openxmlformats.org/officeDocument/2006/relationships/image" Target="media/image408.png"/><Relationship Id="rId459" Type="http://schemas.openxmlformats.org/officeDocument/2006/relationships/image" Target="media/image409.png"/><Relationship Id="rId460" Type="http://schemas.openxmlformats.org/officeDocument/2006/relationships/image" Target="media/image410.png"/><Relationship Id="rId461" Type="http://schemas.openxmlformats.org/officeDocument/2006/relationships/image" Target="media/image411.png"/><Relationship Id="rId462" Type="http://schemas.openxmlformats.org/officeDocument/2006/relationships/image" Target="media/image412.png"/><Relationship Id="rId85" Type="http://schemas.openxmlformats.org/officeDocument/2006/relationships/hyperlink" Target="https://www.sec.gov/Archives/edgar/data/817720/000156459020051445/syna-ex21_160.htm" TargetMode="External"/><Relationship Id="rId86" Type="http://schemas.openxmlformats.org/officeDocument/2006/relationships/hyperlink" Target="https://www.sec.gov/Archives/edgar/data/817720/000095017021003116/syna-ex2_1.htm" TargetMode="External"/><Relationship Id="rId87" Type="http://schemas.openxmlformats.org/officeDocument/2006/relationships/hyperlink" Target="https://www.sec.gov/Archives/edgar/data/817720/000095015302000298/p66191ex3-1.txt" TargetMode="External"/><Relationship Id="rId88" Type="http://schemas.openxmlformats.org/officeDocument/2006/relationships/hyperlink" Target="https://www.sec.gov/Archives/edgar/data/817720/000095015302001446/p66932exv3w1wb.txt" TargetMode="External"/><Relationship Id="rId89" Type="http://schemas.openxmlformats.org/officeDocument/2006/relationships/hyperlink" Target="https://www.sec.gov/Archives/edgar/data/817720/000095012310070616/c04076exv3w2.htm" TargetMode="External"/><Relationship Id="rId90" Type="http://schemas.openxmlformats.org/officeDocument/2006/relationships/hyperlink" Target="https://www.sec.gov/Archives/edgar/data/817720/000095015304002451/p69952exv3w3.txt" TargetMode="External"/><Relationship Id="rId91" Type="http://schemas.openxmlformats.org/officeDocument/2006/relationships/hyperlink" Target="https://www.sec.gov/Archives/edgar/data/817720/000095012310095290/c07159exv3w4.htm" TargetMode="External"/><Relationship Id="rId92" Type="http://schemas.openxmlformats.org/officeDocument/2006/relationships/hyperlink" Target="https://www.sec.gov/Archives/edgar/data/817720/000095015302001553/p66995exv4.txt" TargetMode="External"/><Relationship Id="rId93" Type="http://schemas.openxmlformats.org/officeDocument/2006/relationships/hyperlink" Target="https://www.sec.gov/Archives/edgar/data/817720/000156459019032908/syna-ex44_665.htm" TargetMode="External"/><Relationship Id="rId94" Type="http://schemas.openxmlformats.org/officeDocument/2006/relationships/hyperlink" Target="https://www.sec.gov/Archives/edgar/data/817720/000119312521077766/d107594dex41.htm" TargetMode="External"/><Relationship Id="rId95" Type="http://schemas.openxmlformats.org/officeDocument/2006/relationships/hyperlink" Target="https://www.sec.gov/Archives/edgar/data/817720/000119312521077766/d107594dex101.htm" TargetMode="External"/><Relationship Id="rId96" Type="http://schemas.openxmlformats.org/officeDocument/2006/relationships/hyperlink" Target="https://www.sec.gov/Archives/edgar/data/817720/000119312521346669/d278258dex101.htm" TargetMode="External"/><Relationship Id="rId99" Type="http://schemas.openxmlformats.org/officeDocument/2006/relationships/hyperlink" Target="https://www.sec.gov/Archives/edgar/data/817720/000119312523073886/d479581dex101.htm" TargetMode="External"/><Relationship Id="rId100" Type="http://schemas.openxmlformats.org/officeDocument/2006/relationships/hyperlink" Target="https://www.sec.gov/Archives/edgar/data/817720/000095017023037965/syna-ex10_1.htm" TargetMode="External"/><Relationship Id="rId101" Type="http://schemas.openxmlformats.org/officeDocument/2006/relationships/hyperlink" Target="https://www.sec.gov/Archives/edgar/data/817720/000119312519223462/d790437dex1031a.htm" TargetMode="External"/><Relationship Id="rId102" Type="http://schemas.openxmlformats.org/officeDocument/2006/relationships/hyperlink" Target="https://www.sec.gov/Archives/edgar/data/817720/000119312519223462/d790437dex1031b.htm" TargetMode="External"/><Relationship Id="rId103" Type="http://schemas.openxmlformats.org/officeDocument/2006/relationships/hyperlink" Target="https://www.sec.gov/Archives/edgar/data/817720/000119312519223462/d790437dex1031c.htm" TargetMode="External"/><Relationship Id="rId104" Type="http://schemas.openxmlformats.org/officeDocument/2006/relationships/hyperlink" Target="https://www.sec.gov/Archives/edgar/data/817720/000119312519223462/d790437dex1031d.htm" TargetMode="External"/><Relationship Id="rId105" Type="http://schemas.openxmlformats.org/officeDocument/2006/relationships/hyperlink" Target="https://www.sec.gov/Archives/edgar/data/817720/000119312519281932/d828543dex101a.htm" TargetMode="External"/><Relationship Id="rId106" Type="http://schemas.openxmlformats.org/officeDocument/2006/relationships/hyperlink" Target="https://www.sec.gov/Archives/edgar/data/817720/000119312520281023/d26729dex101.htm" TargetMode="External"/><Relationship Id="rId107" Type="http://schemas.openxmlformats.org/officeDocument/2006/relationships/hyperlink" Target="https://www.sec.gov/Archives/edgar/data/817720/000119312521311462/d233668dex101.htm" TargetMode="External"/><Relationship Id="rId108" Type="http://schemas.openxmlformats.org/officeDocument/2006/relationships/hyperlink" Target="https://www.sec.gov/Archives/edgar/data/817720/000119312522271047/d342816dex101.htm" TargetMode="External"/><Relationship Id="rId109" Type="http://schemas.openxmlformats.org/officeDocument/2006/relationships/hyperlink" Target="https://www.sec.gov/Archives/edgar/data/817720/000119312519281932/d828543dex101b.htm" TargetMode="External"/><Relationship Id="rId110" Type="http://schemas.openxmlformats.org/officeDocument/2006/relationships/hyperlink" Target="https://www.sec.gov/Archives/edgar/data/817720/000119312519281932/d828543dex101c.htm" TargetMode="External"/><Relationship Id="rId111" Type="http://schemas.openxmlformats.org/officeDocument/2006/relationships/hyperlink" Target="https://www.sec.gov/Archives/edgar/data/817720/000119312519281932/d828543dex101d.htm" TargetMode="External"/><Relationship Id="rId112" Type="http://schemas.openxmlformats.org/officeDocument/2006/relationships/hyperlink" Target="https://www.sec.gov/Archives/edgar/data/817720/000156459021045326/syna-ex103g_250.htm" TargetMode="External"/><Relationship Id="rId113" Type="http://schemas.openxmlformats.org/officeDocument/2006/relationships/hyperlink" Target="https://www.sec.gov/Archives/edgar/data/817720/000156459020051445/syna-ex102_108.htm" TargetMode="External"/><Relationship Id="rId114" Type="http://schemas.openxmlformats.org/officeDocument/2006/relationships/hyperlink" Target="https://www.sec.gov/Archives/edgar/data/817720/000156459020051445/syna-ex103_109.htm" TargetMode="External"/><Relationship Id="rId116" Type="http://schemas.openxmlformats.org/officeDocument/2006/relationships/hyperlink" Target="https://www.sec.gov/Archives/edgar/data/817720/000095017022017628/syna-ex10_3.htm" TargetMode="External"/><Relationship Id="rId117" Type="http://schemas.openxmlformats.org/officeDocument/2006/relationships/hyperlink" Target="https://www.sec.gov/Archives/edgar/data/817720/000119312519281932/d828543dex102a.htm" TargetMode="External"/><Relationship Id="rId118" Type="http://schemas.openxmlformats.org/officeDocument/2006/relationships/hyperlink" Target="https://www.sec.gov/Archives/edgar/data/817720/000119312516751582/d249304dex101.htm" TargetMode="External"/><Relationship Id="rId119" Type="http://schemas.openxmlformats.org/officeDocument/2006/relationships/hyperlink" Target="https://www.sec.gov/Archives/edgar/data/817720/000156459017017839/syna-ex1024b_468.htm" TargetMode="External"/><Relationship Id="rId120" Type="http://schemas.openxmlformats.org/officeDocument/2006/relationships/hyperlink" Target="https://www.sec.gov/Archives/edgar/data/817720/000095012310095290/c07159exv10w24wc.htm" TargetMode="External"/><Relationship Id="rId121" Type="http://schemas.openxmlformats.org/officeDocument/2006/relationships/hyperlink" Target="https://www.sec.gov/Archives/edgar/data/817720/000156459017017839/syna-ex1024d_469.htm" TargetMode="External"/><Relationship Id="rId122" Type="http://schemas.openxmlformats.org/officeDocument/2006/relationships/hyperlink" Target="https://www.sec.gov/Archives/edgar/data/817720/000156459018001689/syna-ex1024e_42.htm" TargetMode="External"/><Relationship Id="rId123" Type="http://schemas.openxmlformats.org/officeDocument/2006/relationships/hyperlink" Target="https://www.sec.gov/Archives/edgar/data/817720/000156459018001689/syna-ex1024f_41.htm" TargetMode="External"/><Relationship Id="rId124" Type="http://schemas.openxmlformats.org/officeDocument/2006/relationships/hyperlink" Target="https://www.sec.gov/Archives/edgar/data/817720/000156459019032908/syna-ex1026_261.htm" TargetMode="External"/><Relationship Id="rId125" Type="http://schemas.openxmlformats.org/officeDocument/2006/relationships/hyperlink" Target="https://www.sec.gov/Archives/edgar/data/817720/000156459019032908/syna-ex1027_260.htm" TargetMode="External"/><Relationship Id="rId126" Type="http://schemas.openxmlformats.org/officeDocument/2006/relationships/hyperlink" Target="https://www.sec.gov/Archives/edgar/data/817720/000119312516593183/d192591dex1032.htm" TargetMode="External"/><Relationship Id="rId127" Type="http://schemas.openxmlformats.org/officeDocument/2006/relationships/hyperlink" Target="https://www.sec.gov/Archives/edgar/data/817720/000156459019032908/syna-ex1033_524.htm" TargetMode="External"/><Relationship Id="rId128" Type="http://schemas.openxmlformats.org/officeDocument/2006/relationships/hyperlink" Target="https://www.sec.gov/Archives/edgar/data/817720/000156459019041858/syna-ex101_81.htm" TargetMode="External"/><Relationship Id="rId129" Type="http://schemas.openxmlformats.org/officeDocument/2006/relationships/hyperlink" Target="https://www.sec.gov/Archives/edgar/data/817720/000156459020003726/syna-ex101_91.htm" TargetMode="External"/><Relationship Id="rId130" Type="http://schemas.openxmlformats.org/officeDocument/2006/relationships/hyperlink" Target="https://www.sec.gov/Archives/edgar/data/817720/000156459020040946/syna-ex1014_3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2023-08-18T16:39:13Z</dcterms:created>
  <dcterms:modified xsi:type="dcterms:W3CDTF">2023-08-18T16:39:13Z</dcterms:modified>
</cp:coreProperties>
</file>