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 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 10-K</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 the Fiscal Year Ended June 27,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 xml:space="preserve">For the transition period from </w:t>
      </w:r>
      <w:r>
        <w:rPr>
          <w:rFonts w:ascii="Times New Roman;serif" w:hAnsi="Times New Roman;serif"/>
          <w:b/>
          <w:color w:val="000000"/>
          <w:sz w:val="16"/>
          <w:u w:val="single"/>
        </w:rPr>
        <w:t>___</w:t>
      </w:r>
      <w:r>
        <w:rPr>
          <w:color w:val="000000"/>
        </w:rPr>
        <w:t xml:space="preserve"> </w:t>
      </w:r>
      <w:r>
        <w:rPr>
          <w:rFonts w:ascii="Times New Roman;serif" w:hAnsi="Times New Roman;serif"/>
          <w:b/>
          <w:color w:val="000000"/>
          <w:sz w:val="16"/>
        </w:rPr>
        <w:t xml:space="preserve">to </w:t>
      </w:r>
      <w:r>
        <w:rPr>
          <w:rFonts w:ascii="Times New Roman;serif" w:hAnsi="Times New Roman;serif"/>
          <w:b/>
          <w:color w:val="000000"/>
          <w:sz w:val="16"/>
          <w:u w:val="single"/>
        </w:rPr>
        <w:t>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000-49602</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SYNAPTICS INCORPORATED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631"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799"/>
        <w:gridCol w:w="799"/>
        <w:gridCol w:w="1146"/>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77-0118518</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181" w:type="dxa"/>
        <w:jc w:val="left"/>
        <w:tblInd w:w="0" w:type="dxa"/>
        <w:tblLayout w:type="fixed"/>
        <w:tblCellMar>
          <w:top w:w="28" w:type="dxa"/>
          <w:left w:w="28" w:type="dxa"/>
          <w:bottom w:w="28" w:type="dxa"/>
          <w:right w:w="28" w:type="dxa"/>
        </w:tblCellMar>
      </w:tblPr>
      <w:tblGrid>
        <w:gridCol w:w="1058"/>
        <w:gridCol w:w="929"/>
        <w:gridCol w:w="938"/>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1109 McKay Drive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San Jose,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95131</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tbl>
      <w:tblPr>
        <w:tblW w:w="4539" w:type="dxa"/>
        <w:jc w:val="left"/>
        <w:tblInd w:w="0" w:type="dxa"/>
        <w:tblLayout w:type="fixed"/>
        <w:tblCellMar>
          <w:top w:w="28" w:type="dxa"/>
          <w:left w:w="28" w:type="dxa"/>
          <w:bottom w:w="28" w:type="dxa"/>
          <w:right w:w="28" w:type="dxa"/>
        </w:tblCellMar>
      </w:tblPr>
      <w:tblGrid>
        <w:gridCol w:w="124"/>
        <w:gridCol w:w="109"/>
        <w:gridCol w:w="109"/>
        <w:gridCol w:w="1273"/>
        <w:gridCol w:w="1273"/>
        <w:gridCol w:w="127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(408) 904-1100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602" w:type="dxa"/>
        <w:jc w:val="left"/>
        <w:tblInd w:w="0" w:type="dxa"/>
        <w:tblLayout w:type="fixed"/>
        <w:tblCellMar>
          <w:top w:w="28" w:type="dxa"/>
          <w:left w:w="28" w:type="dxa"/>
          <w:bottom w:w="28" w:type="dxa"/>
          <w:right w:w="28" w:type="dxa"/>
        </w:tblCellMar>
      </w:tblPr>
      <w:tblGrid>
        <w:gridCol w:w="1150"/>
        <w:gridCol w:w="1008"/>
        <w:gridCol w:w="1022"/>
        <w:gridCol w:w="109"/>
        <w:gridCol w:w="109"/>
        <w:gridCol w:w="109"/>
        <w:gridCol w:w="484"/>
        <w:gridCol w:w="484"/>
        <w:gridCol w:w="486"/>
        <w:gridCol w:w="109"/>
        <w:gridCol w:w="109"/>
        <w:gridCol w:w="109"/>
        <w:gridCol w:w="970"/>
        <w:gridCol w:w="970"/>
        <w:gridCol w:w="137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SYNA</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12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12" w:type="dxa"/>
        <w:jc w:val="left"/>
        <w:tblInd w:w="0" w:type="dxa"/>
        <w:tblLayout w:type="fixed"/>
        <w:tblCellMar>
          <w:top w:w="28" w:type="dxa"/>
          <w:left w:w="28" w:type="dxa"/>
          <w:bottom w:w="28" w:type="dxa"/>
          <w:right w:w="28" w:type="dxa"/>
        </w:tblCellMar>
      </w:tblPr>
      <w:tblGrid>
        <w:gridCol w:w="603"/>
        <w:gridCol w:w="530"/>
        <w:gridCol w:w="532"/>
        <w:gridCol w:w="125"/>
        <w:gridCol w:w="125"/>
        <w:gridCol w:w="125"/>
        <w:gridCol w:w="109"/>
        <w:gridCol w:w="109"/>
        <w:gridCol w:w="109"/>
        <w:gridCol w:w="674"/>
        <w:gridCol w:w="674"/>
        <w:gridCol w:w="677"/>
        <w:gridCol w:w="123"/>
        <w:gridCol w:w="123"/>
        <w:gridCol w:w="17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xml:space="preserve">☐ </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xml:space="preserve">☐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xml:space="preserve">☐ </w:t>
            </w:r>
          </w:p>
        </w:tc>
      </w:tr>
    </w:tbl>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ind w:left="0" w:right="0" w:firstLine="1260"/>
        <w:jc w:val="both"/>
        <w:rPr/>
      </w:pPr>
      <w:r>
        <w:rPr>
          <w:rFonts w:ascii="Times New Roman;serif" w:hAnsi="Times New Roman;serif"/>
          <w:b w:val="false"/>
          <w:color w:val="000000"/>
          <w:sz w:val="16"/>
        </w:rPr>
        <w:t xml:space="preserve">Indicate by check mark whether the registrant is a shell company (as defined in Rule 12b-2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1260"/>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Common Stock held by non-affiliates of the registrant (27,625,157 shares), based on the closing price of the registrant’s Common Stock as reported on the Nasdaq Global Select Market on December 27, 2025 of $73.46, was $2,029,344,033.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bidi w:val="0"/>
        <w:spacing w:lineRule="auto" w:line="288" w:before="120" w:after="283"/>
        <w:ind w:left="0" w:right="0" w:firstLine="1260"/>
        <w:jc w:val="both"/>
        <w:rPr>
          <w:rFonts w:ascii="Times New Roman;serif" w:hAnsi="Times New Roman;serif"/>
          <w:b w:val="false"/>
          <w:color w:val="000000"/>
          <w:sz w:val="16"/>
        </w:rPr>
      </w:pPr>
      <w:r>
        <w:rPr>
          <w:rFonts w:ascii="Times New Roman;serif" w:hAnsi="Times New Roman;serif"/>
          <w:b w:val="false"/>
          <w:color w:val="000000"/>
          <w:sz w:val="16"/>
        </w:rPr>
        <w:t>As of August 4, 2026, there were 39,106,986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120" w:after="283"/>
        <w:ind w:left="0" w:right="0" w:firstLine="1260"/>
        <w:jc w:val="both"/>
        <w:rPr>
          <w:rFonts w:ascii="Times New Roman;serif" w:hAnsi="Times New Roman;serif"/>
          <w:b w:val="false"/>
          <w:color w:val="000000"/>
          <w:sz w:val="16"/>
        </w:rPr>
      </w:pPr>
      <w:r>
        <w:rPr>
          <w:rFonts w:ascii="Times New Roman;serif" w:hAnsi="Times New Roman;serif"/>
          <w:b w:val="false"/>
          <w:color w:val="000000"/>
          <w:sz w:val="16"/>
        </w:rPr>
        <w:t>Portions of Part III of this Annual Report on Form 10-K are incorporated by reference from the registrant’s definitive proxy statement for its 2026 annual meeting of stockholders, which will be filed with the Securities and Exchange Commission within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SYNAPTICS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JUNE 27,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8"/>
        <w:gridCol w:w="262"/>
        <w:gridCol w:w="265"/>
        <w:gridCol w:w="3077"/>
        <w:gridCol w:w="2959"/>
        <w:gridCol w:w="2970"/>
        <w:gridCol w:w="109"/>
        <w:gridCol w:w="109"/>
        <w:gridCol w:w="15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5469c3e6b14ed3b698364bd33c7bfd_16">
              <w:r>
                <w:rPr>
                  <w:rStyle w:val="InternetLink"/>
                  <w:rFonts w:ascii="Times New Roman;serif" w:hAnsi="Times New Roman;serif"/>
                  <w:b w:val="false"/>
                  <w:color w:val="0000FF"/>
                  <w:sz w:val="20"/>
                  <w:u w:val="single"/>
                </w:rPr>
                <w:t>PART I</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
              <w:r>
                <w:rPr>
                  <w:rStyle w:val="InternetLink"/>
                  <w:rFonts w:ascii="Times New Roman;serif" w:hAnsi="Times New Roman;serif"/>
                  <w:b w:val="false"/>
                  <w:color w:val="0000FF"/>
                  <w:sz w:val="20"/>
                  <w:u w:val="single"/>
                </w:rPr>
                <w:t>ITEM 1.</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
              <w:r>
                <w:rPr>
                  <w:rStyle w:val="InternetLink"/>
                  <w:rFonts w:ascii="Times New Roman;serif" w:hAnsi="Times New Roman;serif"/>
                  <w:b w:val="false"/>
                  <w:color w:val="0000FF"/>
                  <w:sz w:val="20"/>
                  <w:u w:val="single"/>
                </w:rPr>
                <w:t>BUSINESS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6">
              <w:r>
                <w:rPr>
                  <w:rStyle w:val="InternetLink"/>
                  <w:rFonts w:ascii="Times New Roman;serif" w:hAnsi="Times New Roman;serif"/>
                  <w:b w:val="false"/>
                  <w:color w:val="0000FF"/>
                  <w:sz w:val="20"/>
                  <w:u w:val="single"/>
                </w:rPr>
                <w:t>1</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2">
              <w:r>
                <w:rPr>
                  <w:rStyle w:val="InternetLink"/>
                  <w:rFonts w:ascii="Times New Roman;serif" w:hAnsi="Times New Roman;serif"/>
                  <w:b w:val="false"/>
                  <w:color w:val="0000FF"/>
                  <w:sz w:val="20"/>
                  <w:u w:val="single"/>
                </w:rPr>
                <w:t>ITEM 1A.</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2">
              <w:r>
                <w:rPr>
                  <w:rStyle w:val="InternetLink"/>
                  <w:rFonts w:ascii="Times New Roman;serif" w:hAnsi="Times New Roman;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22">
              <w:r>
                <w:rPr>
                  <w:rStyle w:val="InternetLink"/>
                  <w:rFonts w:ascii="Times New Roman;serif" w:hAnsi="Times New Roman;serif"/>
                  <w:b w:val="false"/>
                  <w:color w:val="0000FF"/>
                  <w:sz w:val="20"/>
                  <w:u w:val="single"/>
                </w:rPr>
                <w:t>9</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5">
              <w:r>
                <w:rPr>
                  <w:rStyle w:val="InternetLink"/>
                  <w:rFonts w:ascii="Times New Roman;serif" w:hAnsi="Times New Roman;serif"/>
                  <w:b w:val="false"/>
                  <w:color w:val="0000FF"/>
                  <w:sz w:val="20"/>
                  <w:u w:val="single"/>
                </w:rPr>
                <w:t>ITEM 1B.</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5">
              <w:r>
                <w:rPr>
                  <w:rStyle w:val="InternetLink"/>
                  <w:rFonts w:ascii="Times New Roman;serif" w:hAnsi="Times New Roman;serif"/>
                  <w:b w:val="false"/>
                  <w:color w:val="0000FF"/>
                  <w:sz w:val="20"/>
                  <w:u w:val="single"/>
                </w:rPr>
                <w:t>UNRESOLVED STAFF COMMENTS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25">
              <w:r>
                <w:rPr>
                  <w:rStyle w:val="InternetLink"/>
                  <w:rFonts w:ascii="Times New Roman;serif" w:hAnsi="Times New Roman;serif"/>
                  <w:b w:val="false"/>
                  <w:color w:val="0000FF"/>
                  <w:sz w:val="20"/>
                  <w:u w:val="single"/>
                </w:rPr>
                <w:t>23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8">
              <w:r>
                <w:rPr>
                  <w:rStyle w:val="InternetLink"/>
                  <w:rFonts w:ascii="Times New Roman;serif" w:hAnsi="Times New Roman;serif"/>
                  <w:b w:val="false"/>
                  <w:color w:val="0000FF"/>
                  <w:sz w:val="20"/>
                  <w:u w:val="single"/>
                </w:rPr>
                <w:t>ITEM 1C.</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8">
              <w:r>
                <w:rPr>
                  <w:rStyle w:val="InternetLink"/>
                  <w:rFonts w:ascii="Times New Roman;serif" w:hAnsi="Times New Roman;serif"/>
                  <w:b w:val="false"/>
                  <w:color w:val="0000FF"/>
                  <w:sz w:val="20"/>
                  <w:u w:val="single"/>
                </w:rPr>
                <w:t>CYBERSECURITY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28">
              <w:r>
                <w:rPr>
                  <w:rStyle w:val="InternetLink"/>
                  <w:rFonts w:ascii="Times New Roman;serif" w:hAnsi="Times New Roman;serif"/>
                  <w:b w:val="false"/>
                  <w:color w:val="0000FF"/>
                  <w:sz w:val="20"/>
                  <w:u w:val="single"/>
                </w:rPr>
                <w:t>23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1">
              <w:r>
                <w:rPr>
                  <w:rStyle w:val="InternetLink"/>
                  <w:rFonts w:ascii="Times New Roman;serif" w:hAnsi="Times New Roman;serif"/>
                  <w:b w:val="false"/>
                  <w:color w:val="0000FF"/>
                  <w:sz w:val="20"/>
                  <w:u w:val="single"/>
                </w:rPr>
                <w:t>ITEM 2.</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1">
              <w:r>
                <w:rPr>
                  <w:rStyle w:val="InternetLink"/>
                  <w:rFonts w:ascii="Times New Roman;serif" w:hAnsi="Times New Roman;serif"/>
                  <w:b w:val="false"/>
                  <w:color w:val="0000FF"/>
                  <w:sz w:val="20"/>
                  <w:u w:val="single"/>
                </w:rPr>
                <w:t>PROPERTIES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31">
              <w:r>
                <w:rPr>
                  <w:rStyle w:val="InternetLink"/>
                  <w:rFonts w:ascii="Times New Roman;serif" w:hAnsi="Times New Roman;serif"/>
                  <w:b w:val="false"/>
                  <w:color w:val="0000FF"/>
                  <w:sz w:val="20"/>
                  <w:u w:val="single"/>
                </w:rPr>
                <w:t>24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4">
              <w:r>
                <w:rPr>
                  <w:rStyle w:val="InternetLink"/>
                  <w:rFonts w:ascii="Times New Roman;serif" w:hAnsi="Times New Roman;serif"/>
                  <w:b w:val="false"/>
                  <w:color w:val="0000FF"/>
                  <w:sz w:val="20"/>
                  <w:u w:val="single"/>
                </w:rPr>
                <w:t>ITEM 3.</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4">
              <w:r>
                <w:rPr>
                  <w:rStyle w:val="InternetLink"/>
                  <w:rFonts w:ascii="Times New Roman;serif" w:hAnsi="Times New Roman;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34">
              <w:r>
                <w:rPr>
                  <w:rStyle w:val="InternetLink"/>
                  <w:rFonts w:ascii="Times New Roman;serif" w:hAnsi="Times New Roman;serif"/>
                  <w:b w:val="false"/>
                  <w:color w:val="0000FF"/>
                  <w:sz w:val="20"/>
                  <w:u w:val="single"/>
                </w:rPr>
                <w:t>24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7">
              <w:r>
                <w:rPr>
                  <w:rStyle w:val="InternetLink"/>
                  <w:rFonts w:ascii="Times New Roman;serif" w:hAnsi="Times New Roman;serif"/>
                  <w:b w:val="false"/>
                  <w:color w:val="0000FF"/>
                  <w:sz w:val="20"/>
                  <w:u w:val="single"/>
                </w:rPr>
                <w:t>ITEM 4.</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37">
              <w:r>
                <w:rPr>
                  <w:rStyle w:val="InternetLink"/>
                  <w:rFonts w:ascii="Times New Roman;serif" w:hAnsi="Times New Roman;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37">
              <w:r>
                <w:rPr>
                  <w:rStyle w:val="InternetLink"/>
                  <w:rFonts w:ascii="Times New Roman;serif" w:hAnsi="Times New Roman;serif"/>
                  <w:b w:val="false"/>
                  <w:color w:val="0000FF"/>
                  <w:sz w:val="20"/>
                  <w:u w:val="single"/>
                </w:rPr>
                <w:t>24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5469c3e6b14ed3b698364bd33c7bfd_40">
              <w:r>
                <w:rPr>
                  <w:rStyle w:val="InternetLink"/>
                  <w:rFonts w:ascii="Times New Roman;serif" w:hAnsi="Times New Roman;serif"/>
                  <w:b w:val="false"/>
                  <w:color w:val="0000FF"/>
                  <w:sz w:val="20"/>
                  <w:u w:val="single"/>
                </w:rPr>
                <w:t>PART II</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3">
              <w:r>
                <w:rPr>
                  <w:rStyle w:val="InternetLink"/>
                  <w:rFonts w:ascii="Times New Roman;serif" w:hAnsi="Times New Roman;serif"/>
                  <w:b w:val="false"/>
                  <w:color w:val="0000FF"/>
                  <w:sz w:val="20"/>
                  <w:u w:val="single"/>
                </w:rPr>
                <w:t>ITEM 5.</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3">
              <w:r>
                <w:rPr>
                  <w:rStyle w:val="InternetLink"/>
                  <w:rFonts w:ascii="Times New Roman;serif" w:hAnsi="Times New Roman;serif"/>
                  <w:b w:val="false"/>
                  <w:color w:val="000080"/>
                  <w:sz w:val="20"/>
                  <w:u w:val="single"/>
                </w:rPr>
                <w:t>MARKET FOR REGISTRANT</w:t>
              </w:r>
            </w:hyperlink>
            <w:hyperlink w:anchor="i8a5469c3e6b14ed3b698364bd33c7bfd_49">
              <w:r>
                <w:rPr>
                  <w:rStyle w:val="InternetLink"/>
                  <w:rFonts w:ascii="Times New Roman;serif" w:hAnsi="Times New Roman;serif"/>
                  <w:b w:val="false"/>
                  <w:color w:val="000080"/>
                  <w:sz w:val="20"/>
                  <w:u w:val="single"/>
                </w:rPr>
                <w:t>’</w:t>
              </w:r>
            </w:hyperlink>
            <w:r>
              <w:rPr>
                <w:rFonts w:ascii="Times New Roman;serif" w:hAnsi="Times New Roman;serif"/>
                <w:b w:val="false"/>
                <w:color w:val="0000FF"/>
                <w:sz w:val="20"/>
                <w:u w:val="single"/>
              </w:rPr>
              <w:t>S COMMON EQUITY, RELATED STOCKHOLDER MATTERS AND ISSUER PURCHASES OF EQUITY SECURITIES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43">
              <w:r>
                <w:rPr>
                  <w:rStyle w:val="InternetLink"/>
                  <w:rFonts w:ascii="Times New Roman;serif" w:hAnsi="Times New Roman;serif"/>
                  <w:b w:val="false"/>
                  <w:color w:val="0000FF"/>
                  <w:sz w:val="20"/>
                  <w:u w:val="single"/>
                </w:rPr>
                <w:t>25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6">
              <w:r>
                <w:rPr>
                  <w:rStyle w:val="InternetLink"/>
                  <w:rFonts w:ascii="Times New Roman;serif" w:hAnsi="Times New Roman;serif"/>
                  <w:b w:val="false"/>
                  <w:color w:val="0000FF"/>
                  <w:sz w:val="20"/>
                  <w:u w:val="single"/>
                </w:rPr>
                <w:t>ITEM 6.</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6">
              <w:r>
                <w:rPr>
                  <w:rStyle w:val="InternetLink"/>
                  <w:rFonts w:ascii="Times New Roman;serif" w:hAnsi="Times New Roman;serif"/>
                  <w:b w:val="false"/>
                  <w:color w:val="0000FF"/>
                  <w:sz w:val="20"/>
                  <w:u w:val="single"/>
                </w:rPr>
                <w:t>RESERVED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46">
              <w:r>
                <w:rPr>
                  <w:rStyle w:val="InternetLink"/>
                  <w:rFonts w:ascii="Times New Roman;serif" w:hAnsi="Times New Roman;serif"/>
                  <w:b w:val="false"/>
                  <w:color w:val="0000FF"/>
                  <w:sz w:val="20"/>
                  <w:u w:val="single"/>
                </w:rPr>
                <w:t>26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9">
              <w:r>
                <w:rPr>
                  <w:rStyle w:val="InternetLink"/>
                  <w:rFonts w:ascii="Times New Roman;serif" w:hAnsi="Times New Roman;serif"/>
                  <w:b w:val="false"/>
                  <w:color w:val="0000FF"/>
                  <w:sz w:val="20"/>
                  <w:u w:val="single"/>
                </w:rPr>
                <w:t>ITEM 7.</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49">
              <w:r>
                <w:rPr>
                  <w:rStyle w:val="InternetLink"/>
                  <w:rFonts w:ascii="Times New Roman;serif" w:hAnsi="Times New Roman;serif"/>
                  <w:b w:val="false"/>
                  <w:color w:val="0000FF"/>
                  <w:sz w:val="20"/>
                  <w:u w:val="single"/>
                </w:rPr>
                <w:t>27</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73">
              <w:r>
                <w:rPr>
                  <w:rStyle w:val="InternetLink"/>
                  <w:rFonts w:ascii="Times New Roman;serif" w:hAnsi="Times New Roman;serif"/>
                  <w:b w:val="false"/>
                  <w:color w:val="0000FF"/>
                  <w:sz w:val="20"/>
                  <w:u w:val="single"/>
                </w:rPr>
                <w:t>ITEM 7A.</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73">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73">
              <w:r>
                <w:rPr>
                  <w:rStyle w:val="InternetLink"/>
                  <w:rFonts w:ascii="Times New Roman;serif" w:hAnsi="Times New Roman;serif"/>
                  <w:b w:val="false"/>
                  <w:color w:val="0000FF"/>
                  <w:sz w:val="20"/>
                  <w:u w:val="single"/>
                </w:rPr>
                <w:t>35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76">
              <w:r>
                <w:rPr>
                  <w:rStyle w:val="InternetLink"/>
                  <w:rFonts w:ascii="Times New Roman;serif" w:hAnsi="Times New Roman;serif"/>
                  <w:b w:val="false"/>
                  <w:color w:val="0000FF"/>
                  <w:sz w:val="20"/>
                  <w:u w:val="single"/>
                </w:rPr>
                <w:t>ITEM 8.</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76">
              <w:r>
                <w:rPr>
                  <w:rStyle w:val="InternetLink"/>
                  <w:rFonts w:ascii="Times New Roman;serif" w:hAnsi="Times New Roman;serif"/>
                  <w:b w:val="false"/>
                  <w:color w:val="0000FF"/>
                  <w:sz w:val="20"/>
                  <w:u w:val="single"/>
                </w:rPr>
                <w:t>FINANCIAL STATEMENTS AND SUPPLEMENTARY DATA</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76">
              <w:r>
                <w:rPr>
                  <w:rStyle w:val="InternetLink"/>
                  <w:rFonts w:ascii="Times New Roman;serif" w:hAnsi="Times New Roman;serif"/>
                  <w:b w:val="false"/>
                  <w:color w:val="0000FF"/>
                  <w:sz w:val="20"/>
                  <w:u w:val="single"/>
                </w:rPr>
                <w:t>36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3">
              <w:r>
                <w:rPr>
                  <w:rStyle w:val="InternetLink"/>
                  <w:rFonts w:ascii="Times New Roman;serif" w:hAnsi="Times New Roman;serif"/>
                  <w:b w:val="false"/>
                  <w:color w:val="0000FF"/>
                  <w:sz w:val="20"/>
                  <w:u w:val="single"/>
                </w:rPr>
                <w:t>ITEM 9.</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63">
              <w:r>
                <w:rPr>
                  <w:rStyle w:val="InternetLink"/>
                  <w:rFonts w:ascii="Times New Roman;serif" w:hAnsi="Times New Roman;serif"/>
                  <w:b w:val="false"/>
                  <w:color w:val="0000FF"/>
                  <w:sz w:val="20"/>
                  <w:u w:val="single"/>
                </w:rPr>
                <w:t>73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6">
              <w:r>
                <w:rPr>
                  <w:rStyle w:val="InternetLink"/>
                  <w:rFonts w:ascii="Times New Roman;serif" w:hAnsi="Times New Roman;serif"/>
                  <w:b w:val="false"/>
                  <w:color w:val="0000FF"/>
                  <w:sz w:val="20"/>
                  <w:u w:val="single"/>
                </w:rPr>
                <w:t>ITEM 9A.</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6">
              <w:r>
                <w:rPr>
                  <w:rStyle w:val="InternetLink"/>
                  <w:rFonts w:ascii="Times New Roman;serif" w:hAnsi="Times New Roman;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66">
              <w:r>
                <w:rPr>
                  <w:rStyle w:val="InternetLink"/>
                  <w:rFonts w:ascii="Times New Roman;serif" w:hAnsi="Times New Roman;serif"/>
                  <w:b w:val="false"/>
                  <w:color w:val="0000FF"/>
                  <w:sz w:val="20"/>
                  <w:u w:val="single"/>
                </w:rPr>
                <w:t>73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9">
              <w:r>
                <w:rPr>
                  <w:rStyle w:val="InternetLink"/>
                  <w:rFonts w:ascii="Times New Roman;serif" w:hAnsi="Times New Roman;serif"/>
                  <w:b w:val="false"/>
                  <w:color w:val="0000FF"/>
                  <w:sz w:val="20"/>
                  <w:u w:val="single"/>
                </w:rPr>
                <w:t>ITEM 9B.</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69">
              <w:r>
                <w:rPr>
                  <w:rStyle w:val="InternetLink"/>
                  <w:rFonts w:ascii="Times New Roman;serif" w:hAnsi="Times New Roman;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69">
              <w:r>
                <w:rPr>
                  <w:rStyle w:val="InternetLink"/>
                  <w:rFonts w:ascii="Times New Roman;serif" w:hAnsi="Times New Roman;serif"/>
                  <w:b w:val="false"/>
                  <w:color w:val="0000FF"/>
                  <w:sz w:val="20"/>
                  <w:u w:val="single"/>
                </w:rPr>
                <w:t>73</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75">
              <w:r>
                <w:rPr>
                  <w:rStyle w:val="InternetLink"/>
                  <w:rFonts w:ascii="Times New Roman;serif" w:hAnsi="Times New Roman;serif"/>
                  <w:b w:val="false"/>
                  <w:color w:val="0000FF"/>
                  <w:sz w:val="20"/>
                  <w:u w:val="single"/>
                </w:rPr>
                <w:t>ITEM 9C.</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75">
              <w:r>
                <w:rPr>
                  <w:rStyle w:val="InternetLink"/>
                  <w:rFonts w:ascii="Times New Roman;serif" w:hAnsi="Times New Roman;serif"/>
                  <w:b w:val="false"/>
                  <w:color w:val="0000FF"/>
                  <w:sz w:val="20"/>
                  <w:u w:val="single"/>
                </w:rPr>
                <w:t>DISCLOSURE REGARDING FOREIGN JURISDICTIONS THAT PREVENT INSPECTIONS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75">
              <w:r>
                <w:rPr>
                  <w:rStyle w:val="InternetLink"/>
                  <w:rFonts w:ascii="Times New Roman;serif" w:hAnsi="Times New Roman;serif"/>
                  <w:b w:val="false"/>
                  <w:color w:val="0000FF"/>
                  <w:sz w:val="20"/>
                  <w:u w:val="single"/>
                </w:rPr>
                <w:t>74</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5469c3e6b14ed3b698364bd33c7bfd_178">
              <w:r>
                <w:rPr>
                  <w:rStyle w:val="InternetLink"/>
                  <w:rFonts w:ascii="Times New Roman;serif" w:hAnsi="Times New Roman;serif"/>
                  <w:b w:val="false"/>
                  <w:color w:val="0000FF"/>
                  <w:sz w:val="20"/>
                  <w:u w:val="single"/>
                </w:rPr>
                <w:t>PART III</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1">
              <w:r>
                <w:rPr>
                  <w:rStyle w:val="InternetLink"/>
                  <w:rFonts w:ascii="Times New Roman;serif" w:hAnsi="Times New Roman;serif"/>
                  <w:b w:val="false"/>
                  <w:color w:val="0000FF"/>
                  <w:sz w:val="20"/>
                  <w:u w:val="single"/>
                </w:rPr>
                <w:t>ITEM 10.</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1">
              <w:r>
                <w:rPr>
                  <w:rStyle w:val="InternetLink"/>
                  <w:rFonts w:ascii="Times New Roman;serif" w:hAnsi="Times New Roman;serif"/>
                  <w:b w:val="false"/>
                  <w:color w:val="0000FF"/>
                  <w:sz w:val="20"/>
                  <w:u w:val="single"/>
                </w:rPr>
                <w:t>DIRECTORS, EXECUTIVE OFFICERS AND CORPORATE GOVERNANCE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81">
              <w:r>
                <w:rPr>
                  <w:rStyle w:val="InternetLink"/>
                  <w:rFonts w:ascii="Times New Roman;serif" w:hAnsi="Times New Roman;serif"/>
                  <w:b w:val="false"/>
                  <w:color w:val="0000FF"/>
                  <w:sz w:val="20"/>
                  <w:u w:val="single"/>
                </w:rPr>
                <w:t>75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4">
              <w:r>
                <w:rPr>
                  <w:rStyle w:val="InternetLink"/>
                  <w:rFonts w:ascii="Times New Roman;serif" w:hAnsi="Times New Roman;serif"/>
                  <w:b w:val="false"/>
                  <w:color w:val="0000FF"/>
                  <w:sz w:val="20"/>
                  <w:u w:val="single"/>
                </w:rPr>
                <w:t>ITEM 11.</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4">
              <w:r>
                <w:rPr>
                  <w:rStyle w:val="InternetLink"/>
                  <w:rFonts w:ascii="Times New Roman;serif" w:hAnsi="Times New Roman;serif"/>
                  <w:b w:val="false"/>
                  <w:color w:val="0000FF"/>
                  <w:sz w:val="20"/>
                  <w:u w:val="single"/>
                </w:rPr>
                <w:t>EXECUTIVE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84">
              <w:r>
                <w:rPr>
                  <w:rStyle w:val="InternetLink"/>
                  <w:rFonts w:ascii="Times New Roman;serif" w:hAnsi="Times New Roman;serif"/>
                  <w:b w:val="false"/>
                  <w:color w:val="0000FF"/>
                  <w:sz w:val="20"/>
                  <w:u w:val="single"/>
                </w:rPr>
                <w:t>75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7">
              <w:r>
                <w:rPr>
                  <w:rStyle w:val="InternetLink"/>
                  <w:rFonts w:ascii="Times New Roman;serif" w:hAnsi="Times New Roman;serif"/>
                  <w:b w:val="false"/>
                  <w:color w:val="0000FF"/>
                  <w:sz w:val="20"/>
                  <w:u w:val="single"/>
                </w:rPr>
                <w:t>ITEM 12.</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87">
              <w:r>
                <w:rPr>
                  <w:rStyle w:val="InternetLink"/>
                  <w:rFonts w:ascii="Times New Roman;serif" w:hAnsi="Times New Roman;serif"/>
                  <w:b w:val="false"/>
                  <w:color w:val="0000FF"/>
                  <w:sz w:val="20"/>
                  <w:u w:val="single"/>
                </w:rPr>
                <w:t>75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0">
              <w:r>
                <w:rPr>
                  <w:rStyle w:val="InternetLink"/>
                  <w:rFonts w:ascii="Times New Roman;serif" w:hAnsi="Times New Roman;serif"/>
                  <w:b w:val="false"/>
                  <w:color w:val="0000FF"/>
                  <w:sz w:val="20"/>
                  <w:u w:val="single"/>
                </w:rPr>
                <w:t>ITEM 13.</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0">
              <w:r>
                <w:rPr>
                  <w:rStyle w:val="InternetLink"/>
                  <w:rFonts w:ascii="Times New Roman;serif" w:hAnsi="Times New Roman;serif"/>
                  <w:b w:val="false"/>
                  <w:color w:val="0000FF"/>
                  <w:sz w:val="20"/>
                  <w:u w:val="single"/>
                </w:rPr>
                <w:t>CERTAIN RELATIONSHIPS AND RELATED TRANSACTIONS AND DIRECTOR INDEPENDENCE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90">
              <w:r>
                <w:rPr>
                  <w:rStyle w:val="InternetLink"/>
                  <w:rFonts w:ascii="Times New Roman;serif" w:hAnsi="Times New Roman;serif"/>
                  <w:b w:val="false"/>
                  <w:color w:val="0000FF"/>
                  <w:sz w:val="20"/>
                  <w:u w:val="single"/>
                </w:rPr>
                <w:t>75</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3">
              <w:r>
                <w:rPr>
                  <w:rStyle w:val="InternetLink"/>
                  <w:rFonts w:ascii="Times New Roman;serif" w:hAnsi="Times New Roman;serif"/>
                  <w:b w:val="false"/>
                  <w:color w:val="0000FF"/>
                  <w:sz w:val="20"/>
                  <w:u w:val="single"/>
                </w:rPr>
                <w:t>ITEM 14.</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3">
              <w:r>
                <w:rPr>
                  <w:rStyle w:val="InternetLink"/>
                  <w:rFonts w:ascii="Times New Roman;serif" w:hAnsi="Times New Roman;serif"/>
                  <w:b w:val="false"/>
                  <w:color w:val="0000FF"/>
                  <w:sz w:val="20"/>
                  <w:u w:val="single"/>
                </w:rPr>
                <w:t>PRINCIPAL ACCOUNTANT FEES AND SERVICES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93">
              <w:r>
                <w:rPr>
                  <w:rStyle w:val="InternetLink"/>
                  <w:rFonts w:ascii="Times New Roman;serif" w:hAnsi="Times New Roman;serif"/>
                  <w:b w:val="false"/>
                  <w:color w:val="0000FF"/>
                  <w:sz w:val="20"/>
                  <w:u w:val="single"/>
                </w:rPr>
                <w:t>75</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a5469c3e6b14ed3b698364bd33c7bfd_196">
              <w:r>
                <w:rPr>
                  <w:rStyle w:val="InternetLink"/>
                  <w:rFonts w:ascii="Times New Roman;serif" w:hAnsi="Times New Roman;serif"/>
                  <w:b w:val="false"/>
                  <w:color w:val="0000FF"/>
                  <w:sz w:val="20"/>
                  <w:u w:val="single"/>
                </w:rPr>
                <w:t>PART IV</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9">
              <w:r>
                <w:rPr>
                  <w:rStyle w:val="InternetLink"/>
                  <w:rFonts w:ascii="Times New Roman;serif" w:hAnsi="Times New Roman;serif"/>
                  <w:b w:val="false"/>
                  <w:color w:val="0000FF"/>
                  <w:sz w:val="20"/>
                  <w:u w:val="single"/>
                </w:rPr>
                <w:t>ITEM 15.</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199">
              <w:r>
                <w:rPr>
                  <w:rStyle w:val="InternetLink"/>
                  <w:rFonts w:ascii="Times New Roman;serif" w:hAnsi="Times New Roman;serif"/>
                  <w:b w:val="false"/>
                  <w:color w:val="0000FF"/>
                  <w:sz w:val="20"/>
                  <w:u w:val="single"/>
                </w:rPr>
                <w:t>EXHIBITS AND FINANCIAL STATEMENT SCHEDULES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199">
              <w:r>
                <w:rPr>
                  <w:rStyle w:val="InternetLink"/>
                  <w:rFonts w:ascii="Times New Roman;serif" w:hAnsi="Times New Roman;serif"/>
                  <w:b w:val="false"/>
                  <w:color w:val="0000FF"/>
                  <w:sz w:val="20"/>
                  <w:u w:val="single"/>
                </w:rPr>
                <w:t>76</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02">
              <w:r>
                <w:rPr>
                  <w:rStyle w:val="InternetLink"/>
                  <w:rFonts w:ascii="Times New Roman;serif" w:hAnsi="Times New Roman;serif"/>
                  <w:b w:val="false"/>
                  <w:color w:val="0000FF"/>
                  <w:sz w:val="20"/>
                  <w:u w:val="single"/>
                </w:rPr>
                <w:t>ITEM 16.</w:t>
              </w:r>
            </w:hyperlink>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02">
              <w:r>
                <w:rPr>
                  <w:rStyle w:val="InternetLink"/>
                  <w:rFonts w:ascii="Times New Roman;serif" w:hAnsi="Times New Roman;serif"/>
                  <w:b w:val="false"/>
                  <w:color w:val="0000FF"/>
                  <w:sz w:val="20"/>
                  <w:u w:val="single"/>
                </w:rPr>
                <w:t>FORM 10-K SUMMARY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202">
              <w:r>
                <w:rPr>
                  <w:rStyle w:val="InternetLink"/>
                  <w:rFonts w:ascii="Times New Roman;serif" w:hAnsi="Times New Roman;serif"/>
                  <w:b w:val="false"/>
                  <w:color w:val="0000FF"/>
                  <w:sz w:val="20"/>
                  <w:u w:val="single"/>
                </w:rPr>
                <w:t>80</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a5469c3e6b14ed3b698364bd33c7bfd_205">
              <w:r>
                <w:rPr>
                  <w:rStyle w:val="InternetLink"/>
                  <w:rFonts w:ascii="Times New Roman;serif" w:hAnsi="Times New Roman;serif"/>
                  <w:b w:val="false"/>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5469c3e6b14ed3b698364bd33c7bfd_205">
              <w:r>
                <w:rPr>
                  <w:rStyle w:val="InternetLink"/>
                  <w:rFonts w:ascii="Times New Roman;serif" w:hAnsi="Times New Roman;serif"/>
                  <w:b w:val="false"/>
                  <w:color w:val="0000FF"/>
                  <w:sz w:val="20"/>
                  <w:u w:val="single"/>
                </w:rPr>
                <w:t>81</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8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for the year ended June 27, 2026 (“Annual Report”) contains forward-looking statements within the meaning of Section 27A of the Securities Act of 1933, as amended (“Securities Act”), and Section 21E of the Securities Exchange Act of 1934, as amended (“Exchange Act”), which are subject to the “safe harbor” created by those sections. Forward-looking statements reflect our current expectations and projections including those relating to the proposed merger with onsemi and expectations and projections relating to our financial condition, results of operations, plans, objectives, future performance and business, including statements regarding our anticipated business trends and growth drivers in Core IoT and Edge AI, product development and integration activities, strategic and technology investments, operational discipline, backlog, demand conditions, and capital allocation initiatives. Such statements do not relate strictly to historical or current facts and may be identified by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summarized herein and identified in the “Risk Factors,” “Management’s Discussion and Analysis of Financial Condition and Results of Operations” and “Business” sections in this Annual Report and other risks as identified from time-to-time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 including the proposed merger with onsemi.</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Statements made in this report, unless the context otherwise requires, include the use of the terms “us,” “we,” “our,” the “company” and “Synaptics” to refer to Synaptics Incorporated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Synaptics designs and delivers artificial intelligence (“AI”)-native edge solutions that bring AI closer to end users and transform how we engage with intelligent, connected devices, whether at home, at work, or on the move. We are a strategic partner for many global original equipment manufacturers (“OEM”), offering standard and custom silicon and software platforms for Edge AI, Physical AI, wireless connectivity and human interface technologies. Our Synaptics Astra™ family of processors and wireless solutions combine embedded compute, connectivity, and multimodal sensing to support intuitive, secure, and seamless experiences. Our touch, biometrics, AI-enabled wireless connectivity, video, vision, audio, and speech processing solutions support the next generation of intelligent devices that enhance how people live, work, and interact with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were initially incorporated in California in 1986 and were re-incorporated in Delaware in 2002. Our fiscal year is the 52- or 53-week period ending on the last Saturday in June. The fiscal years presented in this report are the 52-week periods ended June 27, 2026 and June 28, 2025, and the 53-week period ended June 29, 2024.</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Pending Merger with ON Semiconductor Corporation</w:t>
      </w:r>
    </w:p>
    <w:p>
      <w:pPr>
        <w:pStyle w:val="TextBody"/>
        <w:bidi w:val="0"/>
        <w:spacing w:lineRule="auto" w:line="26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25, 2026, we entered into an Agreement and Plan of Reorganization (the “Merger Agreement”), by and among Synaptics, ON Semiconductor Corporation, a Delaware corporation (“Parent” or “onsemi”), and Sonic Acquisition Corp., a Delaware corporation and wholly-owned subsidiary of Parent (“Merger Sub”), pursuant to which Merger Sub will merge with and into Synaptics (the “Merger”), with Synaptics surviving as a wholly-owned subsidiary of Parent (the “Surviving Corporation”). Subject to the terms and conditions set forth in the Merger Agreement, including approval of the Merger and the Merger Agreement at a special meeting of Synaptics stockholders, at the effective time of the Merger (the “Effective Time”), by virtue of the Merger, each share of Synaptics common stock outstanding immediately prior to the Effective Time, subject to certain limited exceptions provided in the Merger Agreement, shall be converted into the right to receive 1.350 validly issued, fully paid and non-assessable shares of onsemi common stock, par value $0.01 per share (“onsemi common stock”) (such number of shares of onsemi common stock per share of Synaptics common stock, the “Exchange Ratio,” and such consideration, the “Merger Consideration”). No fractional shares of onsemi common stock will be issued in connection with the Merger. Instead, any Synaptics stockholder who would otherwise be entitled to receive a fractional share of onsemi common stock will instead receive a cash payment (without interest) equal to such fraction multiplied by the “Average Parent Stock Price,” which is defined in the Merger Agreement as the average of the volume-weighted average trading prices per share of onsemi common stock on the Nasdaq Global Select Market on each of the five consecutive trading days ending on (and including) the trading day that is three trading days prior to the closing date (as reported by Bloomberg L.P. or another authoritative source mutually selected by the parties). The transactions contemplated by the Merger Agreement were unanimously approved by our Board of Directors, and the transaction is expected to close in mid-2027, subject to customary closing conditions, including approval by Synaptics stockholders and the receipt of required regulatory approvals.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Target Markets and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leader in human interface technologies, enabling innovative and intuitive user experiences across a wide range of intelligent devices. Our portfolio includes Edge AI processors, wireless connectivity, touch controllers, biometrics, voice, audio, and multimedia products built on extensive research and development (“R&amp;D”), a broad intellectual property portfolio and established supply chain partnerships. Designed for Physical AI and robotics, edge AI, smart home, industrial and automotive, personal computers (“PC”), and mobile applications, our solutions combine ease of use, functionality, performance and aesthetics to help make digital lives more productive, secure and enjoyable.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focus on three primary markets. Our product offerings within those target markets are as follows: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Core IoT Applications Markets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Wireless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family of wireless connectivity solutions include advanced Wi-Fi®, Bluetooth®, Bluetooth Low Energy (“BLE”), Zigbee, Thread, Matter, Global Positioning System (“GPS”), Global Navigation Satellite System (“GNSS”), and Ultra Low Energy (“ULE”) to address broad Internet of Things (“IoT”) applications. Our devices help users connect seamlessly to multiple devices, such as home automation, multimedia streamers, security sensors, surveillance cameras, wireless speakers, gaming systems, drones, printers, wearable and fitness devices, and numerous other applications requiring a wireless connection.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Edge AI Processors</w:t>
      </w:r>
    </w:p>
    <w:p>
      <w:pPr>
        <w:pStyle w:val="TextBody"/>
        <w:bidi w:val="0"/>
        <w:spacing w:lineRule="auto" w:line="276" w:before="120" w:after="283"/>
        <w:jc w:val="both"/>
        <w:rPr/>
      </w:pPr>
      <w:r>
        <w:rPr>
          <w:rFonts w:ascii="Times New Roman;serif" w:hAnsi="Times New Roman;serif"/>
          <w:b w:val="false"/>
          <w:color w:val="000000"/>
          <w:sz w:val="20"/>
          <w:shd w:fill="FFFFFF" w:val="clear"/>
        </w:rPr>
        <w:t xml:space="preserve">Our Synaptics Astra™ family of AI solutions include a scalable portfolio of intelligent edge processors designed to reduce latency, lower bandwidth usage and enhance security. Applications range from highly integrated microprocessor units (“MPU”) to high-performance microcontroller units (“MCU”) architected for AI-enabled edge systems. We also provide a standards-based open software framework, rapid prototyping kits, full-featured </w:t>
      </w:r>
      <w:r>
        <w:rPr>
          <w:rFonts w:ascii="Times New Roman;serif" w:hAnsi="Times New Roman;serif"/>
          <w:b w:val="false"/>
          <w:color w:val="000000"/>
          <w:sz w:val="20"/>
        </w:rPr>
        <w:t>AI</w:t>
      </w:r>
      <w:r>
        <w:rPr>
          <w:rFonts w:ascii="Times New Roman;serif" w:hAnsi="Times New Roman;serif"/>
          <w:b w:val="false"/>
          <w:color w:val="000000"/>
          <w:sz w:val="20"/>
          <w:shd w:fill="FFFFFF" w:val="clear"/>
        </w:rPr>
        <w:t xml:space="preserve">/machine learning </w:t>
      </w:r>
      <w:r>
        <w:rPr>
          <w:rFonts w:ascii="Times New Roman;serif" w:hAnsi="Times New Roman;serif"/>
          <w:b w:val="false"/>
          <w:color w:val="000000"/>
          <w:sz w:val="20"/>
        </w:rPr>
        <w:t>(“ML”)</w:t>
      </w:r>
      <w:r>
        <w:rPr>
          <w:color w:val="000000"/>
          <w:shd w:fill="FFFFFF" w:val="clear"/>
        </w:rPr>
        <w:t xml:space="preserve"> </w:t>
      </w:r>
      <w:r>
        <w:rPr>
          <w:rFonts w:ascii="Times New Roman;serif" w:hAnsi="Times New Roman;serif"/>
          <w:b w:val="false"/>
          <w:color w:val="000000"/>
          <w:sz w:val="20"/>
          <w:shd w:fill="FFFFFF" w:val="clear"/>
        </w:rPr>
        <w:t>toolkits and integration with Synaptics’ Wi-Fi® and Bluetooth® connectivity solutions. Our Astra Machina™ Foundation Series Modular development kits support the Synaptics SL-Series of high-performance embedded processors as well as the Synaptics Astra Machina™ Micro development kit for the SR100 Series of MCUs.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Integrated Solutions with Astra</w:t>
      </w:r>
      <w:r>
        <w:rPr>
          <w:rFonts w:ascii="Times New Roman;serif" w:hAnsi="Times New Roman;serif"/>
          <w:b w:val="false"/>
          <w:i/>
          <w:color w:val="000000"/>
          <w:sz w:val="13"/>
          <w:shd w:fill="FFFFFF" w:val="clear"/>
        </w:rPr>
        <w:t>®</w:t>
      </w:r>
      <w:r>
        <w:rPr>
          <w:rFonts w:ascii="Times New Roman;serif" w:hAnsi="Times New Roman;serif"/>
          <w:b w:val="false"/>
          <w:i/>
          <w:color w:val="000000"/>
          <w:sz w:val="20"/>
        </w:rPr>
        <w:t>, Connectivity, and Human Interface Products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By combining the AI processing power of the </w:t>
      </w:r>
      <w:r>
        <w:rPr>
          <w:rFonts w:ascii="Times New Roman;serif" w:hAnsi="Times New Roman;serif"/>
          <w:b w:val="false"/>
          <w:i/>
          <w:color w:val="000000"/>
          <w:sz w:val="20"/>
        </w:rPr>
        <w:t>Astra</w:t>
      </w:r>
      <w:r>
        <w:rPr>
          <w:rFonts w:ascii="Times New Roman;serif" w:hAnsi="Times New Roman;serif"/>
          <w:b w:val="false"/>
          <w:i/>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family with the robust wireless capabilities of the wireless connectivity portfolio and our Human Interface products, Synaptics delivers complete end-to-end solutions for intelligent, connected devices. This powerful integration enables OEMs to accelerate innovation across diverse IoT applications—such as smart home, industrial, Physical AI, robotics, consumer, and automotive—by leveraging low-latency AI processing at the edge alongside secure, seamless wireless connectivity. Whether deploying a voice-enabled smart assistant, a computer vision-enabled security device, or a multimodal sensor fusion system, developers can build faster using Synaptics’ comprehensive hardware-software platforms, including modular development kits, open software frameworks, and optimized AI/ML toolchains.</w:t>
      </w:r>
    </w:p>
    <w:p>
      <w:pPr>
        <w:pStyle w:val="TextBody"/>
        <w:bidi w:val="0"/>
        <w:spacing w:lineRule="auto" w:line="288" w:before="120" w:after="283"/>
        <w:jc w:val="both"/>
        <w:rPr/>
      </w:pPr>
      <w:r>
        <w:rPr>
          <w:rFonts w:ascii="Times New Roman;serif" w:hAnsi="Times New Roman;serif"/>
          <w:b w:val="false"/>
          <w:color w:val="000000"/>
          <w:sz w:val="20"/>
          <w:u w:val="single"/>
          <w:shd w:fill="FFFFFF" w:val="clear"/>
        </w:rPr>
        <w:t>Enterprise and Automotive Applic</w:t>
      </w:r>
      <w:r>
        <w:rPr>
          <w:rFonts w:ascii="Times New Roman;serif" w:hAnsi="Times New Roman;serif"/>
          <w:b w:val="false"/>
          <w:color w:val="000000"/>
          <w:sz w:val="20"/>
          <w:u w:val="single"/>
        </w:rPr>
        <w:t>ations Markets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Biometric Fingerprint</w:t>
      </w:r>
    </w:p>
    <w:p>
      <w:pPr>
        <w:pStyle w:val="TextBody"/>
        <w:bidi w:val="0"/>
        <w:spacing w:lineRule="auto" w:line="288" w:before="120" w:after="283"/>
        <w:jc w:val="both"/>
        <w:rPr/>
      </w:pPr>
      <w:r>
        <w:rPr>
          <w:rFonts w:ascii="Times New Roman;serif" w:hAnsi="Times New Roman;serif"/>
          <w:b w:val="false"/>
          <w:color w:val="000000"/>
          <w:sz w:val="20"/>
        </w:rPr>
        <w:t>Our Natural ID</w:t>
      </w:r>
      <w:r>
        <w:rPr>
          <w:rFonts w:ascii="Times New Roman;serif" w:hAnsi="Times New Roman;serif"/>
          <w:b w:val="false"/>
          <w:i/>
          <w:color w:val="000000"/>
          <w:sz w:val="13"/>
          <w:shd w:fill="FFFFFF" w:val="clear"/>
        </w:rPr>
        <w:t>®</w:t>
      </w:r>
      <w:r>
        <w:rPr>
          <w:color w:val="000000"/>
        </w:rPr>
        <w:t xml:space="preserve"> </w:t>
      </w:r>
      <w:r>
        <w:rPr>
          <w:rFonts w:ascii="Times New Roman;serif" w:hAnsi="Times New Roman;serif"/>
          <w:b w:val="false"/>
          <w:color w:val="000000"/>
          <w:sz w:val="20"/>
        </w:rPr>
        <w:t>family of capacitive-based fingerprint identification products is designed to support security and user convenience across a wide range of devices, including notebook PCs, peripherals and automobiles. Natural ID</w:t>
      </w:r>
      <w:r>
        <w:rPr>
          <w:rFonts w:ascii="Times New Roman;serif" w:hAnsi="Times New Roman;serif"/>
          <w:b w:val="false"/>
          <w:i/>
          <w:color w:val="000000"/>
          <w:sz w:val="13"/>
          <w:shd w:fill="FFFFFF" w:val="clear"/>
        </w:rPr>
        <w:t>®</w:t>
      </w:r>
      <w:r>
        <w:rPr>
          <w:color w:val="000000"/>
        </w:rPr>
        <w:t xml:space="preserve"> </w:t>
      </w:r>
      <w:r>
        <w:rPr>
          <w:rFonts w:ascii="Times New Roman;serif" w:hAnsi="Times New Roman;serif"/>
          <w:b w:val="false"/>
          <w:color w:val="000000"/>
          <w:sz w:val="20"/>
        </w:rPr>
        <w:t>is designed for seamless integration into end products and is available in multiple form factors, colors and materials. These options give manufacturers the flexibility to position sensors on the front, back or side of devices in ways that support security, usability, and alignment with their aesthetic and functional design goals.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Video Interface</w:t>
      </w:r>
    </w:p>
    <w:p>
      <w:pPr>
        <w:pStyle w:val="TextBody"/>
        <w:bidi w:val="0"/>
        <w:spacing w:lineRule="auto" w:line="276" w:before="120" w:after="283"/>
        <w:jc w:val="both"/>
        <w:rPr/>
      </w:pPr>
      <w:r>
        <w:rPr>
          <w:rFonts w:ascii="Times New Roman;serif" w:hAnsi="Times New Roman;serif"/>
          <w:b w:val="false"/>
          <w:color w:val="000000"/>
          <w:sz w:val="20"/>
        </w:rPr>
        <w:t>Our video interface solutions—featuring DisplayLink</w:t>
      </w:r>
      <w:r>
        <w:rPr>
          <w:rFonts w:ascii="Times New Roman;serif" w:hAnsi="Times New Roman;serif"/>
          <w:b w:val="false"/>
          <w:color w:val="000000"/>
          <w:sz w:val="13"/>
        </w:rPr>
        <w:t xml:space="preserve">® </w:t>
      </w:r>
      <w:r>
        <w:rPr>
          <w:rFonts w:ascii="Times New Roman;serif" w:hAnsi="Times New Roman;serif"/>
          <w:b w:val="false"/>
          <w:color w:val="000000"/>
          <w:sz w:val="20"/>
        </w:rPr>
        <w:t>and DisplayPort</w:t>
      </w:r>
      <w:r>
        <w:rPr>
          <w:rFonts w:ascii="Times New Roman;serif" w:hAnsi="Times New Roman;serif"/>
          <w:b w:val="false"/>
          <w:i/>
          <w:color w:val="000000"/>
          <w:sz w:val="13"/>
          <w:shd w:fill="FFFFFF" w:val="clear"/>
        </w:rPr>
        <w:t>®</w:t>
      </w:r>
      <w:r>
        <w:rPr>
          <w:color w:val="000000"/>
        </w:rPr>
        <w:t xml:space="preserve"> </w:t>
      </w:r>
      <w:r>
        <w:rPr>
          <w:rFonts w:ascii="Times New Roman;serif" w:hAnsi="Times New Roman;serif"/>
          <w:b w:val="false"/>
          <w:color w:val="000000"/>
          <w:sz w:val="20"/>
        </w:rPr>
        <w:t>portfolio—are designed to simplify connectivity to external displays while maintaining broad compatibility and performance. Supporting the latest versions of major protocols, connectors and operating systems, our solutions help manufacturers with flexibility to enable seamless, high-quality video experiences across a wide range of devices. Application for these devices is broadening beyond PC peripherals into new categories such as humanoids, robotics, and extended reality.</w:t>
      </w:r>
    </w:p>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Robotics and Physical AI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Our Touch controller solutions bring human-like touch capabilities to robotics and humanoid use cases. By combining high-sensitivity capacitive sensing with real-time Edge AI processing delivered by the Synaptics Astra™ processor platform, our solutions enable a range of interactions, from detecting subtle textures to securely gripping delicate or heavy objects. Additionally, our high-speed interface technology helps transmit high-quality video with low latency and is designed to support 4K displays for robotics and humanoid applications.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Automotive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innovative solutions, including integrated touch and display, local dimming and driver sensing technologies, are designed to help manufacturers create smarter, more intuitive user experiences. These technologies enable sleeker designs, enhanced visual performance and improved driver awareness and safety, helping manufacturers deliver feature-rich products that may offer a competitive advantage and improved user experiences.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Mobile Applications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 more than 500 touch-related patents and full support for next-generation organic light emitting diode (“OLED”) technologies, Synaptics offers advanced touch solutions for mobile applications. Our technology is designed to deliver responsive, high-performance touch experiences that enhance device usability, support cutting-edge displays and elevate the user experience across smartphones, tablets and more.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strategic opportunities regularly and, where appropriate, may acquire additional businesses, products or technologies that broaden the markets for our target markets and products. Over the past few years, we have completed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number of acquisitions that have enabled us to acquire technologies that have allowed us to expand upon our portfolio of products and enter various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January 2025, we acquired certain assets and obtained non-exclusive licenses relating to Broadcom Inc.’s (“Broadcom”) Wi-Fi technology. This transaction is intended to accelerate our Edge AI strategy and next-generation products and technology for the IoT markets. The acquired assets primarily include non-exclusive licenses to three developed technology products and the right to obtain licenses for eight roadmap technology intangible assets expected to be delivered at various dates through May 2028. In connection with this transaction, we also acquired certain employees from Broadcom. The expected strategic benefits of this transaction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Accelerates Edge AI strategy</w:t>
      </w:r>
      <w:r>
        <w:rPr>
          <w:rFonts w:ascii="Times New Roman;serif" w:hAnsi="Times New Roman;serif"/>
          <w:b w:val="false"/>
          <w:color w:val="000000"/>
          <w:sz w:val="20"/>
        </w:rPr>
        <w:t>: Enhances our ability to deliver end-to-end AI and IoT connectivity solutions for edge devices.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Expands our wireless product roadmap: </w:t>
      </w:r>
      <w:r>
        <w:rPr>
          <w:rFonts w:ascii="Times New Roman;serif" w:hAnsi="Times New Roman;serif"/>
          <w:b w:val="false"/>
          <w:color w:val="000000"/>
          <w:sz w:val="20"/>
        </w:rPr>
        <w:t>Adds Wi-Fi 8 combo, GPS, GNSS, and Wi-Fi 7 combo products to strengthen our wireless portfolio over the next five years.</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Increases addressable market</w:t>
      </w:r>
      <w:r>
        <w:rPr>
          <w:rFonts w:ascii="Times New Roman;serif" w:hAnsi="Times New Roman;serif"/>
          <w:b w:val="false"/>
          <w:color w:val="000000"/>
          <w:sz w:val="20"/>
        </w:rPr>
        <w:t>: Expands serviceable wireless market to include augmented and virtual reality (AR/VR) platforms, Android</w:t>
      </w:r>
      <w:r>
        <w:rPr>
          <w:rFonts w:ascii="Times New Roman;serif" w:hAnsi="Times New Roman;serif"/>
          <w:b w:val="false"/>
          <w:i/>
          <w:color w:val="000000"/>
          <w:sz w:val="13"/>
          <w:shd w:fill="FFFFFF" w:val="clear"/>
        </w:rPr>
        <w:t>®</w:t>
      </w:r>
      <w:r>
        <w:rPr>
          <w:color w:val="000000"/>
        </w:rPr>
        <w:t xml:space="preserve"> </w:t>
      </w:r>
      <w:r>
        <w:rPr>
          <w:rFonts w:ascii="Times New Roman;serif" w:hAnsi="Times New Roman;serif"/>
          <w:b w:val="false"/>
          <w:color w:val="000000"/>
          <w:sz w:val="20"/>
        </w:rPr>
        <w:t>smartphones and consumer audio.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Strengthens wireless engineering team</w:t>
      </w:r>
      <w:r>
        <w:rPr>
          <w:rFonts w:ascii="Times New Roman;serif" w:hAnsi="Times New Roman;serif"/>
          <w:b w:val="false"/>
          <w:color w:val="000000"/>
          <w:sz w:val="20"/>
        </w:rPr>
        <w:t>: Adds experienced wireless engineering talent and technical capabilities to advance our wireless R&amp;D initiatives.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“Part II – Item 8. Financial Statements and Supplementary Data – Notes to Consolidated Financial Statements – Note 4. Business Combinations and Asset Acquisitions” for additional information on our acquisitions.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our investments in product technologies, we will continue to enhance our position as a leading supplier of premium semiconductor product solutions for each of the target markets in which we operate. Key aspects of our strategy to achieve this objective include those set forth below:</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Extend Our Technological Leadership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capitalize on our extensive intellectual property portfolio, engineering know-how and technological expertise to extend the functionality of our product solutions and offer new and differentiated product solutions to customers across multiple markets. We intend to continue utilizing our technological expertise to reduce the overall size, cost and power consumption of our product solutions while increasing their applications, capabilities and performance.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Grow in the Edge AI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AI moves from the data center to the edge, we intend to capitalize on this trend and the growth of the market, including connectivity and processor solutions, AI-native edge applications, Physical AI, robotics, industrial, extended reality and wearables. We will build upon our existing innovative, intuitive and intelligent semiconductor product solutions portfolio and continue to address the evolving portability, connectivity, security and functionality requirements of these new markets. We will offer our solutions to existing and potential customers to enable increased functionality, reduced size, lower cost, simplified security, enhanced industrial design features and to expand the user experience of our OEMs’ products. We plan to use our existing technologies, as well as proactively pursue new technologies as new markets evolve, demanding new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driving transformation across applications with the use of AI. Our solutions help customers to integrate AI into their Edge devices and applications. Since 2017, Synaptics has developed products with integrated neural processing engines to help customers in advancing their AI capabilities. We intend to capitalize on the Edge AI and Physical AI opportunities with our processor solutions.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Pursue Strategic Relationships and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develop and expand our strategic relationships to enhance our ability to offer value-added semiconductor product solutions to our customers, penetrate new markets and strengthen the technological leadership of our product solutions. Subject to the restrictions and consent requirements under our Merger Agreement with onsemi during the interim period of the pending transaction, we also intend to evaluate potential acquisitions of companies and assets to expand our technological expertise and to establish or strengthen our presence and product offerings in selected target markets.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Fabless Semiconductor Manufacturing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fabless semiconductor manufacturing strategy allows us to maintain a variable cost model in which we do not incur most of our manufacturing costs until our product solutions have been shipped and invoiced to our customers.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ongoing R&amp;D programs that focus on advancing our existing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R&amp;D programs focus on the development of accurate, easy-to-use, reliable and intuitive human experiences for electronic devices. Our interface technologies are designed to enhance a diverse array of products, and we believe the interface is a key factor in the differentiation of many of our products. Edge AI is a focus area for us in enabling improved performance and enhanced user experience in many of these products. We believe our technologies enable us to provide customers with product solutions that offer advantages over alternative technologies in terms of functionality, size, power consumption, durability and reliability. We also intend to pursue strategic relationships and acquisitions to enhance our R&amp;D capabilities, leverage our technology and shorten our time to market with new technological applications.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research, design and engineering teams frequently work directly with our customers to design solutions for specific applications. We focus on enabling our customers to overcome technical barriers and improve the performance of their products. We believe our engineering know-how and electronic systems expertise provide meaningful benefits to our customers by enabling them to concentrate on their core competencies of production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R&amp;D activities in the United States with additional design and development teams located in various countries that perform specific activities under the direction of our U.S. headquarters.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include many of the world’s largest mobile and PC OEMs, based on unit shipments, as well as many large Edge AI IoT OEMs, automotive manufacturers and a variety of consumer electronics manufacturers. Our demonstrated track record of technological leadership, design innovation, product performance, cost-effectiveness and on-time deliveries has contributed to our position as a go-to supplier of human experience semiconductor product solutions. We believe our strong relationship with our OEM customers, many of which are also currently developing product solutions, aligned with our target markets, will continue to position us as a preferred partner.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supply our products to OEMs through their contract manufacturers and original design manufacturers (“ODM”), supply chain partners or distributors. 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semiconductor product solutions in their products. The contract manufacturers and distributors place product purchase orders with us, take title to the products upon delivery and pay us directly for those purchases. The majority of these customers do not have return rights except under applicable warranty provisions.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due to the highly technical nature of our product solutions. Sales frequently result from multi-level engagements that involve our senior management, design engineers and sales personnel interacting with our customers’ decision makers throughout the product development and order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“Part II – Item 8. Financial Statements and Supplementary Data – Notes to Consolidated Financial Statements – Note 17. Revenue” for additional information on revenue by geographic location and product category.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employ a fabless semiconductor manufacturing platform through third-party relationships. We currently utilize third-party semiconductor wafer manufacturers to supply silicon wafers integrating our proprietary design specifications. The completed silicon wafers are forwarded to third-party package and test processors for further processing into die and packaged ASICs, as applicable, which are then used in our custom module products or offered as an ASIC-based 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After processing and testing, the die and ASICs are consigned to various contract manufacturers for assembly or shipped directly to our customers. During the assembly process, our die or ASIC is either combined with other components to complete the module for our custom product solutions or the ASIC is maintained as a standalone finished good. The finished assembled product is subsequently shipped directly to our customers or to our contract manufacturers for integration into their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third-party contract manufacturers and semiconductor fabricators are predominantly Asia-based organizations. We generally provide our contract manufacturers with six-month rolling forecasts of our production requirements. As a result of past supply constraints and capacity shortages affecting the global semiconductor industry, we entered into long-term capacity and pricing agreements with certain suppliers. Our reliance on these parties exposes us to vulnerability owing to our dependence on a few sources of supply. In some cases, we have alternative sources of supply to mitigate supplier risk. We may establish relationships with other contract manufacturers to reduce our dependence on any single source of supply.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Periodically, we purchase inventory from our contract manufacturers when a customer delays its delivery schedule or cancels its order. In such circumstances,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the estimated losses on inventory we are obligated to purchase from our contract manufacturers when such losses become probable from customer delays or order cancellations. In addition, the impact of entering into long-term capacity agreements could create a significant inventory write-down if the end customer demand substantially declines.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compete against many global and local companies. To win, we focus on delivering exactly what our customers need: top-quality products, advanced technology, strong technical support, flexible global delivery, reliable supply and competitive pricing. Across our product end markets, our principal competitors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Processor manufacturers – MPU and MCU makers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Wireless connectivity providers – Wi-Fi, Bluetooth, BLE, Zigbee, Thread, ULE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Touch sensor and IC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Providers of systems on modules and single board computers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Semiconductor and subsystem manufacturers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Embedded computing platforms and systems providers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in part on our ability to maintain the proprietary aspects of our technologies and products. We pursue an active intellectual property strategy designed to support innovation, protect competitive advantage and enable strategic collaborations.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2026, we held 2,344 active patents and 661 pending patent applications worldwide that expire between 2026 and 2046. Collectively, these patents and patent applications cover various aspects of our key technologies, including those for touch sensing, voice processing, secure biometrics, display drivers, touch and display integration, docks and adapters, video interfaces, wired and wireless connectivity, audio processing, video processing, edge computing, open AI tools and computer vision. Our proprietary firmware and software, including source code, are protected by copyright laws and trade secret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technology portfolio spans ICs, firmware, software and mechanical hardware. The combination of these technologies within our products, along with the complexity of customer-specific customizations and the length of design cycles, provides a further barrier to replication and unauthorized use.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rely on a combination of patents, trademarks, copyrights, trade secrets, confidentiality agreements and other legal and contractual protections, no single measure offers complete assurance and these measures may provide only limited protection. Accordingly, we continuously evaluate our IP protections and practices to safeguard our innovation assets in a dynamic global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Human Capital and Workforce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company is built on the collective contributions of employees from many countries, religions and ethnic backgrounds. People are our most critical asset and the core component behind our success. We aim to attract, develop, retain and motivate the world’s best talent. As of June 2026, we employed approximately 1,700 employees. Our workforce is distributed globally across 15 countries with 21% of our employees located in North America, 70% located in Asia Pacific and 9% located in Europe and the Middle East. Our company attributes differentiate us in the market and have resulted in a lower voluntary attrition rate relative to benchmark data and a higher retention rate in fiscal 2026. Our employee average tenure globally is approximately nine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and its committees provide oversight on specific workforce management matters including leadership development, management depth and strength, people engagement and inclusion, and our employee experience survey results. The Audit Committee is responsible for monitoring our business risks and our company’s Code of Conduct. The Nominations and Corporate Governance Committee oversees our Corporate, Governance and Sustainability (“CGS”) strategy, including talent attraction, retention and inclusion and belonging. The Compensation Committee provides oversight of our overall compensation philosophy, policies and programs and assesses whether our compensation establishes appropriate incentives for executive officers and other employees.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Competitive Compensation and Benefits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competitive benefits related to health, wellness, mental health and family resources designed to meet the needs of our diverse global workforce. Our robust pay for performance philosophy and compensation framework reward high performance. We align executive compensation with our corporate strategies, business objectives and the creation of long-term value for our stockholders without encouraging unnecessary or excessive risk-taking.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committed to proactively caring for the well-being of our employees in an engaging and meaningful way. The majority of our workforce participated in health and wellness related events last year, such as global virtual runs and challenges, promoting healthy behavior while raising money for local charities. In fiscal 2026 we added Unplugged Days for all employees to take the day off and create the opportunity to rest and recharge simultaneously. We also provided opportunities for employees to donate or volunteer their time through various philanthropic programs and events, including a Global Day of Impact in which more than 1,000 employees volunteered in their local communities. Additionally, we supplemented our wellbeing platform that provides access to various physical and mental health resources with an additional global benefit providing access to individualized coaching and therapy. We continuously provide team building and well-being activities onsite in our global offices.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 organizational health surveys designed to assess employee engagement, leadership, work environment and culture. We held an average response rate of 92% for fiscal 2026, which we view as indicative of a high-level of employee engagement.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invest in our employees and their professional development by providing opportunities to learn through technical, compliance and other professional training, including through semi-annual development conversations between employees and managers to ensure employees have individualized career discussions that align both with organizational and professional development goals. We make customized learning pathways available through a global platform where all employees can take courses to grow their skill sets. With an added focus on developing our leaders, our people managers received additional focused resources and training.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ensure we are building leadership strength and capabilities for the future, we have robust talent assessment discussions where high-performing and high potential employees are identified for future growth opportunities as well as succession planning for future critical leadership 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strive to provide a rich and inclusive environment that values a wide array of skills, backgrounds and perspectives. Our goal is to cultivate an environment that allows for and encourages all employees to collaborate and participate equally to foster individual and company growth and innovation. As of June 2026, 19% of global employees, 21% of senior executive leadership positions and 33% of our Board of Directors identified as female. We continue to invest in programs that foster a respectful, inclusive and collaborative work environment that reflect the diverse cultural backgrounds represented in our global offices.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Corporate Responsibility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committed to being a responsible corporate citizen and to maintaining the highest ethical standards in our business practices. We believe that sustainable operations and consistent attention to CGS priorities support long-term stockholder value and reinforce the resiliency of our business. Our Board of Directors and management team integrate CGS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considerations into strategy, financial planning and risk management to promote transparency, accountability and informed decision-making.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our environmental efforts, we have implemented company-wide initiatives to reduce our natural resource consumption, minimize waste, promote reuse and recycling and dispose of end-of-life products in an environmentally safe manner.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Within our supply chain, we have adopted a supplier and vendor code of conduct and require our business partners to comply with and support the Responsible Business Alliance (RBA) Code of Conduct. Our vendors and suppliers are also required to obtain and maintain all required health and safety permits, provide reasonable working and living conditions and implement incident management systems and emergency preparedness protocols.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Oversight of CGS matters is embedded at the Board level. The Nominations and Corporate Governance Committee has oversight of CGS strategy and receives regular reports from management on progress and performance. The Audit Committee oversees our broader business risks and our company’s Code of Conduct. Our Board of Directors receives periodic updates from Nominations and Corporate Governance Committee and management on our CGS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executive officers as of August 10, 2026:</w:t>
      </w:r>
    </w:p>
    <w:tbl>
      <w:tblPr>
        <w:tblW w:w="10205" w:type="dxa"/>
        <w:jc w:val="left"/>
        <w:tblInd w:w="0" w:type="dxa"/>
        <w:tblLayout w:type="fixed"/>
        <w:tblCellMar>
          <w:top w:w="28" w:type="dxa"/>
          <w:left w:w="28" w:type="dxa"/>
          <w:bottom w:w="28" w:type="dxa"/>
          <w:right w:w="28" w:type="dxa"/>
        </w:tblCellMar>
      </w:tblPr>
      <w:tblGrid>
        <w:gridCol w:w="544"/>
        <w:gridCol w:w="479"/>
        <w:gridCol w:w="483"/>
        <w:gridCol w:w="109"/>
        <w:gridCol w:w="109"/>
        <w:gridCol w:w="109"/>
        <w:gridCol w:w="145"/>
        <w:gridCol w:w="145"/>
        <w:gridCol w:w="146"/>
        <w:gridCol w:w="109"/>
        <w:gridCol w:w="109"/>
        <w:gridCol w:w="109"/>
        <w:gridCol w:w="2258"/>
        <w:gridCol w:w="2205"/>
        <w:gridCol w:w="3146"/>
      </w:tblGrid>
      <w:tr>
        <w:trPr/>
        <w:tc>
          <w:tcPr>
            <w:tcW w:w="54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2"/>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Position</w:t>
            </w:r>
          </w:p>
        </w:tc>
      </w:tr>
      <w:tr>
        <w:trPr/>
        <w:tc>
          <w:tcPr>
            <w:tcW w:w="15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Rahul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Lisa Bodensteiner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and Secretary</w:t>
            </w:r>
          </w:p>
        </w:tc>
      </w:tr>
      <w:tr>
        <w:trPr/>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Satish Ganesan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General Manager of Edge Interface and Sensing Division and Chief Strategy Officer </w:t>
            </w:r>
          </w:p>
        </w:tc>
      </w:tr>
      <w:tr>
        <w:trPr/>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Vikram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and General Manager, Edge Compute and Connectivity Division and Chief Product Officer</w:t>
            </w:r>
          </w:p>
        </w:tc>
      </w:tr>
      <w:tr>
        <w:trPr/>
        <w:tc>
          <w:tcPr>
            <w:tcW w:w="15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Ken Rizvi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tc>
      </w:tr>
    </w:tbl>
    <w:p>
      <w:pPr>
        <w:pStyle w:val="TextBody"/>
        <w:bidi w:val="0"/>
        <w:spacing w:lineRule="auto" w:line="288" w:before="120" w:after="283"/>
        <w:jc w:val="both"/>
        <w:rPr/>
      </w:pPr>
      <w:r>
        <w:rPr>
          <w:rFonts w:ascii="Times New Roman;serif" w:hAnsi="Times New Roman;serif"/>
          <w:b w:val="false"/>
          <w:i/>
          <w:color w:val="000000"/>
          <w:sz w:val="20"/>
        </w:rPr>
        <w:t>Rahul Patel</w:t>
      </w:r>
      <w:r>
        <w:rPr>
          <w:color w:val="000000"/>
        </w:rPr>
        <w:t xml:space="preserve"> </w:t>
      </w:r>
      <w:r>
        <w:rPr>
          <w:rFonts w:ascii="Times New Roman;serif" w:hAnsi="Times New Roman;serif"/>
          <w:b w:val="false"/>
          <w:color w:val="000000"/>
          <w:sz w:val="20"/>
        </w:rPr>
        <w:t>has been the President and Chief Executive Officer since June 2, 2025. Prior to joining our company, Mr. Patel held senior leadership positions at Qualcomm Technologies Inc., a subsidiary of Qualcomm Incorporated, since May of 2015. He most recently served as Group General Manager, Connectivity, Broadband &amp; Networking Group from December 2023 to May 2025 and previously as Senior Vice President and General Manager, Connectivity, Broadband &amp; Networking Group from May 2015 through December 2023. Prior to Qualcomm, Mr. Patel held various leadership positions at Broadcom Corporation Inc. from 2002 through May 2015, serving in his last role as Senior Vice President and General Manager, Wireless Connectivity Group. Prior to Broadcom, Mr. Patel served in various engineering and business leadership roles at HIFN, Inc., Samsung Semiconductor, Tritech Microelectronics and EPSON/S-MOS Systems. Additionally, since 2019, Mr. Patel has served as a member of the board of directors and as a member of the corporate governance and nominating committee, the audit committee and as chair of the compensation committee, of Energous Corporation, a developer of scalable, over-the-air wireless power networks. Mr. Patel holds an M.B.A. from Santa Clara University, an M.S. in Computer Science and Engineering from Arizona State University and a B. Tech in Electronics and Communications Engineering from National Institute of Technology in Warangal, India.</w:t>
      </w:r>
    </w:p>
    <w:p>
      <w:pPr>
        <w:pStyle w:val="TextBody"/>
        <w:bidi w:val="0"/>
        <w:spacing w:lineRule="auto" w:line="288" w:before="120" w:after="283"/>
        <w:jc w:val="both"/>
        <w:rPr/>
      </w:pPr>
      <w:r>
        <w:rPr>
          <w:rFonts w:ascii="Times New Roman;serif" w:hAnsi="Times New Roman;serif"/>
          <w:b w:val="false"/>
          <w:i/>
          <w:color w:val="000000"/>
          <w:sz w:val="20"/>
        </w:rPr>
        <w:t>Lisa Bodensteiner</w:t>
      </w:r>
      <w:r>
        <w:rPr>
          <w:color w:val="000000"/>
        </w:rPr>
        <w:t xml:space="preserve"> </w:t>
      </w:r>
      <w:r>
        <w:rPr>
          <w:rFonts w:ascii="Times New Roman;serif" w:hAnsi="Times New Roman;serif"/>
          <w:b w:val="false"/>
          <w:color w:val="000000"/>
          <w:sz w:val="20"/>
        </w:rPr>
        <w:t>has been Senior Vice President, Chief Legal Officer and Secretary since November 2023. Prior to joining our company, Ms. Bodensteiner was Executive Vice President, Chief Legal Officer, Compliance Officer and Corporate Secretary of Plantronics, Inc. (“Poly”) from October 2020 to October 2022. Ms. Bodensteiner served as a Principal of MDAC, LLC, a family-owned real estate company, from June 2016 to October 2020, and Executive Vice President, General Counsel and Chief Compliance Officer at SunPower Corporation, a global energy company and provider of solar power solutions, from June 2012 to May 2016. Before joining SunPower, Ms. Bodensteiner held key executive roles at First Solar, Inc. from April 2009 to June 2012 and OptiSolar Inc., where she was also on the leadership team, from October 2007 to April 2009. She also served as Executive Vice President, General Counsel, Secretary and Chief Compliance Officer at Calpine Corporation from February 1996 to April 2006. Ms. Bodensteiner holds a Juris Doctor degree from Santa Clara University School of Law and a Bachelor of Science in Business Administration in Accounting from the University of Nevada.</w:t>
      </w:r>
    </w:p>
    <w:p>
      <w:pPr>
        <w:pStyle w:val="TextBody"/>
        <w:bidi w:val="0"/>
        <w:spacing w:lineRule="auto" w:line="288" w:before="120" w:after="283"/>
        <w:jc w:val="both"/>
        <w:rPr/>
      </w:pPr>
      <w:r>
        <w:rPr>
          <w:rFonts w:ascii="Times New Roman;serif" w:hAnsi="Times New Roman;serif"/>
          <w:b w:val="false"/>
          <w:i/>
          <w:color w:val="000000"/>
          <w:sz w:val="20"/>
        </w:rPr>
        <w:t>Satish Ganesan</w:t>
      </w:r>
      <w:r>
        <w:rPr>
          <w:color w:val="000000"/>
        </w:rPr>
        <w:t xml:space="preserve"> </w:t>
      </w:r>
      <w:r>
        <w:rPr>
          <w:rFonts w:ascii="Times New Roman;serif" w:hAnsi="Times New Roman;serif"/>
          <w:b w:val="false"/>
          <w:color w:val="000000"/>
          <w:sz w:val="20"/>
        </w:rPr>
        <w:t xml:space="preserve">has been the Senior Vice President and General Manager of Edge Interface and Sensing Division since January 2026. Mr. Ganesan was the Senior Vice President and General Manager of Intelligent Sensing Division until December 2025. Mr. Ganesan joined Synaptics in November 2019 as our Chief Strategy Officer. Prior to joining our company, Mr. Ganesan served as Chief Product Officer of Keyssa Inc., a wireless startup focused on short range connectivity, from May 2017 to October 2018. Before that, he held several executive positions focused on IoT and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strategy and product marketing at Broadcom Limited from August 2007 to November 2010 and January 2014 to February 2016. He also served as Director, Product Management &amp; Product Marketing at Tilera Corporation from December 2011 to December 2013. He spent his early career in various engineering roles at Xilinx and holds more than 10 US patents. Mr. Ganesan received his Bachelor of Science in Electrical and Electronics Engineering from BITS, India and his Master of Science in Computer Engineering from the University of Cincinnati.</w:t>
      </w:r>
    </w:p>
    <w:p>
      <w:pPr>
        <w:pStyle w:val="TextBody"/>
        <w:bidi w:val="0"/>
        <w:spacing w:lineRule="auto" w:line="288" w:before="120" w:after="283"/>
        <w:jc w:val="both"/>
        <w:rPr/>
      </w:pPr>
      <w:r>
        <w:rPr>
          <w:rFonts w:ascii="Times New Roman;serif" w:hAnsi="Times New Roman;serif"/>
          <w:b w:val="false"/>
          <w:i/>
          <w:color w:val="000000"/>
          <w:sz w:val="20"/>
        </w:rPr>
        <w:t>Vikram Gupta</w:t>
      </w:r>
      <w:r>
        <w:rPr>
          <w:color w:val="000000"/>
        </w:rPr>
        <w:t xml:space="preserve"> </w:t>
      </w:r>
      <w:r>
        <w:rPr>
          <w:rFonts w:ascii="Times New Roman;serif" w:hAnsi="Times New Roman;serif"/>
          <w:b w:val="false"/>
          <w:color w:val="000000"/>
          <w:sz w:val="20"/>
        </w:rPr>
        <w:t>has been the Senior Vice President and General Manager of Edge Compute and Connectivity Division since January 2026. Mr. Gupta was the Senior Vice President and General Manager of IoT Processors Division until December 2025. Prior to joining Synaptics, Mr. Gupta was the SVP and GM of IoT Compute and Wireless Business Lines for Infineon Technologies, a manufacturer of semiconductor solutions, from April 2020 to November 2022, where he led the integration and transformation efforts for the over $1.0 billion multi-site business with three product lines following Infineon’s acquisition of Cypress Semiconductor, where he served as VP of Engineering of the IoT Business Unit from 2016 to 2019 and SVP and GM of the IoT Business Unit from 2019 to 2020. Prior to Cypress Semiconductor, Mr. Gupta navigated a progressive tenure with Broadcom, advancing in leadership and responsibility across both engineering and business. Earlier in his career he was a co-founder of Zeevo, a developer of SOC solutions for Bluetooth and other wireless communications applications, which was ultimately purchased by Broadcom. He holds a Bachelor’s degree in Electrical and Electronics Engineering from Birla Institute of Technology &amp; Science in India and a Master’s Degree in Electrical Engineering from the University of Hawaii at Manoa.</w:t>
      </w:r>
    </w:p>
    <w:p>
      <w:pPr>
        <w:pStyle w:val="TextBody"/>
        <w:bidi w:val="0"/>
        <w:spacing w:lineRule="auto" w:line="288" w:before="120" w:after="283"/>
        <w:jc w:val="both"/>
        <w:rPr/>
      </w:pPr>
      <w:r>
        <w:rPr>
          <w:rFonts w:ascii="Times New Roman;serif" w:hAnsi="Times New Roman;serif"/>
          <w:b w:val="false"/>
          <w:i/>
          <w:color w:val="000000"/>
          <w:sz w:val="20"/>
        </w:rPr>
        <w:t>Ken Rizvi</w:t>
      </w:r>
      <w:r>
        <w:rPr>
          <w:color w:val="000000"/>
        </w:rPr>
        <w:t xml:space="preserve"> </w:t>
      </w:r>
      <w:r>
        <w:rPr>
          <w:rFonts w:ascii="Times New Roman;serif" w:hAnsi="Times New Roman;serif"/>
          <w:b w:val="false"/>
          <w:color w:val="000000"/>
          <w:sz w:val="20"/>
        </w:rPr>
        <w:t>has been the Chief Financial Officer of our company since July 15, 2024. Prior to joining our company, Mr. Rizvi served as Senior Vice President and Chief Financial Officer of Penguin Solutions, Inc. (previously named SMART Global Holdings), a company that designs, builds, deploys and manages high-performance, high-availability enterprise solutions for its customers, from February 2021 to June 2024. Prior to joining Penguin Solutions, Mr. Rizvi served as Senior Vice President and Chief Financial Officer of UTAC Holdings Ltd., a global semiconductor assembly and test services provider, from June 2018 until February 2021. He served as Senior Vice President and Chief Financial Officer at Isola Group, a global materials sciences company, from August 2016 to June 2018. Prior to Isola, Mr. Rizvi held senior leadership roles at Micron Technology, Inc. and onsemi. He has also served as an associate with Technology Crossover Ventures and as an investment banker at Morgan Stanley. Mr. Rizvi holds an Executive Master of Business Administration from the W.P. Carey School of Business at Arizona State University and a Bachelor of Arts in Economics from Yale University.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jc w:val="both"/>
        <w:rPr/>
      </w:pPr>
      <w:r>
        <w:rPr>
          <w:rFonts w:ascii="Times New Roman;serif" w:hAnsi="Times New Roman;serif"/>
          <w:b w:val="false"/>
          <w:color w:val="000000"/>
          <w:sz w:val="20"/>
        </w:rPr>
        <w:t xml:space="preserve">On the Investor Relations pages of our website, </w:t>
      </w:r>
      <w:r>
        <w:rPr>
          <w:rFonts w:ascii="Times New Roman;serif" w:hAnsi="Times New Roman;serif"/>
          <w:b w:val="false"/>
          <w:color w:val="000000"/>
          <w:sz w:val="20"/>
          <w:u w:val="single"/>
        </w:rPr>
        <w:t>www.synaptics.com,</w:t>
      </w:r>
      <w:r>
        <w:rPr>
          <w:color w:val="000000"/>
        </w:rPr>
        <w:t xml:space="preserve"> </w:t>
      </w:r>
      <w:r>
        <w:rPr>
          <w:rFonts w:ascii="Times New Roman;serif" w:hAnsi="Times New Roman;serif"/>
          <w:b w:val="false"/>
          <w:color w:val="000000"/>
          <w:sz w:val="20"/>
        </w:rPr>
        <w:t>we make available, free of charge, all our Securities and Exchange Commission (“SEC”) filings, corporate governance information, including our Code of Conduct and our Board Committee Charters.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filings with the SEC are available on our website promptly after their electronic filing with the SEC. You can also read these SEC filings and reports over the Internet at the SEC’s website at www.sec.gov.</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contents of our website, including the content contained in any website addresses or links included elsewhere in this report, are not incorporated into or deemed to be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carefully consider the risks and uncertainties described below, together with all of the other information in this report, including under the headings “Management’s Discussion and Analysis of Financial Condition and Results of Operations” and “Business” and the consolidated financial statements and the related notes included elsewhere in this report, before making an investment decision. The risks and uncertainties described below are not the only ones we face. Additional risks and uncertainties that we are unaware of, or that we currently believe are not material, may also become important factors that materially and adversely affect our business. If any of the following risks actually occurs, our business operations, financial condition, operating results and prospects could be materially and adversely affected. The market price of our securities could decline due to the materialization of these or any other risks, and you could lose part or all of your investment.</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Proposed Merger between Synaptics and onsemi</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completion of the proposed Merger with onsemi may be delayed or not occur at all for a variety of reasons, including that the Merger Agreement is terminated, and the failure to complete the Merger could adversely affect our business, financial condition and results of operations and the market price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completion of the proposed Merger with onsemi is subject to customary closing conditions, some of which are beyond our and onsemi’s control, including (1) the approval of the Merger Agreement by the holders of a majority of the shares of our common stock outstanding and entitled to vote (the “required Stockholder Vote”), (2) the expiration or early termination of the applicable waiting period under the Hart-Scott-Rodino Antitrust Improvements Act of 1976 (the “HSR Act”), and the approval of the Merger under certain other antitrust and foreign investment regimes, (3) the absence of any order, injunction or law of certain jurisdictions prohibiting the Merger, (4) the effectiveness of the registration statement pursuant to which shares of onsemi common stock to be issued in the Merger will be registered with the SEC, (5) the approval for listing on the Nasdaq Global Select Market of shares of onsemi common stock to be issued in the Merger, (6) the accuracy of the other party’s representations and warranties, subject to certain materiality and other standards set forth in the Merger Agreement, (7) compliance in all material respects with the other party’s covenants and other obligations under the Merger Agreement, (8) the absence of a continuing material adverse effect with respect to each of us or onsemi, and (9) the receipt by each party of customary closing tax opinions regarding the intended tax treatment of the Merger. There can be no assurance that the Merger will be completed in the expected timeframe, or at all. Subject to the terms and conditions of the Merger Agreement, the parties have agreed to use reasonable best efforts to take all actions reasonably necessary to consummate the Merger, including obtaining all required or necessary consents, approvals or waivers from third parties, and cooperating to obtain the regulatory approvals necessary to complete the Merger.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under certain circumstances, including (1) by either us or onsemi if the Merger is not completed by June 25, 2027, which date may be extended for up to three periods of three months each, in each case under certain circumstances (the “End Date”), (2) by either us or onsemi if any court or governmental authority of a specified jurisdiction has issued a final non-appealable order or injunction prohibiting the Merger, (3) by onsemi prior to the required Stockholder Vote if our Board of Directors fails to include in our proxy statement its recommendation to stockholders to vote in favor of the adoption of the Merger Agreement or changes its recommendation, (4) by us prior to the required Stockholder Vote in order to accept a Superior Proposal (as defined in the Merger Agreement) (subject to payment of a termination fee, described below), (5) by either us or onsemi if we fail to receive the required Stockholder Vote at our stockholder meeting (including any adjournments and postponements thereof), or (6) by either party if the other party materially breaches its covenants, or breaches its representations and warranties, in the Merger Agreement such that the applicable conditions to closing would not be satisfied, subject in certain cases to the right of the breaching party to cure the breach. We and onsemi may also terminate the Merger Agreement by mutual written consent.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termination of the Merger Agreement, we, under specified circumstances, including termination by us to accept a Superior Proposal or by onsemi following a change in recommendation by our Board of Directors, will be required to pay onsemi a termination fee of $235.0 million (the “Synaptics Termination Fee”). Additionally, onsemi, under specified circumstances, including termination following an injunction arising in connection with certain antitrust or foreign investment laws, or failure to receive certain required regulatory approvals of specified governmental authorities by the End Date, will be required to pay us a regulatory termination fee of $320.0 million (the “onsemi Regulatory Termination Fee”).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and onsemi may also be subject to lawsuits or other demands challenging the Merger or certain disclosures made with respect thereto, and adverse rulings in these lawsuits, or the existence or pendency of these matters, may delay or prevent the Merger from being completed or require us or onsemi to incur significant costs to defend or settle these matters. Any delay in completing the Merger could cause us to fail to realize, or to be delayed in realizing, some or all of the benefits that we expect to achieve if the Merger is successfully completed within the expected time 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Merger is not completed, or if there are delays in completing the Merger, our business, financial condition, results of operations and the market price of our common stock may be adversely affected in a number of ways,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price of our common stock may decline to the extent that the current market price reflects an assumption that the Merger will be completed;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the Merger Agreement is terminated under certain circumstances specified in the Merger Agreement, we would be required to pay a termination fee as described above;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and will continue to incur, significant expenses for professional services in connection with the Merger for which we will have received little or no benefit if the Merger is not completed, as well as other significant expenses that may not be recoverable if the Merger is not completed;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attention of our management will have been diverted to the Merger rather than our own operations and pursuit of other opportunities that could have been beneficial to us;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experience negative publicity and/or reactions from our investors, employees, customers, suppliers, distributors and other business partners.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completion of the proposed Merger is subject to the satisfaction or waiver of closing conditions contained in the Merger Agreement, including certain regulatory approvals which may not be received, may take longer than expected or the receipt of which may impose conditions that are not presently anticipated or that cannot be met, and if these closing conditions are not satisfied or waived, the proposed Merger will not be completed.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Various consents, clearances, approvals, authorizations and declarations of non-objection, or expiration of waiting periods (or extensions thereof), from certain regulatory and governmental authorities in the United States and certain other jurisdictions are conditions to completing the proposed Merger. Regulatory and governmental entities may impose conditions on their respective approvals, in which case lengthy negotiations may ensue among such regulatory or governmental entities, us and onsemi, and we and onsemi may not be required under the terms of the Merger Agreement to accept such conditions. Such conditions, any such negotiations and the process of obtaining such regulatory approvals, consents or clearances, including any potential changes to the terms of the Merger, could have the effect of delaying or preventing the completion of the Merger.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Merger Agreement, we have agreed to use our reasonable best efforts to take all actions necessary to consummate the Merger, including obtaining all required or necessary consents, approvals or waivers from third parties, and cooperating to obtain the regulatory approvals necessary to complete the Merger. Nonetheless, certain conditions to the completion of the Merger are not within our or onsemi’s control, and we cannot predict when or if these conditions will be satisfied (or waived, as applicable). There can be no assurance that all required approvals will be obtained or that all closing conditions will otherwise be satisfied (or waived, if applicable), and, if all required approvals are obtained and all closing conditions are satisfied (or waived, if applicable), we can provide no assurance as to the terms, conditions and timing of such approvals or that the Merger will be completed in a timely manner or at all. Even if regulatory approvals are obtained, it is possible conditions will be imposed that could result in a material delay in, or the abandonment of, the Merger or otherwise have an adverse effect on our business, financial condition, results of operations and the market price of our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Failure to realize the anticipated benefits of the Merger, delay in realizing those benefits, or significant challenges in integrating our company with onsemi could have an adverse effect on the price of onsemi common stock that our stockholders will own following the completion of the Merger.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and onsemi have operated and, subject to and until the completion of the Merger, will continue to operate, independently. The success of the Merger, including anticipated benefits and cost savings, will depend, in part, on our and onsemi's ability to successfully integrate our respective operations in a manner that results in various benefits and that does not materially disrupt existing business and strategic relationships or result in a loss of customers. The process of integrating operations could result in a loss of key personnel or cause an interruption of, or loss of momentum in, the activities of one or more of the combined company's businesses. Inconsistencies in standards, controls, procedures and policies could adversely affect the combined company. The diversion of management's attention and any delays or difficulties encountered in connection with the Merger and the integration of our company’s and onsemi's operations could have an adverse effect on the business, financial condition, results of operations and prospects of the combined company. If we and onsemi experience difficulties in the integration process, including those listed above, we may not fully realize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anticipated benefits of the Merger in a timely manner or at all, and the price of onsemi common stock to be issued to our stockholders in the Merger could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Uncertainty about the Merger may adversely affect relationships with our customers, suppliers, service providers, partners, consultants, and other business counterparties, whether or not the Merger is completed.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the announcement of the Merger, our existing or prospective customers, suppliers, service providers, partners, consultants, and other business counterparties may: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 defer, or cease entering into a business relationship with us or the combined company;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terminate their relationships with us or the combined company;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delay or defer other decisions concerning us or the combined company; or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seek to change the terms on which they do business with us or the combined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such delays or changes to terms could materially harm our business or, if the Merger is completed, the business of the combined company. Losses of customers, suppliers, service providers, consultants or other important strategic relationships could have a material adverse effect on our business, financial condition and results of operations. Such adverse effects could also be exacerbated by a delay in the completion of the Merger for any reason, including delays associated with obtaining the requisite regulatory approvals or the approval of our stockholders.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As a result of the Merger, our current and prospective employees could experience uncertainty about their future with us or the combined company. As a result, key employees may depart because of such uncertainty or a desire not to remain with onsemi following the completion of the Merger.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Merger, our current and prospective employees could experience uncertainty about their future with us or the combined company, or decide that they do not want to continue their employment with the combined company. As a result, key employees may depart because of such uncertainty or a desire to not remain with onsemi following the completion of the Merger. Losses of officers, key employees or other employees could materially harm our business, results of operations and financial condition. Such adverse effects could also be exacerbated by a delay in the completion of the Merger. We may also experience challenges in hiring new employees during the pendency of the Merger, or if the Merger Agreement is terminated, which could harm our ability to grow our business, execute on our business plans or enhance our operations. If the Merger is consummated, the combined company may be less attractive to current and prospective employees, which could harm the business and prospects of the combined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Restrictions under the Merger Agreement may adversely affect our business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we are subject to certain restrictions on the conduct of our business prior to completing the Merger which may adversely affect our ability to execute certain of our business strategies, including, but not limited to, making material acquisitions, disposing of material assets, entering into material agreements, making capital expenditures in excess of specified amounts, repurchasing our capital stock or other equity securities, issuing additional capital stock or other equity securities, or incurring additional indebtedness (in each case, subject to certain exceptions). These limitations may have adverse effects on our existing or planned relationships with our existing or prospective customers, suppliers, service providers, consultants and employees, which could adversely affect our business and operations prior to the completion of the Merger.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Because the consideration to be received by our stockholders in connection with the Merger will include a fixed number of shares of onsemi common stock, and the market price of such shares has fluctuated and will continue to fluctuate, our stockholders cannot be sure of the value of the consideration they will receive in the Merger.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Under the Merger Agreement, at the effective time of the Merger, each share of our</w:t>
      </w:r>
      <w:r>
        <w:rPr>
          <w:color w:val="000000"/>
        </w:rPr>
        <w:t xml:space="preserve"> </w:t>
      </w:r>
      <w:r>
        <w:rPr>
          <w:rFonts w:ascii="Times New Roman;serif" w:hAnsi="Times New Roman;serif"/>
          <w:b w:val="false"/>
          <w:color w:val="000000"/>
          <w:sz w:val="20"/>
        </w:rPr>
        <w:t>common stock (other than each share of our common stock held in treasury or held or owned by our subsidiaries, onsemi or any of its subsidiaries immediately prior to the effective time of the Merger) issued and outstanding immediately prior to the effective time of the Merger will be cancelled and converted into the right to receive 1.350 fully paid and non-assessable shares of onsemi common stock. The market value of the consideration our stockholders will receive in the Merger will therefore fluctuate with the market price of onsemi common stock. The implied value of the Merger Consideration to our stockholders has fluctuated since the date of the announcement of the Merger Agreement and will continue to fluctuate until the date the Merger is completed, which could occur a considerable amount of time after the date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onsemi's share price changes may result from a variety of factors, including, among others, general market and economic conditions, changes in onsemi's and our respective businesses, operations and prospects, risks inherent in the respective businesses, changes in market assessments of the likelihood that the Merger will be completed and/or the value that may be generated by the Merger and changes with respect to expectations regarding the timing of the Merger and regulatory considerations. Many of these factors are beyond both our and onsemi's control. In particular, the market price of onsemi common stock has declined since the Merger Agreement was entered into and may continue to decline, which has decreased, and may continue to decrease, the value of the Merger Consideration.</w:t>
      </w:r>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Merger Agreement contains provisions that could discourage or deter a potential competing acquirer from making a favorable alternative transaction proposal to us and, in specified circumstances, could require us to pay a substantial termination fee to onsemi.</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Merger Agreement, we are subject to customary "no-shop" restrictions and are not permitted, subject to certain exceptions set forth in the Merger Agreement, to initiate, solicit or knowingly encourage or facilitate any inquiries or the making of any proposal or offer by or with a third party with respect to an acquisition proposal and to furnish nonpublic information to, or engage in discussions or negotiations with, a third party interested in pursuing an alternative business combination transaction. Further, our Board of Directors has agreed to include in the proxy statement for the Merger its recommendation that our stockholders vote in favor of the Merger, subject to exceptions for superior proposals and other situations where failure to effect a recommendation change would be inconsistent with our Board of Directors' fiduciary duties. Upon the termination of the Merger Agreement under specified circumstances, including, among others, the termination by onsemi in the event of a Change of Recommendation (as defined in the Merger Agreement) by our Board of Directors, we would be required to pay onsemi the Synaptics Termination Fee. Such provisions of the Merger Agreement could discourage or deter a third party that may be willing to pay more than onsemi for our outstanding common stock from considering or proposing such an acquisition of our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Litigation may arise in connection with the Merger, which could be costly, prevent consummation of the Merger, divert management's attention and otherwise materially harm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class action lawsuits and derivative lawsuits are often brought against public companies that have entered into merger agreements and/or their directors and officers. A negative outcome in any such lawsuit could result in substantial costs to us, including any costs associated with the indemnification of directors and officers. Regardless of the outcome of any future litigation related to the Merger, such litigation may be time-consuming and expensive and may distract our management from running the day-to-day operations of their business. If the Merger is not consummated for any reason, litigation could be filed in connection with the failure to consummate the Merger. Any litigation related to the Merger may result in negative publicity or an unfavorable impression of us, which could adversely affect the price of our common stock, impair our ability to recruit or retain employees, damage our business relationships or otherwise materially harm our operations and financial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Shares of onsemi common stock to be received by our stockholders as a result of the Merger will have different rights from shares of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consummation of the Merger, our stockholders will no longer be stockholders of our company, but will instead become stockholders of onsemi, and their rights as stockholders will be governed by onsemi’s certificate of incorporation and bylaws. The terms of onsemi’s certificate of incorporation and bylaws may be materially different than the terms of our amended and restated certificate of incorporation and amended and restated bylaws, which currently govern the rights of our stockholders.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Industry and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depend on the Core IoT, Enterprise and Automotive and Mobile product applications markets for a substantial portion of our revenue. These are cyclical, competitive and evolving markets that are subject to volatility, economic risk and uncertain growth, which may materially affect our business, revenue, operating results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derive a substantial portion of our revenue from our solutions for the Core IoT, Enterprise and Automotive and Mobile markets. These markets are highly competitive and subject to significant volatility, driven by macroeconomic conditions, evolving technical standards, shifting customer preferences, and rapid technological changes. For example, our products are embedded in discretionary consumer and industrial devices such as smartphones, tablets, notebooks, virtual reality systems, and automobiles. As a result, demand in these markets can fluctuate sharply based on factors such as inflation, interest rates, trade restrictions, or recessionary conditions. During periods of slowing growth or heightened uncertainty,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customers may cancel, reduce or defer orders, reduce inventory levels, or adjust production forecasts. In addition, these economic conditions could result in higher inventory levels and the possibility of resulting excess capacity charges from our manufacturing partners if we need to slow production to reduce inventory levels. Macroeconomic conditions can also disrupt our supply chain and increase operational costs. If our manufacturing partners, suppliers, distributors and other third-party partners experience financial challenges, they may demand pricing accommodations, delay payment or become insolvent, which could harm our ability to meet our customer demands or collect revenue. Cyclical patterns in our end markets, particularly consumer electronics and automotive, have historically resulted in reduced demand, price erosion, overcapacity and increased inventory. These cycles are difficult to predict and may result in substantial fluctuations in our operating results. Moreover, each market presents unique risks. For example, the automotive industry is especially sensitive to inflation, interest rates and tariffs, all of which may raise vehicle production costs and depress consumer demand. Existing, new or retaliatory tariffs on automobiles and automobile components imported into the United States could disrupt the automotive supply chain and, in turn, adversely affect our growth rate in that industry.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financial results are also subject to pricing pressure, changes in product mix, and limited ability to control input costs. Average selling prices of our products have historically declined, and we expect this trend to continue. To win business or retain key customers, we may offer price concessions that reduce gross margins. Our more recently introduced products often carry higher development and production costs, and increased sales of lower-margin products in emerging markets may dilute overall profitability. Because we do not operate our own manufacturing, assembly, testing or packaging facilities, we may lack flexibility to scale or reduce costs quickly in response to changing demand. Our reliance on third-party partners also makes us more vulnerable to inflationary input costs, capacity constraints and supply chain disruptions. In addition, deterioration in the financial condition of our contract manufacturers or suppliers could limit our ability to secure components or achieve cost efficiencies.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revenue growth also depends, in part, on our ability to maintain and expand our position in these key markets while responding to customer product transitions, emerging competitive solutions, and ongoing technology shifts. If these markets experience slower than expected growth or if demand for our solutions weakens, our revenue and profitability could be materially impacted.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international trade policies, export controls, and foreign operations expose us to legal, regulatory, and operational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global company headquartered in the U.S., we are subject to complex and evolving U.S. and foreign laws and regulations governing import, export, trade restrictions and economic sanctions. These restrictions may prohibit sales to certain countries, entities, or individuals, or require export licenses for certain technologies. Many of our customers, suppliers and contract manufacturers are foreign companies or have significant foreign operations, and many of the components used in our products are sourced from Asia.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Tariffs on imported components, especially from Asia, could increase our production costs, disrupt supply chains, or make our products and our customers’ end products less competitive in global markets. For example, in calendar 2025 and 2026, the U.S. government announced new tariffs on imports from several countries, including China, prompting reciprocal tariffs. Tariffs on our customers’ products may reduce their global competitiveness, particularly in China. Some OEMs in our industry have responded with short-term price adjustments and shifted production and sourcing outside of China. Additionally, in January 2026, the U.S. government implemented a 25% tariff on certain imported semiconductors and chips not intended for use in the U.S. These policies and the continued uncertainty and ongoing developments around trade policy could materially impact our sourcing strategy and component costs, increase our manufacturing costs or require changes to our supply chain operations. Moreover, these tariffs and any other trade restrictions imposed on our customers or suppliers could adversely affect our financial results and position through reduced demand for our products and solutions, cancelled orders, supply chain disruptions, increased transaction costs, and increased expenses. If the United States’ relationship with countries subject to increased tariffs results in additional trade disputes, trade protection measures, retaliatory actions and increased barriers, policies that favor domestic industries, or increased import or export licensing requirements or restrictions, then our deployment of resources in jurisdictions affected by such measures could be misaligned and our operations may be adversely affected. We are actively evaluating strategies to mitigate such risks, including potential sourcing diversification or partnerships with U.S.-based manufacturers.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Geopolitical instability, including in the Middle East, Taiwan, or U.S.-China relations, could disrupt access to critical markets or destabilize key supply chain and logistics corridors. For example, the ongoing conflict and military escalations involving the United States, Israel, Iran and other countries in the Middle East and beyond have increased geopolitical tensions and uncertainty across the broader region, including sanctions and restrictions affecting key transportation routes such as the Suez Canal and the Strait of Hormuz, contributing to volatility in global energy prices. As a result, we may experience disruptions to transportation routes and supply chains, including those involving third-party vendors, as well as higher transportation and logistics costs and broader inflationary pressures, which could adversely affect our revenue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gross margin. The extent and duration of these impacts remain uncertain, and further escalation and continued duration could materially and adversely affect our business and financial results. Continuation or escalations of hostilities could also trigger new or expanded U.S. sanctions or export controls affecting parties or regions with which we do business. The developments could lead to delayed shipments, increased costs, or reduced revenue in impacted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escalation in global or U.S.–China trade tensions could weaken China’s economy and reduce demand from customers located in China or selling into that market, which may affect our revenue and operations. Although we have not yet seen widespread tariff-related price increases passed through to us, our customers may respond by requesting pricing accommodations or shifting demand to alternative suppliers. Changes in trade policies or future tariffs could lead to further volatility in customer demand and order behavior. We may also experience fluctuations in order timing as customers adjust their purchases in response to tariffs or logistics concerns, including pulling forward orders into earlier quarters. These shifts may not reflect actual demand and could reduce volumes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international operations, including in Taiwan, China, South Korea, Hong Kong, and throughout Europe and Asia, expose us to risks such as unexpected regulatory changes, labor law shifts, currency fluctuations, public health emergencies, and environmental compliance burdens.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Export control regulations are also evolving. New or expanded restrictions or sanctions—such as those recently imposed by the U.S. on China and Russia—may limit our ability to sell to or source from affected parties. These controls may cover foreign-produced items, advanced technologies, or entities on the U.S. Entity List. If we are unable to serve these customers, they may turn to domestic solutions or competitors not subject to similar restrictions. Such developments may materially impact our revenue and future business opportunities in these regions. Maintaining compliance with global trade and export regulations is increasingly complex, time-consuming, and resource-intensive. Failure to comply could result in fines, reputational harm, or limitations on our ability to operate in key international markets.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face intense competition and our success depends on our ability to deliver innovative, high-performance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intensely competitive markets characterized by price erosion, rapid technological change, and competition from major domestic and international companies. Some of our current and potential competitors may offer bundled solutions; introduce new products with disruptive technologies and AI-enhanced features; or benefit from greater brand recognition, longer operating histories, larger customer bases and more extensive resources in sales, R&amp;D, and manufacturing. As a result, they may be able to devote greater resources to promotion, negotiate lower prices for raw materials and components, deliver products at lower prices, or respond more quickly to customer requirements.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compete effectively, we must win design opportunities with OEM customers, meet their development timelines, and align our solutions with their technical and commercial objectives. One of our core business strategies is to win competitive bid selection processes with OEM customers to design our products into their platforms. These selection processes are often lengthy and require significant design and development investment, with no assurance of winning a contract or generating revenue. Delays in our design cycle, failure to anticipate market needs, or inability to align our products with customer roadmaps may result in missed opportunities. If a customer designs another supplier’s product into one of its product platforms, it is more difficult for us to achieve future design wins with that platform because changing suppliers involves significant cost, time, effort and risk on the part of that customer. This risk is particularly pronounced in markets such as Automotive, where long design cycles, combined with failure to win a design-in, could lock us out of a customer for several years. If we fail to win key design opportunities, or if we are not perceived as a technology or industry leader, our business, financial condition and results of operations could be materially harmed. Also, a design win does not guarantee revenue. Customers may reduce or cease purchases at any time—for example, if their products are not commercially successful. If we fail to convert design wins into sales, our operating results could be materially and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if we secure a design win, our revenue depends on the commercial success of the customer’s product. If that product is delayed, fails to meet expectations, or is discontinued, our sales may not materialize. Additionally, if our interfaces fail to meet customer performance, cost, or integration requirements during development, projects may be canceled altogether. The timing and cost of our development efforts may exceed expectations, especially as we invest significant engineering, testing, and support resources long before volume production begins. We may not recover these costs if the product does not launch or is replaced by an alternative solution.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Failure to innovate, keep pace with customer expectations and win key design opportunities, convert such opportunities into sales, or offer compelling features at competitive prices could materially harm our market position and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are exposed to risks related to the use of artificial intelligence by us and our competitors.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integrating AI and ML technologies into our products, services, and internal processes, including in edge computing, voice and vision interfaces, and wireless connectivity. The rapid pace of AI innovation may challenge our ability to remain competitive if we fail to keep pace with technological developments or if our competitors more effectively deploy AI. We must invest substantial resources to enhance and develop new technologies, including hiring and retaining skilled engineers, adopting advanced tools and scaling R&amp;D. Even with investment, our technologies may fail to transition from development to cost-effective production or customers may choose competitors’ solutions due to price, performance or strategic alignment. While AI and ML technologies offer opportunities to enhance functionality and efficiency, they also present significant risks. These include unintended consequences, such as inaccurate or biased outputs, potential misuse by personnel, vulnerabilities in third-party AI tools and heightened scrutiny under evolving laws and regulations governing data privacy, algorithmic transparency and ethical AI use. Failure to comply with such regulations could result in enforcement actions, fines, or restrictions on our business. Additionally, the use of AI may expose us to intellectual property risks, including claims of infringement, misappropriation, or loss of proprietary information. Any of these risks could adversely affect our business, financial condition, or results of operations.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growth depends on the successful development of emerging markets, including Core IoT, which may be slower, more competitive, or more regulated, which could result in our losing or failing to gain market share and suffering reduced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face uncertainty in the development and growth of new and emerging markets, such as Core IoT. These markets may develop slower than anticipated or rely on competing technologies that do not include our product solutions. The success of our solutions in these markets depends on several factors, including: the pace of adoption of wireless and other enabling technologies; the emergence and standardization of protocols for device interoperability; the performance, size, power consumption, and cost-effectiveness of our solutions relative to alternatives; and OEM and end-user preferences. Many of these products are still emerging, and demand for them may vary significantly from one period to another. We may face well-established competitors with strong customer relationships, brand recognition, and more extensive resources. If these markets fail to develop as expected, or if our technologies are not widely adopted, our ability to grow revenue, maintain profitability, and increase market share could be significantly impaired. A sustained failure to gain traction in these markets may also require us to restructure certain product or market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unfavorable developments with respect to global laws and regulations—including those affecting artificial intelligence and data governance—could slow or limit adoption of products in these markets, impede our strategic plans, or require changes to our offerings.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Competition could decrease our prices, reduce our sales, adversely affect our gross margins and/or decrease our market share.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rely on a concentrated base of OEMs and ODM customers, and the loss of a major customer, or such customer’s failure to renew an existing project or contract, or any changes in their purchasing behavior, or the failure of their products to achieve commercial success, could materially harm our business, financial condition and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are not sold directly to end users. Instead, our solutions are integrated into systems sold by OEMs and ODMs, often through contract manufacturers that serve them. A significant portion of our revenue is generated from a limited number of large customers. This concentration makes us highly dependent on the purchasing behavior of a few OEMs and ODMs and increases our exposure to revenue volatility. If any of these key customers reduce, cancel or stop placing orders, fail to renew an existing project or contract, or shift to a competing supplier for our high-volume products, our financial results could be adversely affected. The risk is heightened if customers are impacted by operational disruptions or trade restrictions, particularly in jurisdictions such as China. Because contract manufacturers often serve the same OEM, a reduction in demand from that OEM could significantly impact our revenue across multiple customer accounts. The adverse effect could be more substantial if we are unable to offset the loss by generating increased orders from other existing customers or by securing new design wins. Significant reductions in sales to our largest customers, the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major customers, a general decrease in demand, or our failure to expand our customer base, particularly in key markets, would materially impact our future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Even when we meet our customers’ technical and pricing requirements, our success ultimately depends on the commercial success of their products that incorporate our solutions. If those products fail to gain market acceptance or are discontinued, or if customers decide not to continue with follow-on projects, our revenue may decline.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customers generally do not enter into long-term volume purchase commitments. As a result, even longstanding relationships do not guarantee future revenue. Shifts in customer strategies, product transitions, or macroeconomic factors could lead to reduced demand for our products. We may also incur significant R&amp;D and sales-related expenses in support of these customers, without assurance of recovering those investments.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depend on third parties for manufacturing and supply, and face risks from inventory imbalances, demand uncertainty, and component shortages that may disrupt our operations and reduce margins.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depend on our contract manufacturers and semiconductor fabricators, primarily located in Asia, to produce and assemble our products. These third parties are responsible for maintaining satisfactory manufacturing yields and delivery schedules. We provide our contract manufacturers with six-month rolling forecasts of our production requirements, but generally do not have long-term agreements that guarantee production capacity, pricing, or lead times. If end customer demand fluctuates unexpectedly, either rising sharply or declining, our ability to respond is constrained by limited capacity control and long lead time. Our manufacturers also serve other customers, some of whom may have greater volume commitments or purchasing leverage, which could lead to a re-prioritization of production at our expense. Qualifying new contract manufacturers,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In addition, a foundry or supplier may become unavailable to us as a result of economic or political instability.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face significant risk from forecasting errors, inventory imbalances, and order variability. We typically sell pursuant to customer purchase orders rather than long-term purchase commitments, and customers may delay, cancel, or fail to honor their orders. If we overestimate demand, we may hold excess or obsolete inventory; if we underestimate, we may lack sufficient inventory or manufacturing capacity to meet demand. Many of our customers have shifted to just-in-time inventory strategies, increasing our exposure to short-notice adjustments. Because our forecasts are based on assumptions about customer behavior, market conditions, and development timelines, any of which may prove inaccurate, our inventory and revenue may vary significantly from expectations.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Supply chain disruptions can also impact upstream demand for our solutions. Our products are used in complex devices and systems that depend on numerous components. Delays in one part of the chain can lead to a broader reduction in product builds that include our technologies. For example, the current global shortage and elevated pricing of certain memory components across the broader electronics supply chain have, at times, influenced the timing of orders for certain products, particularly for smaller customers. Limited visibility into future availability, timing, increased associated costs, and the potential for these conditions to persist could affect customer development timelines, purchasing behavior, production schedules, booking patterns, and the timing or visibility of orders in future periods. If these conditions persist, our customers’ ability to manufacture their end products may be limited, or they may adjust production schedules, delay product launches, or revise demand forecasts, which in turn could lead them to reduce, delay or cancel orders for our products, even when demand for their end products remains strong. Additionally, the current shortage and resulting price increase for memory components also may lead our customers to increase prices of their end products, which could lead to decreased demand for those products, ultimately negatively impacting orders for our products. If customers delay orders of our products for longer periods of time due to such supply conditions, or hold inventory of our products for longer periods of time, we could experience a decline in our revenue and excess inventory. In addition, we face ongoing risks from component and material shortages. Key inputs, including silicon wafers, substrates, and packaging materials, are sourced from a limited number of foreign suppliers. If these suppliers face capacity constraints, pricing shifts, or economic disruptions, we may be unable to obtain sufficient quantities or meet production timelines.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Without long-term supply contracts, we are exposed to price increases and allocation risk. If larger or better-financed supply chain customers secure preferential access to limited supplies, our production and costs could be adversely affected. Future shortages or procurement delays may cause missed shipments, customer dissatisfaction, and lost revenue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Altogether, uncertainty in demand forecasting, reliance on outsourced manufacturing, and limited sourcing alternatives may materially impact our operating results, margins, and ability to fulfill customer expectations.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Defects, security vulnerabilities, or performance failures in our products could result in liability, reputational harm, and lost revenue opportunities.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develop complex solutions that are integrated into customer devices across the IoT, Enterprise, Automotive, and Mobile markets. These products must meet high standards for performance, security, and reliability. Despite rigorous testing, our solutions may contain defects, errors, or vulnerabilities that result from issues in design, materials, manufacturing, packaging, or software integration. Development in new technology domains, including use of smaller geometry nodes and advanced AI features, increases the risk of product failure or low yield. Vulnerabilities can also be introduced via third-party or open source software, or through malicious actions by external actors. Such defects, errors or security vulnerabilities could give rise to significant costs (including costs related to developing solutions, recalling products, repairing or replacing defective products, writing down defective inventory or indemnification obligations under our agreements), could result in the loss of sales and divert the attention of our personnel from our product development efforts. In addition, defects, errors or security vulnerabilities in our products could result in failure to achieve market acceptance, a loss of design wins, a shifting of business to our competitors, product liability claims and litigation or regulatory action against us, and could harm our reputation, our relationships with customers and our ability to attract new customers, as well as the perceptions of our brand. Further, our business liability insurance may be inadequate, may not cover the claims, and future coverage may be unavailable on acceptable terms, which could adversely impact our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often integrate our solutions into devices that interact with untrusted systems or process large volumes of data. If our solutions fail, or introduce security risks to the customer’s end product, it may result in operational disruption, loss or theft of sensitive data, regulatory exposure, or product recalls. Mitigation tools, such as firmware patches or configuration updates, may not always be timely or fully effective. Any such failures could harm our reputation, delay or reduce revenue, lead to loss of design wins, shift business to competitors, or result in legal claims or indemnity obligations. While we maintain product liability insurance, coverage may be limited or unavailable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we generally warrant our products for 12 months from the date of delivery. Although we have not experienced widespread recalls, manufacturing defects or quality issues could result in revenue deferrals, warranty costs, or strained customer relationships. Addressing such issues can divert engineering resources from strategic initiatives and negatively affect profitability.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If we fail to manage our growth and scale our operations effectively, our infrastructure and resources could be strained, our ability to effectively manage our business could be diminished and our operating results could suffer.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we expand our product portfolio and customer base, we must scale our global organization efficiently to meet increasing demand. This includes the ability to: hire, train and retain talent globally; plan, expand, or optimize facilities; enhance operational and management systems; and scale development and production capacity. We also may incur significant expenses in anticipation of future orders that do not materialize, particularly in Core IoT, Enterprise, Automotive, and Mobile markets. These upfront investments—whether in personnel, infrastructure, or supply—could negatively impact profitability if not matched by revenue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some cases, customers may require rapid increases in design or production support, placing short-term strain on our internal teams and contract manufacturers. If we or our partners cannot expand quickly enough, we may lose revenue opportunities or damage customer relationships. Failure to manage growth and align resources with demand could materially impact our business, operational efficiency, and financial performance.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ability to protect our intellectual property, avoid infringement of third-party rights, and manage licensing compliance, including with open source software, is critical to our competitiveness and subject to legal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combination of patents, trade secrets, trademarks, copyrights, and confidentiality agreements to protect our proprietary technologies. However, we cannot be certain that our technologies and products do not and will not infringe issued patents or other third-party proprietary rights. Patents may be challenged, invalidated, or circumvented. Trade secrets may be compromised if confidentiality measures fail or are not consistently applied, and trademark rights may be challenged or unenforceable in certain jurisdictions. Our protection efforts face limitations, particularly in foreign markets such as China, where IP enforcement is less predictable. In the past, we have not always required all employees, consultants, suppliers, or partners to enter into formal written agreements for the protection of our technology including confidentiality or invention assignment agreements, and some may seek to assert rights in our technologies or use them without authorization. The risk of inadvertent disclosure is further heightened by employee use of generative or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AI tools. Any claims, with or without merit, could result in significant litigation costs and diversion of resources, including the attention of management, and could require us to enter into royalty or licensing agreements, which may include terms that may not be commercially reasonable, which could have a material adverse effect on our business.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license certain technology used in and for our products from third parties, including open source components. Open source software is generally made available “as is” and may impose obligations that require us to disclose our own source code or make our products freely available. Although we monitor our use of such software, inadvertent noncompliance could expose us to claims, require product modifications, or restrict product distribution. Also, there can be no assurances that such third-party technology will remain available to us on commercially acceptable terms.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certain that our products do not infringe third-party intellectual property rights. If third parties assert claims of infringement, we could be subject to significant litigation expenses, damage awards, or injunctions. We may be forced to obtain licenses on unfavorable terms, redesign products, or cease selling certain offerings. In some cases, licenses may not be available at all.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also have to pay substantial damages to third parties or indemnify customers or licensees for damages they suffer if the products they purchase from us or the technology they license from us violates any third-party intellectual property rights. Any adverse outcome in a licensing dispute or infringement action could materially impact our ability to manufacture, market, or support our products. Additionally, defending or enforcing our rights, whether successful or not, can result in substantial legal expenses, operational disruption, and diversion of management attention, which would have an adverse effect on our operating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exchange rate volatility could adversely affect our margins, pricing and competitiveness.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revenue is generated from customers located outside the United States, while a significant portion of our operating expenses, including R&amp;D, supply chain and employee compensation, are denominated in foreign currencies such as the New Taiwan dollar, Indian Rupee, Japanese yen, Chinese yuan and Israeli shekel. Although we transact business predominantly in U.S. dollars and we invoice and collect our sales in U.S. dollars, fluctuations in exchange rates can materially impact our results of operations and financial position. A strengthening U.S. dollar could reduce the local currency revenue of our international customers, potentially weakening demand or triggering pricing pressure. Conversely, a weakening of the U.S. dollar could increase our cost of goods sold and operating expenses and cause our overseas vendors to require renegotiation of either the prices or currency we pay for their goods and services. In the future, customers may negotiate pricing and make payments in non-U.S. currencies. If our overseas vendors or customers require us to transact business in non-U.S. currencies, fluctuations in foreign currency exchange rates could affect our cost of goods, operating expenses and operating margins and could result in exchange losses. Moreover, our reliance on contract manufacturers and suppliers based in Asia subjects us to risks if their local currencies appreciate significantly. Exchange rate movements may also lead to gains or losses on intercompany balances, supplier payments or cash held in foreign subsidiaries. Hedging foreign currencies can be difficult, especially if the currency is not freely traded. We cannot predict the impact of future exchange rate fluctuations on our operating results. Prolonged shifts in currency rates may make our products more expensive to produce or less competitive in certain markets. Accordingly, foreign currency fluctuations have and could continue to negatively affect our revenue, gross margins and operating income.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face risks associated with security breaches or cyberattacks.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increased cyber liability and data breach insurance premiums; and expenses to rectify the consequences of the security breach or cyberattack. Third parties with which we conduct business, such as foundries, assembly and test contractors and distributors, have access to certain portions of our sensitive data, and we rely on third parties to store and otherwise process data for us. We are dependent on the information security systems of these third parties and they face substantial security risks similar to those outlined above. Any security breaches or incidents or other unauthorized access by third parties to the systems of our suppliers, service providers or other third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parties with access to our sensitive data, or the existence of computer viruses, ransomware or other malicious code in their data, software or hardware, could result in disruptions or failures of systems used in our business. Any of the foregoing, or the perception any of them has occurred, could have a material adverse impact on our business, operations and financial results.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Other Acquisitions and Strategic Alliances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 addition to the risks described related to the Merger, any other acquisitions or strategic alliances that we undertake could be difficult to execute or integrate, may not achieve expected results, and could disrupt our business or dilute stockholder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continue to pursue opportunities to acquire other businesses or technologies, or to engage in strategic alliances, related to other businesses and technologies to complement our current solutions, expand into existing or new markets, enhance our technical capabilities or otherwise accelerate growth. However, we may be unable to identify suitable targets or partners, or complete transactions on acceptable terms. Rising valuations, regulatory scrutiny, or competitive interest may limit our ability to secure attractive opportunities.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completed, any such acquisitions and alliances carry significant risks. We may be unable to integrate acquired businesses effectively, align operations, or achieve expected synergies. Integration may be complicated by differences in systems, culture, or geography—particularly in international transactions. Acquisitions or alliances may disrupt our operations, divert management’s attention, or result in unanticipated liabilities, restructuring costs, or impairment charges.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issue stock, incur debt, or assume contingent liabilities in connection with acquisitions, which could dilute stockholder value or increase our financial risk. If acquired businesses or investments underperform, we may not realize the intended strategic or financial benefits. For example, in fiscal 2026, we recorded a $6.8 million impairment charge related to in process research and development (“IPR&amp;D”) acquired in fiscal 2025, reflecting management’s decision to cease development and commercialization activities for the technology. We also recorded a $5.0 million impairment charge related to the cost method investment due to a significant deterioration in earnings performance of the investee. Additional impairments may arise if other acquisitions or strategic partnerships do not meet our financial expectations.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strategic alliances may involve joint development, product integration, supply or distribution arrangements, or investment. However, alliances may fail to meet their objectives or be terminated prematurely. If our partners fail to perform, or if anticipated synergies do not materialize, our ability to deliver new products or enter target markets may be impaired. The failure of any acquisition or alliance to achieve its intended benefits could adversely affect our growth, competitiveness, or financial results.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Employees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depend on key personnel who would be difficult to replace and our business will likely be harmed if we lose their services, cannot hire additional qualified personnel or do not manage transitions effectively.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compete in a highly technical industry that requires a workforce with deep domain expertise in areas such as Edge AI, wireless IP, System on a Chip architecture, video processing and embedded firmware. Our future success depends on our ability to recruit, retain and develop highly skilled engineers, program managers and leadership across our global R&amp;D centers, including in the United States, Taiwan, South Korea, Israel and India. The market for semiconductor engineering talent is highly competitive and employee attrition or difficulty hiring in key geographies could delay product development, reduce innovation or harm customer delivery schedules. In addition, restrictive immigration policies, labor market saturation or compensation pressures could affect our access to technical talent. Our compensation programs, which include cash and share-based compensation award components, have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We may also be impacted if a competitor recruits key employees, or we experience attrition in our senior leadership without adequate succession planning. Transitions in executive leadership may result in strategic business and operational changes, shifts in personnel priorities and/or uncertainty among employees, customers and investors. Any failure to effectively manage this transition, or to retain senior leaders in critical roles across the organization, could impact continuity, delay initiatives or reduce morale. Such turnover can also disrupt long-term customer relationships, strategic execution or internal 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qualified personnel in our industry is extremely intense, particularly for engineering and other technical personnel. This challenge is amplified by our significant presence in Silicon Valley, where competition for talent is particularly fierce. Our compensation program, which includes cash and share-based compensation award components, has been instrumental in attracting, hiring, motivating, and retaining qualified personnel. In particular, we use broad-based equity awards to foster an ownership mindset and align employee incentives with long-term stockholder value. Our success depends on our continued ability to use our share-based compensation programs to effectively compete for engineering and other technical personnel and professional talent without significantly increasing cash compensation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prior years, proxy advisory firms have recommended that stockholders vote against our equity incentive plan, primarily citing a burn rate that exceeded such firms’ caps or industry norms, and a lower shareholder value transfer (SVT) relative to peers. While we believe these concerns do not adequately reflect our philosophy of broad-based equity participation and its importance to attracting and retaining our talent, such recommendations may influence stockholder voting outcomes.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Future Growth, Capital Requirements and Indebtedness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may need to raise additional capital to support our growth, and failure to do so on acceptable terms could limit our ability to compete.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remain competitive and support our strategic initiatives, we must continue investing in research and development, product innovation, marketing, and business development. These efforts may require additional capital beyond our current cash flows. If we are unable to raise funds through equity or debt financing on favorable terms, our ability to expand our business, execute on our roadmap, or pursue strategic acquisitions could be constrained.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Raising capital may also involve risks. Equity financing could dilute existing stockholders and negatively affect our stock price, while debt financing could increase interest expense and impose restrictive covenants. The timing and amount of any needed capital is uncertain and will depend on a variety of factors, including our operating performance, market conditions, and investment opportunities.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Our outstanding debt, credit covenants, and convertible note obligations may limit our financial flexibility, expose us to liquidity risk, and result in stockholder dilution or adverse market impacts.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significant outstanding indebtedness, including our 4.000% Senior Notes due 2029 (the “Senior Notes”) and our 0.75% Convertible Senior Notes due 2031 (the “2031 Notes”). We may incur additional debt under our credit agreement or the indentures, which could amplify the risks described below.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debt could make it more difficult to meet our obligations, increase our sensitivity to interest rate changes, reduce funds available for operations or investments, and limit our ability to respond to changes in our business or the broader economy. Additionally, the covenants in our credit agreement impose restrictions on our ability to incur or guarantee additional indebtedness, create liens, make certain investments, merge or transfer assets, pay dividends or repurchase capital stock, enter into transactions with affiliates, amend subordinated debt, or enter into new lines of business. The credit agreement also contains financial covenants which limit the consolidated total net leverage ratio and the consolidated net interest coverage ratio. If we fail to comply with these covenants and are unable to obtain waivers, we may be in default, which could result in acceleration of our obligations and potential foreclosure on secured assets. Even if we can obtain alternative financing, it may not be on favorable terms.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2031 Notes require us to make cash payments upon conversion or a fundamental change, and we may not have sufficient liquidity to do so. Our ability to make scheduled payments of interest under our 2031 Notes, or to refinance such indebtedness, depends on our future performance, including sufficient cash flow from operations for debt service, which is subject to economic, financial, competitive and other factors beyond our control, including those described in this report. If our operating cash flow is insufficient, we may need to raise additional capital, sell assets, or restructure debt, which will depend on conditions in the capital markets and our financial condition at such time, among other factors, which could result in a default on our debt obligations or other material adverse effects on our business and financial condition. Subject to certain conditions, holders of the 2031 Notes can require us to repurchase their notes. Upon conversion of the 2031 Notes in accordance with their terms, other than paying cash in lieu of delivering any fractional shares, we will be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default settlement method, to settle the principal amount of the 2031 Notes in cash, and any conversion involving cash settlement could significantly affect our liquidity.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trading price of the 2031 Notes may also be volatile due to fluctuations in our common stock price, and there is currently no active trading market for the 2031 Notes. </w:t>
      </w:r>
      <w:r>
        <w:rPr>
          <w:rFonts w:ascii="Times New Roman;serif" w:hAnsi="Times New Roman;serif"/>
          <w:b w:val="false"/>
          <w:color w:val="000000"/>
          <w:sz w:val="20"/>
        </w:rPr>
        <w:t>The 2031 Notes are currently convertible at the holders’ option. If the holders of the 2031 Notes elect to convert their notes during this period or any future period in which the notes become convertible, we may be required to make substantial cash payments and/or issue shares of common stock, which could adversely affect our liquidity and result in dilution to our stockholders.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conversion of some or all of the 2031 Notes would dilute the ownership interests of our existing stockholders to the extent we satisfy our conversion obligation by delivering shares of our common stock. Historically, we have elected to satisfy our 2031 Note conversion obligations through the payment of cash in certain circumstances, the issuance of shares of common stock in other circumstances or a combination thereof, to such 2031 Note holders.</w:t>
      </w:r>
    </w:p>
    <w:p>
      <w:pPr>
        <w:pStyle w:val="TextBody"/>
        <w:bidi w:val="0"/>
        <w:spacing w:lineRule="auto" w:line="288" w:before="120" w:after="283"/>
        <w:jc w:val="both"/>
        <w:rPr/>
      </w:pPr>
      <w:r>
        <w:rPr>
          <w:rFonts w:ascii="Times New Roman;serif" w:hAnsi="Times New Roman;serif"/>
          <w:b w:val="false"/>
          <w:color w:val="000000"/>
          <w:sz w:val="20"/>
          <w:shd w:fill="FFFFFF" w:val="clear"/>
        </w:rPr>
        <w:t>In addition, in connection with the issuance of each series of the 2031 Notes, we entered into capped call transactions with certain financial institutions to reduce the potential dilution to holders of our common stock upon any conversion or settlement of the 2031 Notes and/or offset any cash payments we are required to make above the principal amount of such 2031 Notes. The terms of the capped call transactions may be subject to adjustment in connection with the Merger. The counterparties to the capped call transactions or their respective affiliates may engage in hedging activities, such as buying or selling our common stock or related derivatives, which could negatively affect the market price of our common sto</w:t>
      </w:r>
      <w:r>
        <w:rPr>
          <w:rFonts w:ascii="Times New Roman;serif" w:hAnsi="Times New Roman;serif"/>
          <w:b w:val="false"/>
          <w:color w:val="000000"/>
          <w:sz w:val="20"/>
        </w:rPr>
        <w:t>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may incur material environmental liabilities as a result of prior operations at an acquired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in July 2017 of Conexant Systems, we agreed to assume certain environmental liabilities, including remediation of environmental impacts at a property formerly owned and operated by Conexant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U.S. and foreign tax laws, implementation of Pillar Two and OBBBA, or adverse audit outcomes could materially affect our effective tax rate, financial position, and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foreign income taxes in the various jurisdictions in which we do business, including U.S. taxes on certain foreign subsidiary earnings. Changes in tax laws or regulations, domestically or internationally, could adversely affect our effective tax rate, deferred tax assets, or overall financial condition. In particular, the Organization for Economic Co-operation and Development’s (“OECD”) Pillar Two framework (“Pillar Two”) introduces a 15% global minimum tax that jurisdictions such as the United Kingdom, Hong Kong, Switzerland, and Japan have begun implementing. We currently do not anticipate a material impact to our fiscal 2026 tax rate or cash flows, but we will continue to monitor legislative developments and recognize any Pillar Two-related amounts as period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One Big Beautiful Bill Act (“OBBBA”), enacted on July 4, 2025, significantly amended the U.S. Internal Revenue Code, including permanently extending and modifying certain provisions originally enacted under the Tax Cuts and Jobs Act of 2017. Although the provisions currently effective for Synaptics have not had a material impact on our financial statements or cash flows, the interpretation and application of OBBBA will continue to evolve as additional guidance is issued by the U.S. Treasury Department and the Internal Revenue Service. Future legislative, regulatory, or administrative developments, as well as changes in our business operations or tax profile, could materially affect our effective tax rate, cash tax obligations, deferred tax assets, financial position, results of operations, and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also subject to periodic examinations by tax authorities, and the calculation of our tax liabilities requires significant judgment. Adjustments may arise from audit resolutions, amended filings, changes in tax interpretations, or expiration of statutes of limitation. Outcomes inconsistent with our expectations could materially impact our consolidated financial position, results of operations, or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may vary significantly from period to period due to factors such as: shifts in the mix and geographic location of earnings and assets; changes in entity structure or business operations; audit outcomes and related interest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penalties; revaluations of deferred tax assets or changes in tax credit availability; new tax laws or accounting standards, including implementation of BEPS 2.0 or OBBBA; and our decision to repatriate foreign earnings subject to additional taxes.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 are subject to governmental laws, regulations and other legal obligations related to privacy and data protection.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collect, use and store personally identifiable information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Environmental, social and governance (“ESG”) matters may adversely affect our relationships with customers and investors.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is an increasing focus from lawmakers, regulators, investors, customers, employees and other stakeholders concerning ESG matters, including environment, climate, diversity and inclusion, human rights and governance transparency. A number of our customers have adopted, or may adopt, procurement policies that include ESG provisions or requirements that their suppliers should comply with or they may seek to include such provisions or requirements in their procurement terms and conditions. An increasing number of investors are also requiring companies to disclose ESG-related policies, practices and metrics. In addition, various jurisdictions are developing climate-related laws or regulations that could cause us to incur additional direct costs for compliance, as well as indirect costs resulting from our customers, suppliers or additional compliance costs that are passed on to us. These legal and regulatory requirements, as well as investor expectations on ESG practices and disclosures, are subject to change, can be unpredictable and may be difficult and expensive for us to comply with, given the complexity of our supply chain and our outsourced manufacturing. Further, there is an increasing number of anti-ESG initiatives in areas of the United States and elsewhere that may conflict with other regulatory requirements or our various stakeholders’ expectations. If we fail to comply with or meet the evolving legal and regulatory requirements or expectations of our various stakeholders, we may be subject to enforcement actions, required to pay fines, customers may stop purchasing products from us or investors may sell their shares, which could harm our reputation, revenue and results of operations. Additionally, we may be subject to litigation and claims by third parties or regulatory bodies that our stated CGS initiatives and objectives have not been achieved or implemented appropriately. Our actual or perceived failure to achieve our CGS-related initiatives could negatively impact our reputation or harm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market price of our common stock has been and may continue to be volatile.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may continue to be subject to wide fluctuations in response to various factors, including the following: quarterly financial results, changes in guidance, or perceived success in customer design wins—particularly in our key markets of consumer, automotive, IoT, and mobile applications. As a fabless semiconductor company, we are also exposed to industry cycles characterized by shifts in demand, inventory corrections, overcapacity, and pricing volatility. Additionally, trade restrictions, export controls, and geopolitical tensions—especially involving China, a major region for our supply chain and customers—can significantly impact investor sentiment and contribute to share price volatility. Perceptions of our competitive position in areas such as artificial intelligence, edge computing, and wireless connectivity may also drive valuation changes unrelated to actual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trading price may also be affected by broader market factors or rumors involving us, our customers, suppliers, competitors, or potential strategic transactions. Announcements of new technologies, product releases, patent disputes, regulatory developments, executive transitions, or significant customer orders may lead to disproportionate movements in our stock price. In addition, stocks of technology and semiconductor companies have historically experienced significant price and volume fluctuations unrelated to underlying business performance. As a result, public announcements concerning our operations—or even general developments within the semiconductor sector—could cause the market price of our common stock to decline, regardless of our actual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part of our overall approach to enterprise risk management. Our cybersecurity risk management program seeks to protect our information systems by managing and reducing material risks from cybersecurity threats and by responding to and mitigating cybersecurity incidents. We have designed our cybersecurity risk management program using certain industry practices and frameworks as a guide, including those established by the International Organization for Standardization and the National Institute of Standards and Technology, although we may not meet all technical standards, specifications or requirements. We employ a cross-functional approach to preserving the confidentiality, security and availability of the employee, customer, supplier and partner information that we collect and store.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implemented cybersecurity processes, measures and controls to assist management in our assessment, identification and management of risks from cybersecurity threats. Our Information Security team monitors events, analyzes threats and coordinates our incident response pursuant to our incident response plan, which includes the process to be followed for reporting of incidents. Our cybersecurity risk management involves identifying information assets, assessing and prioritizing risks and employing various tools and techniques to identify and remediate threats. We also leverage third-party service providers to test and validate our existing processes and procedures. We conduct annual and ongoing security awareness and behavioral change training for employees to educate them on cybersecurity best practices and train them to recognize phishing attempts. We also assess and manage cybersecurity risks associated with third-party service providers, including those in our supply chain or vendors who have access to our data or systems. Our cybersecurity process is iterative, with regular reviews and updates to help improve and respond to a dynamic and continuously evolving threat landscape.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describe whether and how risks from cybersecurity threats have materially affected or are reasonably likely to materially affect us, our business strategy, our results of operations or our financial condition under the heading “We face risks associated with security breaches or cyberattacks” included as part of our risk factors disclosures in “Item 1A. Risk Factors” of this Annual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not experienced a cybersecurity incident which has been determined to be material and the expenses we have incurred from cybersecurity incidents and threats were immaterial, including penalties and settlements, of which there were none.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risk management oversight and has delegated to our Audit Committee oversight responsibility for reviewing the effectiveness of our governance and management of cybersecurity risks. The Audit Committee biannually reviews our policies and practices with respect to risk management, including cybersecurity risks, and reports its findings to the full Board of Directors. The Audit Committee also receives a report containing information security risk posture details, remediation plan execution progress and pertinent threat intelligence updates from the heads of the IT Security and Internal Audit departments on a regular basis, typically biannually. At least annually, but more frequently as necessary, threats from cybersecurity risks and our action plans relating to those risks, also are considered by the full Board of Directors during meeting discussions of enterprise risks. Members of management, including the Chief Executive Officer, Chief Financial Officer, Chief Information Officer and Chief Legal Officer, may also report directly to the Board of Directors on significant risk management issues, including cybersecurity threats and incidents.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Information Security Management Steering Committee (“ISMS Committee”), comprised of our Chief Information Security Officer (“CISO”), as well as members of our executive team, including our Chief Information Officer and Chief Legal Officer. Our Chief Information Officer and CISO, in coordination with the ISMS Committee, work collaboratively to implement our enterprise-wide cybersecurity strategy, policy, standards, architecture and processes. Our Information Security team communicates with and reports to the CISO, enabling the CISO, Cyber Incident Response Team and ISMS Committee to monitor the prevention, detection, mitigation and remediation of cybersecurity incidents. Our CISO has significant experience managing global IT operations, including strategy, applications, infrastructure, information security, support and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offices, as well as our principal research and development, sales, marketing and administrative functions, are located in San Jose, California, where we lease office space of approximately 111,000 square feet.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other U.S.-based research and development functions in other leased facilities in California and Georgia.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principal facilities outside of the United States include leased facilities for research and development in India, Israel, Japan and Taiwan. The facilities in Japan and Taiwan also accommodate sales and administrative functions. We have leased facilities in Taiwan and Hong Kong for logistics operations. Other leased facilities are located in China, Korea, and Switzerland for sales and support and in France, Germany, Poland and the U.K. for research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current legal proceedings, see “Part II – Item 8. Financial Statements and Supplementary Data – Notes to Consolidated Financial Statements – Note 12.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Information on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has been listed on the Nasdaq Global Select Market (formerly the Nasdaq National Market) under the symbol “SYNA” since January 29, 2002. Prior to that time, there was no public market for our common stock.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August 4, 2026, there were approximately 111 holders of record of our common stock. The closing price of our common stock as quoted on the Nasdaq Global Select Market as of August 4, 2026, was $106.56.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plan to retain all earnings to finance the growth of our business, make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Credit Agreement and the indenture governing our Senior Notes also place restrictions on the payment of any dividends. For a further description of the terms of the Credit Agreement and our Senior Notes indenture, see “Item 8. Financial Statements and Supplementary Data – Notes to Consolidated Financial Statements – Note 8. Debt and Revolving Credit Facility.”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our Board of Directors has authorized a stock repurchase program. Most recently, on August 5, 2025, our Board of Directors authorized a stock repurchase program to repurchase up to $150 million of our common stock. This program does not have an expiration date; however, the Board of Directors will periodically review the authorization to assess its continued appropriateness in light of the company’s capital allocation priorities and market conditions. Repurchases may be made from time to time through a variety of methods, including through privately negotiated transactions or open market transactions, such as pursuant to a trading plan in accordance with Rule 10b5-1 and Rule 10b-18 of the Exchange Act, or a combination of methods. Following the announcement of the Merger, we suspended our share repurchase activity in accordance with the terms of the Merger Agreement; however, we may resume share repurchases in the future in accordance with the terms of the Merger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repurchased and the timing of repurchases depend on the level of our cash balances, general business and market conditions and other factors, including alternative investment opportunities.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three-month period ended June 27, 2026, repurchases under the previously authorized stock repurchase programs were as follows:</w:t>
      </w:r>
    </w:p>
    <w:tbl>
      <w:tblPr>
        <w:tblW w:w="10205" w:type="dxa"/>
        <w:jc w:val="left"/>
        <w:tblInd w:w="0" w:type="dxa"/>
        <w:tblLayout w:type="fixed"/>
        <w:tblCellMar>
          <w:top w:w="28" w:type="dxa"/>
          <w:left w:w="28" w:type="dxa"/>
          <w:bottom w:w="28" w:type="dxa"/>
          <w:right w:w="28" w:type="dxa"/>
        </w:tblCellMar>
      </w:tblPr>
      <w:tblGrid>
        <w:gridCol w:w="391"/>
        <w:gridCol w:w="342"/>
        <w:gridCol w:w="345"/>
        <w:gridCol w:w="109"/>
        <w:gridCol w:w="109"/>
        <w:gridCol w:w="109"/>
        <w:gridCol w:w="607"/>
        <w:gridCol w:w="444"/>
        <w:gridCol w:w="445"/>
        <w:gridCol w:w="109"/>
        <w:gridCol w:w="109"/>
        <w:gridCol w:w="109"/>
        <w:gridCol w:w="280"/>
        <w:gridCol w:w="819"/>
        <w:gridCol w:w="144"/>
        <w:gridCol w:w="109"/>
        <w:gridCol w:w="109"/>
        <w:gridCol w:w="109"/>
        <w:gridCol w:w="850"/>
        <w:gridCol w:w="750"/>
        <w:gridCol w:w="752"/>
        <w:gridCol w:w="109"/>
        <w:gridCol w:w="109"/>
        <w:gridCol w:w="109"/>
        <w:gridCol w:w="397"/>
        <w:gridCol w:w="2034"/>
        <w:gridCol w:w="297"/>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Plans or Programs</w:t>
            </w:r>
          </w:p>
        </w:tc>
      </w:tr>
      <w:tr>
        <w:trPr/>
        <w:tc>
          <w:tcPr>
            <w:tcW w:w="10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29, 2026 - April 25,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144,779 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144,779 </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57,264,153 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26, 2026 - May 23,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57,264,153 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24, 2026 -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57,264,153 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144,779 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13.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 Performance Graph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This performance graph shall not be deemed “filed” for purposes of Section 18 of the Exchange Act or otherwise subject to the liability of that section. The performance graph will not be deemed incorporated by reference into any filing of our company under the Exchange Act or the Securities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on a 52 or 53-week fiscal year which ends on the last Saturday in June. Accordingly, the last day of our fiscal year varies. For consistent presentation and comparison to the industry indices shown herein, we have calculated our stock performance graph assuming a June 30 year end. The following graph shows a five-year comparison of cumulative total return on our common stock, the Philadelphia Semiconductor Sector Index (“PHLX Semiconductor”) and the Russell 2000 Index from June 30, 2021 through June 30, 2026. </w:t>
      </w:r>
    </w:p>
    <w:p>
      <w:pPr>
        <w:pStyle w:val="TextBody"/>
        <w:bidi w:val="0"/>
        <w:spacing w:before="120" w:after="283"/>
        <w:jc w:val="center"/>
        <w:rPr/>
      </w:pPr>
      <w:r>
        <w:rPr/>
        <w:drawing>
          <wp:inline distT="0" distB="0" distL="0" distR="0">
            <wp:extent cx="6105525" cy="401955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105525" cy="4019550"/>
                    </a:xfrm>
                    <a:prstGeom prst="rect">
                      <a:avLst/>
                    </a:prstGeom>
                  </pic:spPr>
                </pic:pic>
              </a:graphicData>
            </a:graphic>
          </wp:inline>
        </w:drawing>
      </w:r>
      <w:bookmarkStart w:id="0" w:name="i-1"/>
      <w:bookmarkEnd w:id="0"/>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graph assumes an investment of $100 on June 30, 2021. The calculations of cumulative stockholder return on the Russell 2000 Index and the PHLX Semiconductor include the assumed reinvestment of any dividends. The calculation of cumulative stockholder return on our common stock does not include the assumed reinvestment of dividends because we did not pay any dividends during the measurement period. The historical performance shown is not necessarily indicative of future performance. The performance was plotted using the following data:</w:t>
      </w:r>
    </w:p>
    <w:tbl>
      <w:tblPr>
        <w:tblW w:w="8286" w:type="dxa"/>
        <w:jc w:val="left"/>
        <w:tblInd w:w="0" w:type="dxa"/>
        <w:tblLayout w:type="fixed"/>
        <w:tblCellMar>
          <w:top w:w="28" w:type="dxa"/>
          <w:left w:w="28" w:type="dxa"/>
          <w:bottom w:w="28" w:type="dxa"/>
          <w:right w:w="28" w:type="dxa"/>
        </w:tblCellMar>
      </w:tblPr>
      <w:tblGrid>
        <w:gridCol w:w="722"/>
        <w:gridCol w:w="636"/>
        <w:gridCol w:w="637"/>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Years Ended</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Company/Index</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1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Synaptics Incorporated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PHLX Semiconductor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 and Factors That May Affect Results</w:t>
      </w:r>
    </w:p>
    <w:p>
      <w:pPr>
        <w:pStyle w:val="TextBody"/>
        <w:bidi w:val="0"/>
        <w:spacing w:lineRule="auto" w:line="288" w:before="120" w:after="283"/>
        <w:jc w:val="both"/>
        <w:rPr/>
      </w:pPr>
      <w:r>
        <w:rPr>
          <w:rFonts w:ascii="Times New Roman;serif" w:hAnsi="Times New Roman;serif"/>
          <w:b w:val="false"/>
          <w:i/>
          <w:color w:val="000000"/>
          <w:sz w:val="20"/>
        </w:rPr>
        <w:t xml:space="preserve">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“Part I </w:t>
      </w:r>
      <w:r>
        <w:rPr>
          <w:color w:val="000000"/>
        </w:rPr>
        <w:t xml:space="preserve">– </w:t>
      </w:r>
      <w:r>
        <w:rPr>
          <w:rFonts w:ascii="Times New Roman;serif" w:hAnsi="Times New Roman;serif"/>
          <w:b w:val="false"/>
          <w:i/>
          <w:color w:val="000000"/>
          <w:sz w:val="20"/>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this section, we discuss the results of our operations and changes in financial condition for fiscal 2026 compared to fiscal 2025. Discussions of our fiscal 2024 items and year-to-year comparisons between our fiscal 2025 and 2024 that are not included in this Annual Report can be found in “Part II – Item 7. Management’s Discussion and Analysis of Financial Conditions and Results of Operations” in our fiscal 2025 Annual Report on Form 10-K for the fiscal year ended June 28,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design and deliver AI-native edge solutions that bring AI closer to end users and transform how we engage with intelligent, connected devices, whether at home, at work, or on the move. We are a strategic partner for many global OEMs, offering standard and custom silicon and software platforms for Edge AI, Physical AI, wireless connectivity and human interface technologies. Our Synaptics Astra™ family of processors and wireless solutions combine embedded compute, connectivity, and multimodal sensing to support intuitive, secure, and seamless experiences. Our touch, biometrics, AI-enabled wireless connectivity, video, vision, audio, and speech processing solutions support the next generation of intelligent devices that enhance how people live, work and interact with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2026, we achieved revenue growth with net revenue increasing 11.4% to $1,197.2 million compared to $1,074.3 million in fiscal 2025. The growth was primarily driven by an increase in net revenue in our Core IoT product applications. Net revenue from Core IoT was $389.7 million, increasing 43.1% compared to $272.4 million a year ago, and included the contribution from our Broadcom transaction. This growth was fueled primarily by an increase in units sold coupled with an increase in average selling prices due to our product sales mix. Enterprise and Automotive net revenue was $641.1 million, increasing 5.1% compared to $610.1 million a year ago. The increase was primarily driven by higher unit sales, a better product mix, and increased license revenue from certain of our IP. Mobile net revenue was $166.4 million, decreasing 13.2% compared to $191.8 million a year ago, primarily due to lower average selling prices and a decrease in license revenue from certain of our 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at the end of fiscal 2026 and 2025 totaled $442.5 million and $391.5 million, respectively. During fiscal 2026, we returned $92.7 million to shareholders through repurchase of approximately 1.3 million shares under the share repurchase program.</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Pending Merger with ON Semiconductor Corporation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25, 2026, we entered into the Merger Agreement, by and among Synaptics, onsemi and Merger Sub, pursuant to which the Merger will be effected, with Synaptics surviving as a wholly-owned subsidiary of onsemi. Subject to the terms and conditions set forth in the Merger Agreement, at the Effective Time, by virtue of the Merger, each share of Synaptics common stock outstanding immediately prior to the Effective Time, subject to limited exceptions in the Merger Agreement, will be converted into the right to receive 1.350 validly issued, fully paid and non-assessable shares of common stock of onsemi. No fractional shares of onsemi common stock will be issued in connection with the Merger. Instead, any Synaptics stockholder who would otherwise be entitled to receive a fractional share of onsemi common stock will instead receive a cash payment (without interest) equal to such fraction multiplied by the “Average Parent Stock Price,” which is defined in the Merger Agreement as the average of the volume-weighted average trading prices per share of onsemi common stock on the Nasdaq Global Select Market on each of the five consecutive trading days ending on (and including) the trading day that is three trading days prior to the closing date (as reported by Bloomberg L.P. or another authoritative source mutually selected by the parties). The transaction is expected to close in mid-2027, subject to customary closing conditions, including approval by Synaptics stockholders and the receipt of required regulatory approvals.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Trends and Uncertainties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Current Economic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global company, we are exposed to and impacted by global macroeconomic factors and geopolitical conditions including military conflicts (such as the ongoing conflict involving the United States, Israel, Iran and other countries in the Middle East and beyond), U.S. and foreign government policies, inflation, tariffs, interest rates, foreign exchange fluctuations, potential economic slowdowns, and evolving trade regulations and sanctions. These factors may affect our operating environment, costs and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ongoing conflict in the Middle East has increased geopolitical tensions, including sanctions and restrictions affecting key transportation routes such as the Strait of Hormuz, contributing to volatility in global energy prices. As a result, we may experience disruptions to transportation routes and supply chains, including those involving third-party vendors, as well as higher transportation and logistics costs and broader inflationary pressures, which could adversely affect our revenue and gross margin. The extent and duration of these impacts remain uncertain, and further escalation and continued duration could materially and adversely affect our business and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Given that a significant portion of our sales and supply chain, including outsourced manufacturing, assembly and test operations, occurs outside of the United States, we are also exposed to, and impacted by, changes in international trade policies, particularly increased tariffs and other barriers or restrictions on trade between the United States and other countries, including China. Based on our current import and export practices, we believe our direct tariff exposure remains limited. However, some of our customers and suppliers may be affected depending on their own supply chain strategies and sourcing locations. We continue to monitor for any potential customer and supplier impacts, ranging from supply chain adjustments to changes in end demand. While the broader implications of these activities remain uncertain, based on our current lead times and order activity, we have not observed material changes in order patterns or timing due to tariffs, the ongoing conflict in the Middle East, or related geopolitical developments that would be likely to impact our near-term financial performance. We will continue to assess the potential short- and long-term effects of these developments on our financial and operational performance.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Industry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continuing constrained availability and elevated pricing of certain memory components across the broader electronics supply chain have, at times, influenced the timing of orders for certain products, particularly for smaller customers. These conditions did not have a material impact on our results of operations during fiscal 2026; however, limited visibility into future availability, timing, increased associated costs, and the potential for these conditions to persist, could affect customer development timelines, purchasing behavior, production schedules, booking patterns, and the timing or visibility of orders in future periods. We continue to monitor these conditions and their potential impact on customer demand and ordering behavior.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sets forth certain of our consolidated statements of operations data for fiscal 2026 and 2025 along with comparative information regarding the absolute and percentage changes in these amounts (in millions, except percentages):</w:t>
      </w:r>
    </w:p>
    <w:tbl>
      <w:tblPr>
        <w:tblW w:w="9705" w:type="dxa"/>
        <w:jc w:val="left"/>
        <w:tblInd w:w="0" w:type="dxa"/>
        <w:tblLayout w:type="fixed"/>
        <w:tblCellMar>
          <w:top w:w="28" w:type="dxa"/>
          <w:left w:w="28" w:type="dxa"/>
          <w:bottom w:w="28" w:type="dxa"/>
          <w:right w:w="28" w:type="dxa"/>
        </w:tblCellMar>
      </w:tblPr>
      <w:tblGrid>
        <w:gridCol w:w="1462"/>
        <w:gridCol w:w="1283"/>
        <w:gridCol w:w="1290"/>
        <w:gridCol w:w="211"/>
        <w:gridCol w:w="691"/>
        <w:gridCol w:w="109"/>
        <w:gridCol w:w="109"/>
        <w:gridCol w:w="109"/>
        <w:gridCol w:w="109"/>
        <w:gridCol w:w="314"/>
        <w:gridCol w:w="271"/>
        <w:gridCol w:w="760"/>
        <w:gridCol w:w="109"/>
        <w:gridCol w:w="109"/>
        <w:gridCol w:w="109"/>
        <w:gridCol w:w="211"/>
        <w:gridCol w:w="616"/>
        <w:gridCol w:w="109"/>
        <w:gridCol w:w="109"/>
        <w:gridCol w:w="109"/>
        <w:gridCol w:w="109"/>
        <w:gridCol w:w="292"/>
        <w:gridCol w:w="279"/>
        <w:gridCol w:w="826"/>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of net sales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and Automotive product applications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Core IoT product applications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Mobile product applications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net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Percentages may not reconcile due to rounding.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Fiscal 2026 Compared with Fiscal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Net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 was $1,197.2 million for fiscal 2026 compared with $1,074.3 million for fiscal 2025, an increase of $122.9 million, or 11.4%. Of this net revenue, $641.1 million, or 53.5%, was from Enterprise and Automotive product applications, $389.7 million, or 32.6%, was from the Core IoT product applications market and $166.4 million, or 13.9%, was from the Mobile product applications market. Revenue increased in most of our product applications in fiscal 2026. Net revenue from Enterprise and Automotive product applications increased $31.0 million, primarily driven by higher unit sales (1.9%), a better product mix, and increased license revenue from certain of our IP. Net revenue from Core IoT product applications increased $117.3 million, driven by an increase in units sold (25.8%) and an increase in average selling prices (8.0%) due to our product sales mix compared to the same period a year ago, inclusive of the contribution from the Broadcom transaction. Net revenue from Mobile product applications decreased primarily due to a decrease in average selling prices (8.1%) and lower license revenue from certain of our IP.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Gross Margin.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Gross margin as a percentage of net revenue remained flat at 44.7% in fiscal 2026 and fiscal 2025. 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120" w:after="283"/>
        <w:jc w:val="both"/>
        <w:rPr/>
      </w:pPr>
      <w:r>
        <w:rPr>
          <w:rFonts w:ascii="Times New Roman;serif" w:hAnsi="Times New Roman;serif"/>
          <w:b w:val="false"/>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increased $35.0 million, to $381.8 million, for fiscal 2026 compared with $346.8 million in fiscal 2025. The increase in research and development expenses primarily reflected an $18 million increase in share-based compensation </w:t>
      </w:r>
      <w:r>
        <w:rPr>
          <w:rFonts w:ascii="Times New Roman;serif" w:hAnsi="Times New Roman;serif"/>
          <w:b w:val="false"/>
          <w:color w:val="000000"/>
          <w:sz w:val="20"/>
          <w:shd w:fill="FFFFFF" w:val="clear"/>
        </w:rPr>
        <w:t>primarily driven by the charges related to the awards granted to the Broadcom employees onboarded during the third quarter of fiscal 2025, a</w:t>
      </w:r>
      <w:r>
        <w:rPr>
          <w:color w:val="000000"/>
        </w:rPr>
        <w:t xml:space="preserve"> </w:t>
      </w:r>
      <w:r>
        <w:rPr>
          <w:rFonts w:ascii="Times New Roman;serif" w:hAnsi="Times New Roman;serif"/>
          <w:b w:val="false"/>
          <w:color w:val="000000"/>
          <w:sz w:val="20"/>
        </w:rPr>
        <w:t xml:space="preserve">$10.6 million increase in personnel-related costs, and a $3.9 million increase in project specific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shd w:fill="FFFFFF" w:val="clear"/>
        </w:rPr>
        <w:t>Selling, General and Administrative Expenses.</w:t>
      </w:r>
      <w:r>
        <w:rPr>
          <w:color w:val="000000"/>
          <w:shd w:fill="FFFFFF" w:val="clear"/>
        </w:rPr>
        <w:t xml:space="preserve"> </w:t>
      </w:r>
      <w:r>
        <w:rPr>
          <w:rFonts w:ascii="Times New Roman;serif" w:hAnsi="Times New Roman;serif"/>
          <w:b w:val="false"/>
          <w:color w:val="000000"/>
          <w:sz w:val="20"/>
          <w:shd w:fill="FFFFFF" w:val="clear"/>
        </w:rPr>
        <w:t>Selling, general and administrative expenses increased by $18.0 million, to $198.3 million, for fiscal 2026 compared with $180.3 million in fiscal 2025. The increase in selling, general and administrative expenses primarily reflected a $15.6 million increase in share-based compensation primarily attributable to forfeitures associated with the departures of certain executives in the third quarter of fiscal 2025, which did not recur in fiscal 2026,</w:t>
      </w:r>
      <w:r>
        <w:rPr>
          <w:color w:val="000000"/>
        </w:rPr>
        <w:t xml:space="preserve"> </w:t>
      </w:r>
      <w:r>
        <w:rPr>
          <w:rFonts w:ascii="Times New Roman;serif" w:hAnsi="Times New Roman;serif"/>
          <w:b w:val="false"/>
          <w:color w:val="000000"/>
          <w:sz w:val="20"/>
        </w:rPr>
        <w:t>and $10.9 million</w:t>
      </w:r>
      <w:r>
        <w:rPr>
          <w:color w:val="000000"/>
          <w:shd w:fill="FFFFFF" w:val="clear"/>
        </w:rPr>
        <w:t xml:space="preserve"> </w:t>
      </w:r>
      <w:r>
        <w:rPr>
          <w:rFonts w:ascii="Times New Roman;serif" w:hAnsi="Times New Roman;serif"/>
          <w:b w:val="false"/>
          <w:color w:val="000000"/>
          <w:sz w:val="20"/>
          <w:shd w:fill="FFFFFF" w:val="clear"/>
        </w:rPr>
        <w:t xml:space="preserve">in professional service fees primarily related to the pending merger with onsemi. Selling, general and administrative expenses in fiscal 2025 included professional service fees of </w:t>
      </w:r>
      <w:r>
        <w:rPr>
          <w:rFonts w:ascii="Times New Roman;serif" w:hAnsi="Times New Roman;serif"/>
          <w:b w:val="false"/>
          <w:color w:val="000000"/>
          <w:sz w:val="20"/>
        </w:rPr>
        <w:t>$3.3 million</w:t>
      </w:r>
      <w:r>
        <w:rPr>
          <w:color w:val="000000"/>
          <w:shd w:fill="FFFFFF" w:val="clear"/>
        </w:rPr>
        <w:t xml:space="preserve"> </w:t>
      </w:r>
      <w:r>
        <w:rPr>
          <w:rFonts w:ascii="Times New Roman;serif" w:hAnsi="Times New Roman;serif"/>
          <w:b w:val="false"/>
          <w:color w:val="000000"/>
          <w:sz w:val="20"/>
          <w:shd w:fill="FFFFFF" w:val="clear"/>
        </w:rPr>
        <w:t xml:space="preserve">related to the Broadcom transaction we executed in the third quarter of fiscal 2025 and a </w:t>
      </w:r>
      <w:r>
        <w:rPr>
          <w:rFonts w:ascii="Times New Roman;serif" w:hAnsi="Times New Roman;serif"/>
          <w:b w:val="false"/>
          <w:color w:val="000000"/>
          <w:sz w:val="20"/>
        </w:rPr>
        <w:t>$4.5 million</w:t>
      </w:r>
      <w:r>
        <w:rPr>
          <w:color w:val="000000"/>
          <w:shd w:fill="FFFFFF" w:val="clear"/>
        </w:rPr>
        <w:t xml:space="preserve"> </w:t>
      </w:r>
      <w:r>
        <w:rPr>
          <w:rFonts w:ascii="Times New Roman;serif" w:hAnsi="Times New Roman;serif"/>
          <w:b w:val="false"/>
          <w:color w:val="000000"/>
          <w:sz w:val="20"/>
          <w:shd w:fill="FFFFFF" w:val="clear"/>
        </w:rPr>
        <w:t>unfavorable impact from exchange rates on foreign currencies recorded in fiscal 2025, which did not recur in fiscal 2026.</w:t>
      </w:r>
    </w:p>
    <w:p>
      <w:pPr>
        <w:pStyle w:val="TextBody"/>
        <w:bidi w:val="0"/>
        <w:spacing w:lineRule="auto" w:line="288" w:before="120" w:after="283"/>
        <w:jc w:val="both"/>
        <w:rPr/>
      </w:pPr>
      <w:r>
        <w:rPr>
          <w:rFonts w:ascii="Times New Roman;serif" w:hAnsi="Times New Roman;serif"/>
          <w:b w:val="false"/>
          <w:i/>
          <w:color w:val="000000"/>
          <w:sz w:val="20"/>
        </w:rPr>
        <w:t>Acquired Intangibles Amortization.</w:t>
      </w:r>
      <w:r>
        <w:rPr>
          <w:color w:val="000000"/>
        </w:rPr>
        <w:t xml:space="preserve"> </w:t>
      </w:r>
      <w:r>
        <w:rPr>
          <w:rFonts w:ascii="Times New Roman;serif" w:hAnsi="Times New Roman;serif"/>
          <w:b w:val="false"/>
          <w:color w:val="000000"/>
          <w:sz w:val="20"/>
        </w:rPr>
        <w:t>Acquired intangibles amortization reflects the amortization of intangibles acquired through recent acquisitions. See “Item 8. Financial Statements and Supplementary Data – Notes to Consolidated Financial Statements – Note 7. Goodwill and Acquired Intangible Assets.”</w:t>
      </w:r>
    </w:p>
    <w:p>
      <w:pPr>
        <w:pStyle w:val="TextBody"/>
        <w:bidi w:val="0"/>
        <w:spacing w:lineRule="auto" w:line="288" w:before="120" w:after="283"/>
        <w:jc w:val="both"/>
        <w:rPr/>
      </w:pPr>
      <w:r>
        <w:rPr>
          <w:rFonts w:ascii="Times New Roman;serif" w:hAnsi="Times New Roman;serif"/>
          <w:b w:val="false"/>
          <w:i/>
          <w:color w:val="000000"/>
          <w:sz w:val="20"/>
        </w:rPr>
        <w:t xml:space="preserve">Intangible asset impairment charge. </w:t>
      </w:r>
      <w:r>
        <w:rPr>
          <w:rFonts w:ascii="Times New Roman;serif" w:hAnsi="Times New Roman;serif"/>
          <w:b w:val="false"/>
          <w:color w:val="000000"/>
          <w:sz w:val="20"/>
        </w:rPr>
        <w:t>Intangible asset impairment reflects the impairment of certain indefinite-lived intangible assets. See “Item 8. Financial Statements and Supplementary Data – Notes to Consolidated Financial Statements – Note 7. Goodwill and Acquired Intangible Assets.”</w:t>
      </w:r>
    </w:p>
    <w:p>
      <w:pPr>
        <w:pStyle w:val="TextBody"/>
        <w:bidi w:val="0"/>
        <w:spacing w:lineRule="auto" w:line="288" w:before="120" w:after="283"/>
        <w:jc w:val="both"/>
        <w:rPr/>
      </w:pPr>
      <w:r>
        <w:rPr>
          <w:rFonts w:ascii="Times New Roman;serif" w:hAnsi="Times New Roman;serif"/>
          <w:b w:val="false"/>
          <w:i/>
          <w:color w:val="000000"/>
          <w:sz w:val="20"/>
          <w:shd w:fill="FFFFFF" w:val="clear"/>
        </w:rPr>
        <w:t>Restructuring Costs.</w:t>
      </w:r>
      <w:r>
        <w:rPr>
          <w:color w:val="000000"/>
          <w:shd w:fill="FFFFFF" w:val="clear"/>
        </w:rPr>
        <w:t xml:space="preserve"> </w:t>
      </w:r>
      <w:r>
        <w:rPr>
          <w:rFonts w:ascii="Times New Roman;serif" w:hAnsi="Times New Roman;serif"/>
          <w:b w:val="false"/>
          <w:color w:val="000000"/>
          <w:sz w:val="20"/>
          <w:shd w:fill="FFFFFF" w:val="clear"/>
        </w:rPr>
        <w:t xml:space="preserve">Restructuring costs primarily reflect employee severance costs and facilities consolidation costs related to the restructuring action we executed in fiscal </w:t>
      </w:r>
      <w:r>
        <w:rPr>
          <w:rFonts w:ascii="Times New Roman;serif" w:hAnsi="Times New Roman;serif"/>
          <w:b w:val="false"/>
          <w:color w:val="000000"/>
          <w:sz w:val="20"/>
        </w:rPr>
        <w:t>2026</w:t>
      </w:r>
      <w:r>
        <w:rPr>
          <w:color w:val="000000"/>
          <w:shd w:fill="FFFFFF" w:val="clear"/>
        </w:rPr>
        <w:t xml:space="preserve"> </w:t>
      </w:r>
      <w:r>
        <w:rPr>
          <w:rFonts w:ascii="Times New Roman;serif" w:hAnsi="Times New Roman;serif"/>
          <w:b w:val="false"/>
          <w:color w:val="000000"/>
          <w:sz w:val="20"/>
          <w:shd w:fill="FFFFFF" w:val="clear"/>
        </w:rPr>
        <w:t>and 2025. These headcount-related costs included personnel in operations, research and development and selling, general and administrative functions. Restructuring costs incurred in fiscal 2026 and 2025 were $3.3 million and $16.9 million, respectively. See “Item 8. Financial Statements and Supplementary Data – Notes to Consolidated Financial Statements – Note 19. Restructuring Activities.”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Non-Operating Income.</w:t>
      </w:r>
    </w:p>
    <w:p>
      <w:pPr>
        <w:pStyle w:val="TextBody"/>
        <w:bidi w:val="0"/>
        <w:spacing w:lineRule="auto" w:line="288" w:before="120" w:after="283"/>
        <w:jc w:val="both"/>
        <w:rPr/>
      </w:pPr>
      <w:r>
        <w:rPr>
          <w:rFonts w:ascii="Times New Roman;serif" w:hAnsi="Times New Roman;serif"/>
          <w:b w:val="false"/>
          <w:i/>
          <w:color w:val="000000"/>
          <w:sz w:val="20"/>
        </w:rPr>
        <w:t>Interest and Other Income, net.</w:t>
      </w:r>
      <w:r>
        <w:rPr>
          <w:color w:val="000000"/>
        </w:rPr>
        <w:t xml:space="preserve"> </w:t>
      </w:r>
      <w:r>
        <w:rPr>
          <w:rFonts w:ascii="Times New Roman;serif" w:hAnsi="Times New Roman;serif"/>
          <w:b w:val="false"/>
          <w:color w:val="000000"/>
          <w:sz w:val="20"/>
        </w:rPr>
        <w:t xml:space="preserve">Interest and other income decreased by $15.8 million, to $11.1 million, in fiscal 2026 compared with $26.9 million in fiscal 2025. </w:t>
      </w:r>
      <w:r>
        <w:rPr>
          <w:rFonts w:ascii="Times New Roman;serif" w:hAnsi="Times New Roman;serif"/>
          <w:b w:val="false"/>
          <w:color w:val="000000"/>
          <w:sz w:val="20"/>
          <w:shd w:fill="FFFFFF" w:val="clear"/>
        </w:rPr>
        <w:t xml:space="preserve">The decrease was primarily driven by a decrease in interest income of $13.2 million due to the overall reduction in invested cash balances following the early repayment of our incremental term loan facility, which was scheduled to mature in December 2028 (“Term Loan Facility”), in November 2024 and the cash paid for the Broadcom acquisition in January 2025. The decrease also included an impairment charge of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 xml:space="preserve">from a cost method investment during the fourth quarter of fiscal 2026, partially offset by miscellaneous other income of </w:t>
      </w:r>
      <w:r>
        <w:rPr>
          <w:rFonts w:ascii="Times New Roman;serif" w:hAnsi="Times New Roman;serif"/>
          <w:b w:val="false"/>
          <w:color w:val="000000"/>
          <w:sz w:val="20"/>
        </w:rPr>
        <w:t>$2.3 million</w:t>
      </w:r>
      <w:r>
        <w:rPr>
          <w:color w:val="000000"/>
          <w:shd w:fill="FFFFFF" w:val="clear"/>
        </w:rPr>
        <w:t xml:space="preserve"> </w:t>
      </w:r>
      <w:r>
        <w:rPr>
          <w:rFonts w:ascii="Times New Roman;serif" w:hAnsi="Times New Roman;serif"/>
          <w:b w:val="false"/>
          <w:color w:val="000000"/>
          <w:sz w:val="20"/>
          <w:shd w:fill="FFFFFF" w:val="clear"/>
        </w:rPr>
        <w:t xml:space="preserve">relating to a refund of amounts we paid previously to a third party recorded during the first quarter of fiscal 2026. </w:t>
      </w:r>
    </w:p>
    <w:p>
      <w:pPr>
        <w:pStyle w:val="TextBody"/>
        <w:bidi w:val="0"/>
        <w:spacing w:lineRule="auto" w:line="288" w:before="120" w:after="283"/>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xml:space="preserve">. Interest expense primarily includes interest on our debt and amortization of debt discount and issuance costs. Interest expense decreased by $16.4 million to $23.4 million during fiscal 2026 as compared to $39.8 million during fiscal 2025. </w:t>
      </w:r>
      <w:r>
        <w:rPr>
          <w:rFonts w:ascii="Times New Roman;serif" w:hAnsi="Times New Roman;serif"/>
          <w:b w:val="false"/>
          <w:color w:val="000000"/>
          <w:sz w:val="20"/>
          <w:shd w:fill="FFFFFF" w:val="clear"/>
        </w:rPr>
        <w:t>The decrease was primarily driven by the early repayment of the Term Loan Facility in November 2024. During fiscal 2025, the interest expense on the Term Loan Facility was $18.7 million. The Term Loan Facility was repaid with the net proceeds received from the issuance of the 2031 Notes, which bears a significantly lower interest rate of 0.75%. See “Item 8. Financial Statements and Supplementary Data – Notes to Consolidated Financial Statements – Note 8. Debt and Revolving Credit Facility.”</w:t>
      </w:r>
    </w:p>
    <w:p>
      <w:pPr>
        <w:pStyle w:val="TextBody"/>
        <w:bidi w:val="0"/>
        <w:spacing w:lineRule="auto" w:line="288" w:before="120" w:after="283"/>
        <w:jc w:val="both"/>
        <w:rPr/>
      </w:pPr>
      <w:r>
        <w:rPr>
          <w:rFonts w:ascii="Times New Roman;serif" w:hAnsi="Times New Roman;serif"/>
          <w:b w:val="false"/>
          <w:i/>
          <w:color w:val="000000"/>
          <w:sz w:val="20"/>
          <w:shd w:fill="FFFFFF" w:val="clear"/>
        </w:rPr>
        <w:t>Provision (Benefit) for Income Taxes</w:t>
      </w:r>
      <w:r>
        <w:rPr>
          <w:rFonts w:ascii="Times New Roman;serif" w:hAnsi="Times New Roman;serif"/>
          <w:b w:val="false"/>
          <w:color w:val="000000"/>
          <w:sz w:val="20"/>
          <w:shd w:fill="FFFFFF" w:val="clear"/>
        </w:rPr>
        <w:t xml:space="preserve">. The provision (benefit) for income taxes of $411.4 million and $(65.7) million in fiscal 2026 and 2025, respectively, represented estimated federal, foreign and state income taxes. The effective tax rate for fiscal 2026 diverged from the combined U.S. federal and state statutory tax rate primarily due to </w:t>
      </w:r>
      <w:r>
        <w:rPr>
          <w:rFonts w:ascii="Times New Roman;serif" w:hAnsi="Times New Roman;serif"/>
          <w:b w:val="false"/>
          <w:color w:val="000000"/>
          <w:sz w:val="20"/>
        </w:rPr>
        <w:t>a significant non-cash tax expense associated with the establishment of a full valuation allowance against our U.S. federal deferred tax assets. This expense was partially offset by the benefits from research and development tax credits and foreign-derived deduction eligible income. See “Item 8. Financial Statements and Supplementary Data – Notes to Consolidated Financial Statements – Note 16.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or OBBBA, was signed into law. The legislation includes a permanent extension and modification of certain provisions under the Tax Cuts and Jobs Act of 2017. Provisions effective for Synaptics beginning June 29, 2025, were reflected in the Company’s income tax provision for fiscal 2026 and did not have a material impact on the effective tax rate or cash flows. We will continue to monitor forthcoming U.S. Treasury and Internal Revenue Service guidance related to OBBBA and assess potential implications for future reporting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or OECD, introduced Pillar Two model rules for a global minimum tax of 15% applicable to large multinational corporations. Many countries in which we have business operations, including the United Kingdom, Hong Kong, Switzerland, and Japan, have implemented certain aspects of Pillar Two. The OECD and the implementing countries are expected to continue issuing guidance and refining their laws. Based on the latest legislation, Pillar Two had immaterial impact on our effective tax rate or cash flows for fiscal 2026. We will continue to evaluate the potential impact of these developments as additional guidance is issued and further local enactments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Our cash and cash equivalents were $442.5 million as of the end of fiscal 2026 compared with $391.5 million as of the end of fiscal 2025, an increase of $51.0 million. The increase in cash and cash equivalents was driven by cash provided by operating activities of </w:t>
      </w:r>
      <w:r>
        <w:rPr>
          <w:rFonts w:ascii="Times New Roman;serif" w:hAnsi="Times New Roman;serif"/>
          <w:b w:val="false"/>
          <w:color w:val="000000"/>
          <w:sz w:val="20"/>
        </w:rPr>
        <w:t>$149.4 million</w:t>
      </w:r>
      <w:r>
        <w:rPr>
          <w:rFonts w:ascii="Times New Roman;serif" w:hAnsi="Times New Roman;serif"/>
          <w:b w:val="false"/>
          <w:color w:val="000000"/>
          <w:sz w:val="20"/>
          <w:shd w:fill="FFFFFF" w:val="clear"/>
        </w:rPr>
        <w:t>, partially offset by cash used in financing activities of $111.5 million primarily related to repurchases of our common stock during fiscal 2026.</w:t>
      </w:r>
    </w:p>
    <w:p>
      <w:pPr>
        <w:pStyle w:val="TextBody"/>
        <w:bidi w:val="0"/>
        <w:spacing w:lineRule="auto" w:line="288" w:before="120" w:after="283"/>
        <w:jc w:val="both"/>
        <w:rPr/>
      </w:pPr>
      <w:r>
        <w:rPr>
          <w:rFonts w:ascii="Times New Roman;serif" w:hAnsi="Times New Roman;serif"/>
          <w:b w:val="false"/>
          <w:color w:val="000000"/>
          <w:sz w:val="20"/>
          <w:shd w:fill="FFFFFF" w:val="clear"/>
        </w:rPr>
        <w:t>We consider almost all earnings of our foreign subsidiaries as</w:t>
      </w:r>
      <w:r>
        <w:rPr>
          <w:color w:val="000000"/>
        </w:rPr>
        <w:t xml:space="preserve"> </w:t>
      </w:r>
      <w:r>
        <w:rPr>
          <w:rFonts w:ascii="Times New Roman;serif" w:hAnsi="Times New Roman;serif"/>
          <w:b w:val="false"/>
          <w:color w:val="000000"/>
          <w:sz w:val="20"/>
        </w:rPr>
        <w:t>not indefinitely reinvested and have made appropriate provisions for income or withholding taxes that may result from a future repatriation of those earnings. As of the end of fiscal 2026, $254.8 million of cash and cash equivalents was held by our foreign subsidiaries. If these funds are needed for our operations in the United States, we will be able to repatriate these funds without a material impact on our provision for income taxes.</w:t>
      </w:r>
    </w:p>
    <w:p>
      <w:pPr>
        <w:pStyle w:val="TextBody"/>
        <w:bidi w:val="0"/>
        <w:spacing w:lineRule="auto" w:line="288" w:before="120" w:after="283"/>
        <w:jc w:val="both"/>
        <w:rPr/>
      </w:pPr>
      <w:r>
        <w:rPr>
          <w:rFonts w:ascii="Times New Roman;serif" w:hAnsi="Times New Roman;serif"/>
          <w:b w:val="false"/>
          <w:i/>
          <w:color w:val="000000"/>
          <w:sz w:val="20"/>
        </w:rPr>
        <w:t xml:space="preserve">Cash Flows from Operating Activities. </w:t>
      </w:r>
      <w:r>
        <w:rPr>
          <w:rFonts w:ascii="Times New Roman;serif" w:hAnsi="Times New Roman;serif"/>
          <w:b w:val="false"/>
          <w:color w:val="000000"/>
          <w:sz w:val="20"/>
        </w:rPr>
        <w:t>Operating activities during fiscal 2026 generated $149.4 million compared with $142.0 million net cash generated in fiscal 2025. In fiscal 2026, net cash provided by operating activities was primarily driven by our results of operations, adjusted for non-cash charges of $728.3 million primarily related to deferred taxes due to an establishment of valuation allowance against U.S. deferred tax assets, share-based compensation costs, and acquired intangible amortization, and net cash outflows of $88.1 million from changes in our operating assets and liabilities. The primary drivers of the change in operating assets and liabilities relate to a decrease of $30.9 million in other accrued liabilities primarily associated with customer related liabilities, an increase in inventories of $17.1 million, related to the availability of supply and the impact of variations between forecasted and actual demand, and an increase in accounts receivable of $33.7 million, primarily related to the timing of collections and billings.</w:t>
      </w:r>
    </w:p>
    <w:p>
      <w:pPr>
        <w:pStyle w:val="TextBody"/>
        <w:bidi w:val="0"/>
        <w:spacing w:lineRule="auto" w:line="288" w:before="120" w:after="283"/>
        <w:jc w:val="both"/>
        <w:rPr/>
      </w:pPr>
      <w:r>
        <w:rPr>
          <w:rFonts w:ascii="Times New Roman;serif" w:hAnsi="Times New Roman;serif"/>
          <w:b w:val="false"/>
          <w:i/>
          <w:color w:val="000000"/>
          <w:sz w:val="20"/>
        </w:rPr>
        <w:t>Cash Flows from Investing Activities.</w:t>
      </w:r>
      <w:r>
        <w:rPr>
          <w:color w:val="000000"/>
        </w:rPr>
        <w:t xml:space="preserve"> </w:t>
      </w:r>
      <w:r>
        <w:rPr>
          <w:rFonts w:ascii="Times New Roman;serif" w:hAnsi="Times New Roman;serif"/>
          <w:b w:val="false"/>
          <w:color w:val="000000"/>
          <w:sz w:val="20"/>
        </w:rPr>
        <w:t>Net cash provided by investing activities for fiscal 2026 was $13.0 million compared with cash used in investing activities of $297.9 million during fiscal 2025. Net cash provided by investing activities for fiscal 2026 primarily consisted of $61.0 million in proceeds from maturities of short-term investments which were not subsequently reinvested in short-term investments, partially offset by purchases of property and equipment of $48.0 million.</w:t>
      </w:r>
    </w:p>
    <w:p>
      <w:pPr>
        <w:pStyle w:val="TextBody"/>
        <w:bidi w:val="0"/>
        <w:spacing w:lineRule="auto" w:line="288" w:before="120" w:after="283"/>
        <w:jc w:val="both"/>
        <w:rPr/>
      </w:pPr>
      <w:r>
        <w:rPr>
          <w:rFonts w:ascii="Times New Roman;serif" w:hAnsi="Times New Roman;serif"/>
          <w:b w:val="false"/>
          <w:i/>
          <w:color w:val="000000"/>
          <w:sz w:val="20"/>
        </w:rPr>
        <w:t>Cash Flows from Financing Activities.</w:t>
      </w:r>
      <w:r>
        <w:rPr>
          <w:color w:val="000000"/>
        </w:rPr>
        <w:t xml:space="preserve"> </w:t>
      </w:r>
      <w:r>
        <w:rPr>
          <w:rFonts w:ascii="Times New Roman;serif" w:hAnsi="Times New Roman;serif"/>
          <w:b w:val="false"/>
          <w:color w:val="000000"/>
          <w:sz w:val="20"/>
        </w:rPr>
        <w:t>Net cash used in financing activities for fiscal 2026 was $111.5 million compared with $331.4 million used in financing activities for fiscal 2025. Net cash used in financing activities for fiscal 2026 primarily consisted of $92.7 million used to repurchase our common stock and $48.4 million used for payroll taxes in connection with the delivery of the underlying shares for share-based awards, partially offset by $17.2 million in proceeds from the issuance of our common shares primarily under our employee stock purchase plan and $14.0 million from the refund of a deposit previously paid to a vendor.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$350.0 million available under our revolving credit facility with a maturity date to be the earlier of November 2029 or three months prior to any maturity of our Senior Notes. No funds were drawn from this credit facility during fiscal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aggregate principal debt obligations were $850.0 million as of June 2026 and mature at various dates through December 2031. </w:t>
      </w:r>
    </w:p>
    <w:p>
      <w:pPr>
        <w:pStyle w:val="TextBody"/>
        <w:bidi w:val="0"/>
        <w:spacing w:lineRule="auto" w:line="288" w:before="120" w:after="283"/>
        <w:jc w:val="both"/>
        <w:rPr/>
      </w:pPr>
      <w:r>
        <w:rPr>
          <w:rFonts w:ascii="Times New Roman;serif" w:hAnsi="Times New Roman;serif"/>
          <w:b w:val="false"/>
          <w:color w:val="000000"/>
          <w:sz w:val="20"/>
        </w:rPr>
        <w:t>The net carrying amount of our 2031 Notes, which have an aggregate principal balance of $450.0 million maturing in 2031, of $439.6 million is presented in the current portion of long-term debt in our consolidated balance sheets as of June 2026. D</w:t>
      </w:r>
      <w:r>
        <w:rPr>
          <w:rFonts w:ascii="Times New Roman;serif" w:hAnsi="Times New Roman;serif"/>
          <w:b w:val="false"/>
          <w:color w:val="000000"/>
          <w:sz w:val="20"/>
          <w:shd w:fill="FFFFFF" w:val="clear"/>
        </w:rPr>
        <w:t>uring the fourth quarter of fiscal 2026, the last reported sale pr</w:t>
      </w:r>
      <w:r>
        <w:rPr>
          <w:rFonts w:ascii="Times New Roman;serif" w:hAnsi="Times New Roman;serif"/>
          <w:b w:val="false"/>
          <w:color w:val="000000"/>
          <w:sz w:val="20"/>
        </w:rPr>
        <w:t xml:space="preserve">ice per share of our common stock exceeded 130% of the conversion price for at least 20 trading days during the 30 consecutive trading days of the calendar quarter, which caused the 2031 Notes to be convertible by the holders for the calendar quarter ending September 30,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carrying amount of our Senior Notes, which have an aggregate principal balance of $400.0 million maturing in 2029, of $397.7 million is presented in long-term debt in our consolidated balance sheets as of June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8. Debt and Revolving Credit Facility.”</w:t>
      </w:r>
    </w:p>
    <w:p>
      <w:pPr>
        <w:pStyle w:val="TextBody"/>
        <w:bidi w:val="0"/>
        <w:spacing w:lineRule="auto" w:line="288" w:before="120" w:after="283"/>
        <w:jc w:val="both"/>
        <w:rPr/>
      </w:pPr>
      <w:r>
        <w:rPr>
          <w:rFonts w:ascii="Times New Roman;serif" w:hAnsi="Times New Roman;serif"/>
          <w:b w:val="false"/>
          <w:i/>
          <w:color w:val="000000"/>
          <w:sz w:val="20"/>
        </w:rPr>
        <w:t xml:space="preserve">Contractual Obligations and Commercial Commitments. </w:t>
      </w:r>
      <w:r>
        <w:rPr>
          <w:rFonts w:ascii="Times New Roman;serif" w:hAnsi="Times New Roman;serif"/>
          <w:b w:val="false"/>
          <w:color w:val="000000"/>
          <w:sz w:val="20"/>
        </w:rPr>
        <w:t>For our operating lease obligations, see “Item 8. Financial Statements and Supplementary Data – Notes to Consolidated Financial Statements – Note 9. Leases.” For our purchase obligations, see “Item 8. Financial Statements and Supplementary Data – Notes to Consolidated Financial Statements – Note 12. Commitments and Contingencies.”</w:t>
      </w:r>
    </w:p>
    <w:p>
      <w:pPr>
        <w:pStyle w:val="TextBody"/>
        <w:bidi w:val="0"/>
        <w:spacing w:lineRule="auto" w:line="288" w:before="120" w:after="283"/>
        <w:jc w:val="both"/>
        <w:rPr/>
      </w:pPr>
      <w:r>
        <w:rPr>
          <w:rFonts w:ascii="Times New Roman;serif" w:hAnsi="Times New Roman;serif"/>
          <w:b w:val="false"/>
          <w:i/>
          <w:color w:val="000000"/>
          <w:sz w:val="20"/>
        </w:rPr>
        <w:t>Working Capital Needs.</w:t>
      </w:r>
      <w:r>
        <w:rPr>
          <w:color w:val="000000"/>
        </w:rPr>
        <w:t xml:space="preserve"> </w:t>
      </w:r>
      <w:r>
        <w:rPr>
          <w:rFonts w:ascii="Times New Roman;serif" w:hAnsi="Times New Roman;serif"/>
          <w:b w:val="false"/>
          <w:color w:val="000000"/>
          <w:sz w:val="20"/>
        </w:rPr>
        <w:t xml:space="preserve">We believe our existing cash and cash equivalents, anticipated cash flows from operating activities and available credit under our revolving credit facility will be sufficient to meet our working capital and other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requirements,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the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undistributed earnings of our foreign subsidiaries are not currently required to meet our U.S. working capital and other cash requirements, but should we repatriate a portion of these earnings, we may be required to pay certain previously accrued state and foreign taxes, which would impact our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which have been prepared in accordance with U.S. generally accepted accounting principles (“U.S. GAAP”). The preparation of our consolidated financial statements requires us to make estimates and judgments in applying our most critical accounting policies that can have a significant impact on the results we report in our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 has defined critical accounting estimates as those that are both most important to the portrayal of our financial condition and results and which require our most difficult, complex or subjective judgments or estimates. We evaluate our estimates on an on-going basis, including those related to our revenue, inventory valuation, business combinations, goodwill and income taxes. We base our estimates on historical experience and on various other assumptions that we believe to be reasonable under the circumstances, the results of which form the bases for making judgments about the carrying values of assets and liabilities. Although actual results have historically been reasonably consistent with our expectations, the actual results may differ from these estimates or our estimates may be affected by different assumptions or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the following critical accounting estimates are the most significant to the presentation of our financial statements and require the most difficult, subjective and complex judgments.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 revenue upon the transfer of control of goods to our customers in an amount that reflects the consideration we expect to receive. Our pricing terms are negotiated independently with each customer on a stand-alone basis. In evaluating the transaction price, we assess whether it is subject to adjustment or refund, such as stock rotation rights, price protection or volume-based incentives, and we estimate the resulting variable consideration accordingly. Although such arrangements occur in limited circumstances, they require judgment to determine the net consideration to which we expect to be entitled. We estimate variable consideration based on historical data and experience with returns, rebates and credits. We believe these amounts to be immaterial to total revenue and do not anticipate significant changes to our estimates. This estimate qualifies as a critical accounting estimate due to the subjective judgments required to assess variable consideration and the potential impact on revenue recognition timing and amount, even if the current magnitude of such estimates is limited.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Inventory Valuation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value inventory at standard cost, adjusted to approximate the lower of actual cost and estimated net realizable value using assumptions about future demand and market conditions. In determining excess or obsolescence reserves for our products, we consider assumptions such as changes in business and economic conditions, other-than-temporary decreases in demand for our products and changes in customer requirements. In determining the lower of cost and net realizable value of our inventories, we consider assumptions such as recent historical sales activity and selling prices, as well as estimates of future selling prices.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fully reserve for inventories and non-cancellable purchase orders for inventory deemed obsolete. We perform periodic reviews of inventory items to identify excess inventories on hand by comparing on-hand balances and non-cancellable purchase orders to anticipated usage based on recent historical activity as well as anticipated or forecasted demand. We also record a charge to cost of revenue for estimated losses for inventory we are obligated to purchase from our contract manufacturers when such losses become probable from customer delays, order cancellations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 Our reserves contain uncertainties because the calculation requires us to make assumptions and to apply judgment regarding historical experience, market conditions and technological obsolescence. Overall, our estimates of inventory carrying value adjustments have been materially consistent with actual results. Due to the subjective inputs and forward-looking assumptions, this estimate qualifies as a critical accounting estimate with potential impact on gross margin and inventory-related balances.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Accounting for a business combination requires us to estimate the fair value of consideration paid and the individual assets acquired and liabilities assumed, which involves a number of judgments, assumptions and estimates that could materially affect the amount and timing of costs recognized in subsequent periods. We typically obtain independent third-party valuation studies to assist us in determining fair values, including assistance in estimating future cash flows, discount rates and comparable market values. Items involving significant assumptions, estimates and judgments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Fair value of consideration paid or transferred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Intangible assets, including valuation methodology such as the income approach that includes the use of a discounted cash flow model, estimates of future revenues and costs, discount and royalty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assets acquired and liabilities assumed based upon assumptions we believe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 Due to the subjectivity and reliance on forward-looking inputs, these acquisition-related estimates qualify as critical accounting estimates.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Long-Lived Assets and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assess the impairment of long-lived assets and definite-lived intangible assets whenever events or changes in circumstances indicate that the carrying amount of long-lived assets may not be recoverable. We assess the impairment of indefinite-lived intangible assets annually, and more frequently, if events or changes in circumstances indicate that it is more likely than not that the asset is impaired. Circumstances which could trigger a review include, but are not limited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decreases in the market price of the asset;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Significant adverse changes in the business climate or legal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Accumulation of costs significantly in excess of the amount originally expected for the acquisition or construction of the asset;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Current period cash flow or operating losses combined with a history of losses or a forecast of continuing losses associated with the use of the asset;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Current expectation that the asset will more likely than not be sold or disposed of significantly before the end of its estimated useful life.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Whenever events or changes in circumstances suggest that the carrying amount of long-lived assets and intangible assets may not be recoverable, we estimate the future cash flows, undiscounted and without interest charges, expected to be generated by the asset from its use or eventual disposition. If the sum of the expected undiscounted future cash flows is less than the carrying amount of those assets, we recognize an impairment loss based on the excess of the carrying amount over the fair value of the assets. Significant management judgment is required in the forecasts of future operating results that are used in the discounted cash flow method of valuation. These significant judgments may include future expected revenue, expenses, capital expenditures and other costs, discount rates and whether or not alternative uses are available for impacted long-lived assets.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our income taxes in each of the jurisdictions in which we operate. The determination of our income tax provision requires significant judgment and estimates, including the amount and timing of taxable income by jurisdiction, the tax treatment of transactions, the realizability of deferred tax assets, uncertain tax positions and the expected resolution of tax examinations.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income tax estimate relates to the realizability of deferred tax assets and the related valuation allowance. Assessing the need for a valuation allowance for deferred tax assets requires judgment and analysis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evaluating all available positive and negative evidence, including cumulative earnings or losses over the most recent three-year period, recent operating results, the scheduled reversal of existing taxable temporary differences, projected future taxable income, and prudent and feasible tax planning strategies. We record a valuation allowance when it is more likely than not that some or all of a deferred tax asset will not be realized. Our projections of future taxable income by jurisdiction are based on management’s estimates of future operating results, the timing and amount of taxable income, reversals of temporary differences and available tax-planning strategies. These estimates may differ from actual results. Changes in our projections or in the weight assigned to available evidence could result in a material increase or decrease in the valuation allowance and related 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assessing the need for a valuation allowance all positive and negative evidence is analyzed, including our ability to carry back net operating losses to prior periods, the reversal of deferred tax liabilities, tax planning strategies and projected future taxable income. Accordingly, as of June 2026, we had recorded a full valuation allowance on our net U.S. deferred tax assets based on our assessment that it is more likely than not that the deferred tax asset will not be realized. As a result of the losses incurred in fiscal 2026, we had a three-year cumulative loss, which represents significant negative evidence regarding the ability to realize deferred tax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multinational corporation, we conduct our business in many countries and are subject to taxation in many jurisdictions. Our income tax estimates are also affected by the geographic distribution of our worldwide earnings or losses, tax laws and regulations in various jurisdictions, tax incentives, the availability of tax credits and loss carryforwards and the effectiveness of our tax planning strategies, which includes our estimates of the fair value of our intellectual property. The application of tax laws and regulations is subject to legal and factual interpretation, judgment and uncertainty. We use judgment to evaluate the technical merits of tax positions and estimate the amount of tax benefits expected to be sustained upon examination. These estimates may change as a result of new information, changes in tax laws or interpretations, court decisions, audit developments or settlements with tax authorities.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the complexity of international tax laws, reliance on future projections and the significant level of judgment involved, income tax-related estimates qualify as critical accounting estimates and may impact our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2. Basis of Presentation and Significant Accounting Policies – Accounting Pronouncements Adopted.” and “Item 8. Financial Statements and Supplementary Data – Notes to Consolidated Financial Statements – Note 2. Basis of Presentation and Significant Accounting Policies – Accounting Pronouncements Issued But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These risks primarily include: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Exchange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total net revenue for fiscal 2026 and 2025 was denominated in U.S. dollars. Costs denominated in foreign currencies were approximately 17% of our total costs in fiscal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face the risk that our accounts payable and monetary liabilities denominated in foreign currencies will increase if such foreign currencies strengthen quickly and significantly against the U.S. dollar. Approximately 5% and 3% of our accounts payable were denominated in foreign currencies as of June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provide an assessment of the foreign currency exchange risk associated with our foreign currency exposures within cost and operating expenses, we performed a sensitivity analysis to determine the impact that an adverse change in exchange rates would have on our financial statements. A hypothetical weighted-average change of 10% in currency exchange rates would have changed our operating loss before income taxes and our net loss by approximately $22.0 million for fiscal 2026,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 on 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for changes in interest rates relates primarily to our investment portfolio. Our investment portfolio consists of cash and cash equivalents (money market funds and short-term investments). Our primary objective with our investment portfolio is to invest available cash while preserving principal and meeting liquidity needs. Our cash equivalent investments have short-term maturity periods that mitigate the impact of market or 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results of operations for fiscal 2026, a hypothetical increase or decrease of 50 basis points in the interest rates on our cash, cash equivalents and short-term investments compared to rates at the end of fiscal 2026 would result in a corresponding increase or decrease in interest income of approximately $2.0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 on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2026, our outstanding long-term debt had fixed interest rates. Consequently, our exposure to market risk for changes in interest rates on reported interest expense and corresponding cash flows is minimal.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FINANCIAL STATEMENTS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tbl>
      <w:tblPr>
        <w:tblW w:w="10205" w:type="dxa"/>
        <w:jc w:val="left"/>
        <w:tblInd w:w="0" w:type="dxa"/>
        <w:tblLayout w:type="fixed"/>
        <w:tblCellMar>
          <w:top w:w="28" w:type="dxa"/>
          <w:left w:w="28" w:type="dxa"/>
          <w:bottom w:w="28" w:type="dxa"/>
          <w:right w:w="28" w:type="dxa"/>
        </w:tblCellMar>
      </w:tblPr>
      <w:tblGrid>
        <w:gridCol w:w="3566"/>
        <w:gridCol w:w="3124"/>
        <w:gridCol w:w="3141"/>
        <w:gridCol w:w="109"/>
        <w:gridCol w:w="109"/>
        <w:gridCol w:w="156"/>
      </w:tblGrid>
      <w:tr>
        <w:trPr/>
        <w:tc>
          <w:tcPr>
            <w:tcW w:w="3566"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79">
              <w:r>
                <w:rPr>
                  <w:rStyle w:val="InternetLink"/>
                  <w:rFonts w:ascii="Times New Roman;serif" w:hAnsi="Times New Roman;serif"/>
                  <w:b w:val="false"/>
                  <w:color w:val="000080"/>
                  <w:sz w:val="20"/>
                  <w:u w:val="single"/>
                </w:rPr>
                <w:t>Report of Independent Registered Public Accounting Firm (</w:t>
              </w:r>
            </w:hyperlink>
            <w:r>
              <w:rPr>
                <w:rFonts w:ascii="Times New Roman;serif" w:hAnsi="Times New Roman;serif"/>
                <w:b w:val="false"/>
                <w:color w:val="0000FF"/>
                <w:sz w:val="20"/>
                <w:u w:val="single"/>
              </w:rPr>
              <w:t>KPMG LLP</w:t>
            </w:r>
            <w:hyperlink w:anchor="i8a5469c3e6b14ed3b698364bd33c7bfd_7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Santa Clara, California</w:t>
            </w:r>
            <w:hyperlink w:anchor="i8a5469c3e6b14ed3b698364bd33c7bfd_79">
              <w:r>
                <w:rPr>
                  <w:rStyle w:val="InternetLink"/>
                  <w:rFonts w:ascii="Times New Roman;serif" w:hAnsi="Times New Roman;serif"/>
                  <w:b w:val="false"/>
                  <w:color w:val="000080"/>
                  <w:sz w:val="20"/>
                  <w:u w:val="single"/>
                </w:rPr>
                <w:t xml:space="preserve">, PCAOB Audit Firm ID: </w:t>
              </w:r>
            </w:hyperlink>
            <w:r>
              <w:rPr>
                <w:rFonts w:ascii="Times New Roman;serif" w:hAnsi="Times New Roman;serif"/>
                <w:b w:val="false"/>
                <w:color w:val="0000FF"/>
                <w:sz w:val="20"/>
                <w:u w:val="single"/>
              </w:rPr>
              <w:t>185</w:t>
            </w:r>
            <w:hyperlink w:anchor="i8a5469c3e6b14ed3b698364bd33c7bfd_79">
              <w:r>
                <w:rPr>
                  <w:rStyle w:val="InternetLink"/>
                  <w:rFonts w:ascii="Times New Roman;serif" w:hAnsi="Times New Roman;serif"/>
                  <w:b w:val="false"/>
                  <w:color w:val="000080"/>
                  <w:sz w:val="20"/>
                  <w:u w:val="single"/>
                </w:rPr>
                <w:t>)</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79">
              <w:r>
                <w:rPr>
                  <w:rStyle w:val="InternetLink"/>
                  <w:rFonts w:ascii="Times New Roman;serif" w:hAnsi="Times New Roman;serif"/>
                  <w:b w:val="false"/>
                  <w:color w:val="0000FF"/>
                  <w:sz w:val="20"/>
                  <w:u w:val="single"/>
                </w:rPr>
                <w:t>37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2">
              <w:r>
                <w:rPr>
                  <w:rStyle w:val="InternetLink"/>
                  <w:rFonts w:ascii="Times New Roman;serif" w:hAnsi="Times New Roman;serif"/>
                  <w:b w:val="false"/>
                  <w:color w:val="0000FF"/>
                  <w:sz w:val="20"/>
                  <w:u w:val="single"/>
                </w:rPr>
                <w:t>Consolidated Balance Sheets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2">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5">
              <w:r>
                <w:rPr>
                  <w:rStyle w:val="InternetLink"/>
                  <w:rFonts w:ascii="Times New Roman;serif" w:hAnsi="Times New Roman;serif"/>
                  <w:b w:val="false"/>
                  <w:color w:val="0000FF"/>
                  <w:sz w:val="20"/>
                  <w:u w:val="single"/>
                </w:rPr>
                <w:t>Consolidated Statements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5">
              <w:r>
                <w:rPr>
                  <w:rStyle w:val="InternetLink"/>
                  <w:rFonts w:ascii="Times New Roman;serif" w:hAnsi="Times New Roman;serif"/>
                  <w:b w:val="false"/>
                  <w:color w:val="0000FF"/>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8">
              <w:r>
                <w:rPr>
                  <w:rStyle w:val="InternetLink"/>
                  <w:rFonts w:ascii="Times New Roman;serif" w:hAnsi="Times New Roman;serif"/>
                  <w:b w:val="false"/>
                  <w:color w:val="0000FF"/>
                  <w:sz w:val="20"/>
                  <w:u w:val="single"/>
                </w:rPr>
                <w:t>Consolidated Statements of Comprehensive (Loss) Income</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8">
              <w:r>
                <w:rPr>
                  <w:rStyle w:val="InternetLink"/>
                  <w:rFonts w:ascii="Times New Roman;serif" w:hAnsi="Times New Roman;serif"/>
                  <w:b w:val="false"/>
                  <w:color w:val="0000FF"/>
                  <w:sz w:val="20"/>
                  <w:u w:val="single"/>
                </w:rPr>
                <w:t>41</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1">
              <w:r>
                <w:rPr>
                  <w:rStyle w:val="InternetLink"/>
                  <w:rFonts w:ascii="Times New Roman;serif" w:hAnsi="Times New Roman;serif"/>
                  <w:b w:val="false"/>
                  <w:color w:val="0000FF"/>
                  <w:sz w:val="20"/>
                  <w:u w:val="single"/>
                </w:rPr>
                <w:t>Consolidated Statements of Stockholders’ Equity</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1">
              <w:r>
                <w:rPr>
                  <w:rStyle w:val="InternetLink"/>
                  <w:rFonts w:ascii="Times New Roman;serif" w:hAnsi="Times New Roman;serif"/>
                  <w:b w:val="false"/>
                  <w:color w:val="0000FF"/>
                  <w:sz w:val="20"/>
                  <w:u w:val="single"/>
                </w:rPr>
                <w:t>42</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4">
              <w:r>
                <w:rPr>
                  <w:rStyle w:val="InternetLink"/>
                  <w:rFonts w:ascii="Times New Roman;serif" w:hAnsi="Times New Roman;serif"/>
                  <w:b w:val="false"/>
                  <w:color w:val="0000FF"/>
                  <w:sz w:val="20"/>
                  <w:u w:val="single"/>
                </w:rPr>
                <w:t>Consolidated Statements of Cash Flows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4">
              <w:r>
                <w:rPr>
                  <w:rStyle w:val="InternetLink"/>
                  <w:rFonts w:ascii="Times New Roman;serif" w:hAnsi="Times New Roman;serif"/>
                  <w:b w:val="false"/>
                  <w:color w:val="0000FF"/>
                  <w:sz w:val="20"/>
                  <w:u w:val="single"/>
                </w:rPr>
                <w:t>43</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7">
              <w:r>
                <w:rPr>
                  <w:rStyle w:val="InternetLink"/>
                  <w:rFonts w:ascii="Times New Roman;serif" w:hAnsi="Times New Roman;serif"/>
                  <w:b w:val="false"/>
                  <w:color w:val="0000FF"/>
                  <w:sz w:val="20"/>
                  <w:u w:val="single"/>
                </w:rPr>
                <w:t>Notes to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7">
              <w:r>
                <w:rPr>
                  <w:rStyle w:val="InternetLink"/>
                  <w:rFonts w:ascii="Times New Roman;serif" w:hAnsi="Times New Roman;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Synaptics Incorporated: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Synaptics Incorporated and subsidiaries (the Company) as of June 27, 2026 and June 28, 2025, the related consolidated statements of operations, comprehensive (loss) income, stockholders’ equity, and cash flows for each of the fiscal years in the three-year period ended June 27, 2026, and the related notes (collectively, the consolidated financial statements). We also have audited the Company’s internal control over financial reporting as of June 27, 2026, based on criteria established in Internal Control – Integrated Framework (2013) issued by the Committee of Sponsoring Organizations of the Treadway Commission.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June 27, 2026 and June 28, 2025, and the results of its operations and its cash flows for each of the fiscal years in the three-year period ended June 27, 2026, in conformity with U.S. generally accepted accounting principles. Also in our opinion, the Company maintained, in all material respects, effective internal control over financial reporting as of June 27, 2026 based on criteria established in Internal Control – Integrated Framework (2013) issued by the Committee of Sponsoring Organizations of the Treadway Commission.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Valuation of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2 and 3 to the consolidated financial statements, the Company held $156.4 million of inventories as of June 27, 2026 which are stated at the lower of cost and net realizable value. The Company records a write-down for excess, obsolete or unmarketable inventories based on forecasts of future demand and market conditions.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valuation of inventories associated with excess, obsolete or unmarketable inventories as a critical audit matter. A higher degree of auditor judgment was required to evaluate the Company’s estimate of net realizable value for these inventories. Specifically, there is a high degree of subjectivity in evaluating the effect of any unexpected or sudden declines in market demand which may result from changes to or cancellations of customer orders, rapid product improvements or technological advances, due to the nature of the evidence available related to these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For a selection of inventory items, we assessed the Company’s assumptions by comparing them to historical activity and demand forecasts. As part of the procedure, we considered customer communications, as well as end user and third-party publications. For a sample of inventory items, we recalculated the required write-downs and compared this to the recorded amounts.</w:t>
      </w:r>
    </w:p>
    <w:p>
      <w:pPr>
        <w:pStyle w:val="TextBody"/>
        <w:bidi w:val="0"/>
        <w:spacing w:before="120" w:after="283"/>
        <w:jc w:val="both"/>
        <w:rPr/>
      </w:pPr>
      <w:r>
        <w:rPr/>
      </w:r>
    </w:p>
    <w:p>
      <w:pPr>
        <w:pStyle w:val="TextBody"/>
        <w:bidi w:val="0"/>
        <w:spacing w:lineRule="auto" w:line="288" w:before="240" w:after="283"/>
        <w:jc w:val="both"/>
        <w:rPr/>
      </w:pPr>
      <w:r>
        <w:rPr>
          <w:rFonts w:ascii="Times New Roman;serif" w:hAnsi="Times New Roman;serif"/>
          <w:b w:val="false"/>
          <w:i/>
          <w:color w:val="000000"/>
          <w:sz w:val="20"/>
        </w:rPr>
        <w:t>/s/</w:t>
      </w:r>
      <w:r>
        <w:rPr>
          <w:color w:val="000000"/>
        </w:rPr>
        <w:t xml:space="preserve"> </w:t>
      </w:r>
      <w:r>
        <w:rPr>
          <w:rFonts w:ascii="Times New Roman;serif" w:hAnsi="Times New Roman;serif"/>
          <w:b w:val="false"/>
          <w:color w:val="000000"/>
          <w:sz w:val="20"/>
        </w:rPr>
        <w:t>KPMG LLP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Santa Clara,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par value and share amounts)</w:t>
      </w:r>
    </w:p>
    <w:tbl>
      <w:tblPr>
        <w:tblW w:w="10205" w:type="dxa"/>
        <w:jc w:val="left"/>
        <w:tblInd w:w="0" w:type="dxa"/>
        <w:tblLayout w:type="fixed"/>
        <w:tblCellMar>
          <w:top w:w="28" w:type="dxa"/>
          <w:left w:w="28" w:type="dxa"/>
          <w:bottom w:w="28" w:type="dxa"/>
          <w:right w:w="28" w:type="dxa"/>
        </w:tblCellMar>
      </w:tblPr>
      <w:tblGrid>
        <w:gridCol w:w="3084"/>
        <w:gridCol w:w="2292"/>
        <w:gridCol w:w="2283"/>
        <w:gridCol w:w="211"/>
        <w:gridCol w:w="766"/>
        <w:gridCol w:w="109"/>
        <w:gridCol w:w="109"/>
        <w:gridCol w:w="109"/>
        <w:gridCol w:w="109"/>
        <w:gridCol w:w="211"/>
        <w:gridCol w:w="766"/>
        <w:gridCol w:w="156"/>
      </w:tblGrid>
      <w:tr>
        <w:trPr/>
        <w:tc>
          <w:tcPr>
            <w:tcW w:w="3084"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June</w:t>
              <w:br/>
              <w:t>2025</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$0.001 par value; 10,000,000 shares authorized; no shares issued and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$0.001 par value; 120,000,000 shares authorized; 72,350,090 and 70,611,845 shares issued, 39,062,676 and 38,642,761 shares outstanding, at June 2026 and June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33,287,414 and 31,969,084 common shares at June 2026 and June 2025, respectively,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8261" w:type="dxa"/>
        <w:jc w:val="left"/>
        <w:tblInd w:w="0" w:type="dxa"/>
        <w:tblLayout w:type="fixed"/>
        <w:tblCellMar>
          <w:top w:w="28" w:type="dxa"/>
          <w:left w:w="28" w:type="dxa"/>
          <w:bottom w:w="28" w:type="dxa"/>
          <w:right w:w="28" w:type="dxa"/>
        </w:tblCellMar>
      </w:tblPr>
      <w:tblGrid>
        <w:gridCol w:w="1610"/>
        <w:gridCol w:w="1421"/>
        <w:gridCol w:w="1423"/>
        <w:gridCol w:w="211"/>
        <w:gridCol w:w="766"/>
        <w:gridCol w:w="109"/>
        <w:gridCol w:w="109"/>
        <w:gridCol w:w="109"/>
        <w:gridCol w:w="109"/>
        <w:gridCol w:w="211"/>
        <w:gridCol w:w="766"/>
        <w:gridCol w:w="109"/>
        <w:gridCol w:w="109"/>
        <w:gridCol w:w="109"/>
        <w:gridCol w:w="109"/>
        <w:gridCol w:w="211"/>
        <w:gridCol w:w="61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shd w:fill="FFFFFF" w:val="clear"/>
              </w:rPr>
              <w:t>Fiscal Year</w:t>
            </w:r>
            <w:r>
              <w:rPr>
                <w:color w:val="000000"/>
                <w:shd w:fill="FFFFFF" w:val="clear"/>
              </w:rPr>
              <w:t xml:space="preserve"> </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Interest and 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income per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191" w:type="dxa"/>
        <w:jc w:val="left"/>
        <w:tblInd w:w="0" w:type="dxa"/>
        <w:tblLayout w:type="fixed"/>
        <w:tblCellMar>
          <w:top w:w="28" w:type="dxa"/>
          <w:left w:w="28" w:type="dxa"/>
          <w:bottom w:w="28" w:type="dxa"/>
          <w:right w:w="28" w:type="dxa"/>
        </w:tblCellMar>
      </w:tblPr>
      <w:tblGrid>
        <w:gridCol w:w="2039"/>
        <w:gridCol w:w="1795"/>
        <w:gridCol w:w="1805"/>
        <w:gridCol w:w="211"/>
        <w:gridCol w:w="691"/>
        <w:gridCol w:w="109"/>
        <w:gridCol w:w="109"/>
        <w:gridCol w:w="109"/>
        <w:gridCol w:w="109"/>
        <w:gridCol w:w="211"/>
        <w:gridCol w:w="586"/>
        <w:gridCol w:w="109"/>
        <w:gridCol w:w="109"/>
        <w:gridCol w:w="109"/>
        <w:gridCol w:w="109"/>
        <w:gridCol w:w="211"/>
        <w:gridCol w:w="616"/>
        <w:gridCol w:w="154"/>
      </w:tblGrid>
      <w:tr>
        <w:trPr/>
        <w:tc>
          <w:tcPr>
            <w:tcW w:w="203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shd w:fill="FFFFFF" w:val="clear"/>
              </w:rPr>
              <w:t>Fiscal Year</w:t>
            </w:r>
            <w:r>
              <w:rPr>
                <w:color w:val="000000"/>
                <w:shd w:fill="FFFFFF" w:val="clear"/>
              </w:rPr>
              <w:t xml:space="preserve"> </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 net of tax:</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available-for-sale-securities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adjustments for gains included in net (loss)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income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amounts)</w:t>
      </w:r>
    </w:p>
    <w:tbl>
      <w:tblPr>
        <w:tblW w:w="10205" w:type="dxa"/>
        <w:jc w:val="center"/>
        <w:tblInd w:w="0" w:type="dxa"/>
        <w:tblLayout w:type="fixed"/>
        <w:tblCellMar>
          <w:top w:w="28" w:type="dxa"/>
          <w:left w:w="28" w:type="dxa"/>
          <w:bottom w:w="28" w:type="dxa"/>
          <w:right w:w="28" w:type="dxa"/>
        </w:tblCellMar>
      </w:tblPr>
      <w:tblGrid>
        <w:gridCol w:w="859"/>
        <w:gridCol w:w="533"/>
        <w:gridCol w:w="460"/>
        <w:gridCol w:w="344"/>
        <w:gridCol w:w="344"/>
        <w:gridCol w:w="348"/>
        <w:gridCol w:w="109"/>
        <w:gridCol w:w="109"/>
        <w:gridCol w:w="109"/>
        <w:gridCol w:w="226"/>
        <w:gridCol w:w="436"/>
        <w:gridCol w:w="119"/>
        <w:gridCol w:w="109"/>
        <w:gridCol w:w="109"/>
        <w:gridCol w:w="109"/>
        <w:gridCol w:w="245"/>
        <w:gridCol w:w="891"/>
        <w:gridCol w:w="126"/>
        <w:gridCol w:w="109"/>
        <w:gridCol w:w="109"/>
        <w:gridCol w:w="109"/>
        <w:gridCol w:w="218"/>
        <w:gridCol w:w="817"/>
        <w:gridCol w:w="112"/>
        <w:gridCol w:w="109"/>
        <w:gridCol w:w="109"/>
        <w:gridCol w:w="109"/>
        <w:gridCol w:w="226"/>
        <w:gridCol w:w="821"/>
        <w:gridCol w:w="116"/>
        <w:gridCol w:w="109"/>
        <w:gridCol w:w="109"/>
        <w:gridCol w:w="109"/>
        <w:gridCol w:w="246"/>
        <w:gridCol w:w="894"/>
        <w:gridCol w:w="189"/>
      </w:tblGrid>
      <w:tr>
        <w:trPr/>
        <w:tc>
          <w:tcPr>
            <w:tcW w:w="85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shd w:fill="FFFFFF" w:val="clear"/>
              </w:rPr>
              <w:t>Additional Paid-In Capital</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Treasury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Total Stockholders’</w:t>
            </w:r>
          </w:p>
          <w:p>
            <w:pPr>
              <w:pStyle w:val="TableContents"/>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Equity </w:t>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2023</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68,687,511</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(878.0)</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share-based award compensation plans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996,480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net share settlement of share-based awards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2024</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69,683,991</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(878.0)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1,466.8 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share-based award compensation plans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net share settlement of share-based awards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capped calls related to the 2031 convertible senior notes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attributable to acquisition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2025</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70,611,845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1,211.8 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share-based award compensation plans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1,738,245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related to net share settlement of share-based awards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2026</w:t>
            </w:r>
          </w:p>
        </w:tc>
        <w:tc>
          <w:tcPr>
            <w:tcW w:w="10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72,350,090</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(1,099.6)</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360" w:after="283"/>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612" w:type="dxa"/>
        <w:jc w:val="left"/>
        <w:tblInd w:w="0" w:type="dxa"/>
        <w:tblLayout w:type="fixed"/>
        <w:tblCellMar>
          <w:top w:w="28" w:type="dxa"/>
          <w:left w:w="28" w:type="dxa"/>
          <w:bottom w:w="28" w:type="dxa"/>
          <w:right w:w="28" w:type="dxa"/>
        </w:tblCellMar>
      </w:tblPr>
      <w:tblGrid>
        <w:gridCol w:w="2266"/>
        <w:gridCol w:w="1987"/>
        <w:gridCol w:w="2002"/>
        <w:gridCol w:w="196"/>
        <w:gridCol w:w="631"/>
        <w:gridCol w:w="109"/>
        <w:gridCol w:w="109"/>
        <w:gridCol w:w="109"/>
        <w:gridCol w:w="109"/>
        <w:gridCol w:w="196"/>
        <w:gridCol w:w="556"/>
        <w:gridCol w:w="109"/>
        <w:gridCol w:w="109"/>
        <w:gridCol w:w="109"/>
        <w:gridCol w:w="109"/>
        <w:gridCol w:w="196"/>
        <w:gridCol w:w="556"/>
        <w:gridCol w:w="154"/>
      </w:tblGrid>
      <w:tr>
        <w:trPr/>
        <w:tc>
          <w:tcPr>
            <w:tcW w:w="226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shd w:fill="FFFFFF" w:val="clear"/>
              </w:rPr>
              <w:t>Fiscal Year</w:t>
            </w:r>
            <w:r>
              <w:rPr>
                <w:color w:val="000000"/>
                <w:shd w:fill="FFFFFF" w:val="clear"/>
              </w:rPr>
              <w:t xml:space="preserve"> </w:t>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intangibles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impairment charge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and cash equivalents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Advance payment on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notes,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on convertible senior notes and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capped call transactions related to convertible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 related to net share settlement of share-based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 exclusive of excise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deposit from vendor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 (decrease) in cash and cash equivalents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transactions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 of purchase consideration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 current liabilities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intangible assets from advance payments</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Description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design and deliver AI-native edge solutions that bring AI closer to end users and transform how we engage with intelligent, connected devices, whether at home, at work, or on the move. We are a strategic partner for many global original equipment manufacturers (“OEMs”), offering standard and custom silicon and software platforms for Edge AI, Physical AI, wireless connectivity and human interface technologies.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Pending Merger with ON Semiconductor Corporation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25, 2026, we entered into an Agreement and Plan of Reorganization (the “Merger Agreement”), by and among Synaptics, ON Semiconductor Corporation, a Delaware corporation (“Parent” or “onsemi”), and Sonic Acquisition Corp., a Delaware corporation and wholly-owned subsidiary of Parent (“Merger Sub”), pursuant to which Merger Sub will merge with and into Synaptics (the “Merger”), with Synaptics surviving as a wholly-owned subsidiary of Parent (the “Surviving Corporation”). Subject to the terms and conditions set forth in the Merger Agreement, including the approval of a proposal to approve the Merger and the Merger Agreement at a special meeting of Synaptics stockholders, at the effective time of the Merger (the “Effective Time”), by virtue of the Merger, each share of Synaptics common stock outstanding immediately prior to the Effective Time, subject to limited exceptions in the Merger Agreement, shall be converted into the right to receive 1.350 validly issued, fully paid and non-assessable shares of onsemi common stock, par value $0.01 per share (“onsemi common stock”) (such number of shares of onsemi common stock per share of Synaptics common stock, the “Exchange Ratio”, and such consideration, the “Merger Consideration”). No fractional shares of onsemi common stock will be issued in connection with the Merger. Instead, any Synaptics stockholder who would otherwise be entitled to receive a fractional share of onsemi common stock will instead receive a cash payment (without interest) equal to such fraction multiplied by the “Average Parent Stock Price,” which is defined in the Merger Agreement as the average of the volume-weighted average trading prices per share of onsemi common stock on the Nasdaq Global Select Market on each of the five consecutive trading days ending on (and including) the trading day that is three trading days prior to the closing date (as reported by Bloomberg L.P. or another authoritative source mutually selected by the parties). The transaction is expected to close in mid-2027, subject to customary closing conditions, including approval by Synaptics stockholders and the receipt of required regulatory approvals.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Basis of Presentation and Significant Accounting Policies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fiscal year is the 52- or 53-week period ending on the last Saturday in June. The fiscal years presented in this report are the 52-week periods ended June 27, 2026 and June 28, 2025, and the 53-week period ended June 29, 2024. For simplicity, the accompanying consolidated financial statements have been shown as ending on calendar quarter end dates as of and for all periods presented, unless otherwise indicated.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are presented in accordance with U.S. generally accepted accounting principles (“U.S. GAAP”) and include Synaptics Incorporated and its consolidated subsidiaries. Intercompany balances and transactions have been eliminated in consolidation.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conformity with U.S. GAAP requires us to make estimates and judgments that affect the reported amounts of assets, liabilities, revenue, expenses and disclosures. On an ongoing basis, we evaluate our estimates, including those related to revenue, allowance for credit losses, cost of revenue, inventories, loss on purchase commitments, product warranty, accrued liabilities, share-based compensation costs, provision for income taxes, deferred income tax assets,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bases for making judgments about the carrying value of assets and liabilities that are not readily apparent from other sources.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consist of highly liquid investments with original maturities of three months or less at the time of purchase.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Short-Term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(loss) income. Realized gains and losses are determined based on the specific identification method and are reflected as interest and other income in the accompanying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regularly review our investment portfolio to identify and evaluate investments that have indicators of possible impairment. Some of the factors we consider include, but are not limited to, the following: the length of time and extent to which a security’s fair value has been below its cost, the financial condition and near-term prospects of the investee, the credit quality of the security’s issuer, the likelihood of recovery and our intent and ability to hold the security for a period of time sufficient to allow for any anticipated recovery in value.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apply fair value accounting for all financial assets and liabilities that are required to be recognized or disclosed at fair value in the consolidated financial statements. Fair value is defined as the price that would be received from selling an 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 pricing the asset or liability, such as inherent risk, transfer restrictions and credit risk. The carrying amounts reported in the accompanying consolidated financial statements approximate the fair value for cash, accounts receivable, accounts payable and accrued liabilities due to their short-term nature.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property and equipment and goodwill are measured at fair value on a non-recurring basis if impairment is indicated. The interest rate on our revolving credit facility is variable, which is subject to change from time-to-time to reflect a market interest rate; however, no balance was outstanding under the revolving credit facility during fiscal 2026. See “Note 6. Fair Value Measurements.”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our customers. Substantially all of our revenue is generated from product sales. Generally, our revenue is recognized at a point in time, either upon shipment or delivery of the product, in accordance with customer terms and conditions. We account for shipping and handling costs as fulfillment costs before the customer obtains control of the goods and classify shipping and handling costs as a cost of revenue. We account for the collection of transaction taxes on a net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payments from our customers are generally due within our standard contractual terms, which do not include a significant financing component.</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transfer control and recognize revenue at a point in time when products are shipped to our customers, including OEMs and distributors, in accordance with the shipping terms of the sale. We recognize revenue in an amount that reflects the consideration we expect to receive in exchange for those goods or services, net of accruals for estimated sales returns and rebates. Certain OEMs and distributors may be entitled to rights of return and rebates under OEM and distributor agreements. We estimate the amount of variable consideration under these arrangements based on the expected value to be provided to customers. When incentives, stock rotation rights, price protection, volume discounts or other price allowances are applicable, they are estimated and recorded in the period the related revenue is recognized. Our accrual for estimated returns is based on historical return rates and recorded as a reduction to revenue with a corresponding reduction to cost of goods sold for the estimated cost of inventory expected to be returned.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licensing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Rights to our intellectual property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latter of the period the sale or usage occurs or the satisfaction of performance obligations, if any, to which some or all of the sales-based or usage-based royalties have been allocated.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2026, we did not have any remaining unsatisfied performance obligations with an original duration greater than one year. Accordingly, under the optional exception provided by the applicable accounting standard, we have not disclosed revenues allocated to future performance obligations of partially completed contracts.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Advertising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when incurred.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allowances for expected credit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estimated credit loss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credit loss allowances may be required. At both June 2026 and June 2025, the allowance for credit losses on our trade receivables was $4.2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cost of revenue includes the cost of products shipped to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manufacturing support personnel; logistics costs; depreciation of equipment supporting manufacturing; amortization of acquired intangibles; fair value adjustments of inventory associated with acquired businesses; write-downs of inventory and losses on purchase obligations; and warranty costs.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(first-in, first-out method) and net realizable value. The carrying value of our inventories is reduced for any difference between costs and estimated net realizable value of total inventory that is determined to be excess, obsolete or unsellable inventory based on forecasts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carried at cost less accumulated depreciation and amortization. We compute depreciation using the straight-line method over the estimated useful lives of the assets. We amortize leasehold improvements over the shorter of the lease term or the estimated useful lives of the assets.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The effects of foreign currency remeasurement are reported in current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an acquired business over the identifiable assets acquired and liabilities assumed. We test goodwill for impairment on an annual basis in the fourth quarter and at any other time when events occur or circumstances indicate that the carrying amount of goodwill may not be recoverable. We have the option to first assess qualitative factors to determine whether it is necessary to perform the quantitative goodwill impairment test. The qualitative factors we assess include long-term prospects of our performance, share price trends and market capitalization and other company-specific events. Unanticipated events and circumstances may occur that affect the accuracy of our assumptions, estimates and judgments.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determine that, as a result of the qualitative assessment, it is more likely than not (i.e., greater than 50% likelihood) that the fair value of a reporting unit is less than its carrying amount, the quantitative test is required. Otherwise, no further testing is required. The quantitative goodwill impairment test requires us to estimate the fair value of our reporting units. If the carrying value of a reporting unit exceeds its fair value, the goodwill of that reporting unit is potentially impaired and we record an impairment loss equal to the excess of the carrying value of the goodwill over its fair value, not to exceed the carrying amount of goodwill. The fair value of each of our goodwill reporting units is generally estimated using discounted cash flow methodologies.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performed the qualitative goodwill impairment test in fiscal 2026, 2025 and 2024. Based on the impairment analysis performed in the fourth quarter of each year presented, no goodwill impairment was recognized.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283"/>
        <w:jc w:val="both"/>
        <w:rPr/>
      </w:pPr>
      <w:r>
        <w:rPr>
          <w:rFonts w:ascii="Times New Roman;serif" w:hAnsi="Times New Roman;serif"/>
          <w:b w:val="false"/>
          <w:color w:val="000000"/>
          <w:sz w:val="20"/>
        </w:rPr>
        <w:t>Intangible assets consist primarily of intangible assets purchased through acquisitions. Finite-lived intangible assets are amortized for financial reporting purposes using the straight-line method over the estimated useful lives of the assets ranging from</w:t>
      </w:r>
      <w:r>
        <w:rPr>
          <w:color w:val="000000"/>
          <w:shd w:fill="FFFFFF" w:val="clear"/>
        </w:rPr>
        <w:t xml:space="preserve"> </w:t>
      </w:r>
      <w:r>
        <w:rPr>
          <w:rFonts w:ascii="Times New Roman;serif" w:hAnsi="Times New Roman;serif"/>
          <w:b w:val="false"/>
          <w:color w:val="000000"/>
          <w:sz w:val="20"/>
          <w:shd w:fill="FFFFFF" w:val="clear"/>
        </w:rPr>
        <w:t>1 to 6 years.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evaluate long-lived assets, such as property and equipment and intangible assets subject to amortization, for impairment whenever events or changes in circumstances indicate that the carrying value of an asset may not be recoverable. In such cases, we measure recoverability of assets to be held and used by a comparison of the carrying amount of an asset to the estimated undiscounted future cash flows expected to be generated by the use and eventual disposition of the asset.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review the carrying value of indefinite-lived intangible assets for impairment at least annually during the fourth quarter of our fiscal year or more frequently if indicators of impairment exist. If the carrying amount of the asset exceeds its estimated undiscounted future cash flows, we recognize an impairment charge in an amount by which the carrying amount of the asset exceeds the fair value of the intangible asset.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Operating lease right-of-use (“ROU”) assets and liabilities are recognized at the commencement date based on the present value of minimum lease payments over the lease term. Operating lease ROU assets also include any initial direct costs and prepayments less lease incentives. Lease terms may include options to extend or terminate the lease when it is reasonably certain that such option will be exercised. As our leases do not provide an implicit rate, we use our collateralized incremental borrowing rate based on the information available as of the lease commencement date, including lease term, in determining the present value of lease payments. Lease expense for these leases is recognized on a straight-line basis over the lease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elected, for all classes of underlying assets, not to recognize ROU assets and lease liabilities for leases with a term of twelve months or less. Lease costs for short-term leases are recognized on a straight-line basis over the lease term.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compensation expense for all of our share-based payment awards made to employees and directors based on estimated fair values. The determination of fair value of restricted and certain performance stock awards is based on the fair value of our stock on the grant date with performance awards adjusted for the actual outcome of the underlying performance condition. For awards with market-based performance conditions, we employ a Monte Carlo simulation valuation method to calculate the fair value of the awards based on the most likely outcome. We estimate the grant-date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value of stock to be issued under our 2019 Employee Stock Purchase Plan, as amended and restated (“ESPP”), using the Black-Scholes model. Compensation expense is recognized over the vesting period of the applicable award using the straight-line method, except for awards with market conditions, which are recognized ratably for each vesting tranche from the service inception date to the end of the requisite service period. Compensation cost for performance-based awards is recognized over the requisite service period based on the grant-date fair value of the awards when it becomes probable that the performance conditions will be met. The Company reassesses the probability of achieving the performance condition at each reporting date and adjusts compensation expense as necessary. Forfeitures are recorded when they occur and previously recognized compensation expense is reversed for the portion of awards forfeited prior to the vesting date.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 deferred tax assets and liabilities for the future tax consequences attributable to differences between the financial statement carrying amounts of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on deferred tax assets and liabilities in the period that includes the enactment date. We establish valuation allowances when necessary to reduce deferred tax assets to the amounts that are more likely than not to be realized.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a two-step approach to recognizing and measuring uncertain tax positions. The first step is to determine whether it is more likely than 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Product Warranty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generally provide warranties to cover defects in workmanship, materials and manufacturing for a period of twelve months to meet the stated functionality as agreed in each sales arrangement. Products are tested against specified functionality requirements prior to delivery, but we nevertheless from time to time experience claims under our warranty guarantees. These standard warranties are assurance type warranties and do not offer any services in addition to the assurance that the product will continue working as specified. Therefore, warranties are not considered separate performance obligations in the arrangement. We accrue for estimated warranty costs based upon historical experience, and for specific items, at the time their existence is known and the amounts are determinable.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 for business combinations by applying the acquisition method. If the assets acquired are not a business, we account for the transaction or other event as an asset acquisition. Under both methods, we recognize identifiable assets acquired, liabilities assumed and any noncontrolling interest in the acquired entity. We capitalize acquisition-related costs and fees associated with asset acquisitions and immediately expense acquisition-related costs and fees associated with business combinations.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fair value of purchase consideration to the assets acquired and liabilities assumed based on their estimated fair values. Any excess of the fair value of purchase consideration over the fair values of these identifiable assets and liabilities is recorded as goodwill. When determining the fair values of assets acquired and liabilities assumed, we make significant estimates and assumptions, especially with respect to intangible assets. Critical estimates in valuing certain intangible assets include, but are not limited to, future expected cash flows from customer relationships and acquired developed technology and discount rates. Our estimates of fair value are based upon assumptions believed to be reasonable, but which are inherently uncertain and unpredictable and, as a result, actual results may differ materially from estimates. Other estimates associated with the accounting for acquisitions may change as additional information becomes available regarding the assets acquired and liabilities assumed. Any adjustments from change in facts and circumstances that existed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acquisition date and that impact our preliminary estimates are recorded to goodwill if identified within the measurement period. Any adjustments subsequent to the measurement period or our final determination of fair value of assets and liabilities are reported in current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Improvements to Income Tax Disclosures.” This ASU requires consistent categories and greater disaggregation of information in the rate reconciliation and disclosures of income taxes paid by jurisdiction. We adopted this standard on a prospective basis in the fourth quarter of fiscal 2026. See “Note 16. Income Taxes.”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Accounting Pronouncements Issued But Not Yet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This ASU requires companies to disclose additional information about specific expense categories in the notes to financial statements. This ASU is effective for annual periods beginning after December 15, 2026 and interim periods beginning after December 15, 2027, with early adoption permitted. We are currently assessing the impact of this guidance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Supplemental Financial Statement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Inventories</w:t>
      </w:r>
    </w:p>
    <w:tbl>
      <w:tblPr>
        <w:tblW w:w="5259" w:type="dxa"/>
        <w:jc w:val="left"/>
        <w:tblInd w:w="0" w:type="dxa"/>
        <w:tblLayout w:type="fixed"/>
        <w:tblCellMar>
          <w:top w:w="28" w:type="dxa"/>
          <w:left w:w="28" w:type="dxa"/>
          <w:bottom w:w="28" w:type="dxa"/>
          <w:right w:w="28" w:type="dxa"/>
        </w:tblCellMar>
      </w:tblPr>
      <w:tblGrid>
        <w:gridCol w:w="1091"/>
        <w:gridCol w:w="960"/>
        <w:gridCol w:w="964"/>
        <w:gridCol w:w="211"/>
        <w:gridCol w:w="616"/>
        <w:gridCol w:w="109"/>
        <w:gridCol w:w="109"/>
        <w:gridCol w:w="109"/>
        <w:gridCol w:w="109"/>
        <w:gridCol w:w="211"/>
        <w:gridCol w:w="61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work-in-progress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Property and equipment</w:t>
      </w:r>
    </w:p>
    <w:tbl>
      <w:tblPr>
        <w:tblW w:w="7340" w:type="dxa"/>
        <w:jc w:val="left"/>
        <w:tblInd w:w="0" w:type="dxa"/>
        <w:tblLayout w:type="fixed"/>
        <w:tblCellMar>
          <w:top w:w="28" w:type="dxa"/>
          <w:left w:w="28" w:type="dxa"/>
          <w:bottom w:w="28" w:type="dxa"/>
          <w:right w:w="28" w:type="dxa"/>
        </w:tblCellMar>
      </w:tblPr>
      <w:tblGrid>
        <w:gridCol w:w="1429"/>
        <w:gridCol w:w="1253"/>
        <w:gridCol w:w="1262"/>
        <w:gridCol w:w="342"/>
        <w:gridCol w:w="342"/>
        <w:gridCol w:w="351"/>
        <w:gridCol w:w="109"/>
        <w:gridCol w:w="109"/>
        <w:gridCol w:w="109"/>
        <w:gridCol w:w="211"/>
        <w:gridCol w:w="511"/>
        <w:gridCol w:w="109"/>
        <w:gridCol w:w="109"/>
        <w:gridCol w:w="109"/>
        <w:gridCol w:w="109"/>
        <w:gridCol w:w="211"/>
        <w:gridCol w:w="51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leasehold improvements</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Non-current other assets</w:t>
      </w:r>
    </w:p>
    <w:tbl>
      <w:tblPr>
        <w:tblW w:w="4928" w:type="dxa"/>
        <w:jc w:val="left"/>
        <w:tblInd w:w="0" w:type="dxa"/>
        <w:tblLayout w:type="fixed"/>
        <w:tblCellMar>
          <w:top w:w="28" w:type="dxa"/>
          <w:left w:w="28" w:type="dxa"/>
          <w:bottom w:w="28" w:type="dxa"/>
          <w:right w:w="28" w:type="dxa"/>
        </w:tblCellMar>
      </w:tblPr>
      <w:tblGrid>
        <w:gridCol w:w="971"/>
        <w:gridCol w:w="854"/>
        <w:gridCol w:w="859"/>
        <w:gridCol w:w="211"/>
        <w:gridCol w:w="616"/>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of intangible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Accrued liabilities</w:t>
      </w:r>
    </w:p>
    <w:tbl>
      <w:tblPr>
        <w:tblW w:w="5454" w:type="dxa"/>
        <w:jc w:val="left"/>
        <w:tblInd w:w="0" w:type="dxa"/>
        <w:tblLayout w:type="fixed"/>
        <w:tblCellMar>
          <w:top w:w="28" w:type="dxa"/>
          <w:left w:w="28" w:type="dxa"/>
          <w:bottom w:w="28" w:type="dxa"/>
          <w:right w:w="28" w:type="dxa"/>
        </w:tblCellMar>
      </w:tblPr>
      <w:tblGrid>
        <w:gridCol w:w="1162"/>
        <w:gridCol w:w="1023"/>
        <w:gridCol w:w="1025"/>
        <w:gridCol w:w="211"/>
        <w:gridCol w:w="616"/>
        <w:gridCol w:w="109"/>
        <w:gridCol w:w="109"/>
        <w:gridCol w:w="109"/>
        <w:gridCol w:w="109"/>
        <w:gridCol w:w="211"/>
        <w:gridCol w:w="61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rebate liabilities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customer-related obligations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Amounts include deferred revenue, price discounts and stock rotation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As of June 2026, other accrued liabilities include a $25.0 million license fee payable to a third party. No such amount was payable as of June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Business Combinations and Asset Acquisitions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Fiscal Year 2025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Broadcom Wi-Fi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19, 2025, we entered into definitive asset purchase agreements with Broadcom to acquire certain assets, and obtain non-exclusive licenses relating to, Broadcom’s Wi-Fi Business in the IoT market for an aggregate consideration of $200.3 million in cash, which closed on January 30, 2025 (“Closing Date”). These assets include non-exclusive licenses to three developed technology products, property and equipment and the right to obtain licenses for eight roadmap technology intangible assets (“roadmap IP”) expected to be delivered at various dates through May 2028. We also entered into transition agreements with Broadcom, under which both parties will provide one another with certain transition services (including one year inventory supply agreement in which Broadcom will facilitate Synaptics to place purchase orders with respective suppliers) following the Closing Date. We acquired these assets from Broadcom in order to solidify our leadership position for end-to-end AI IoT connectivity.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 has been accounted for using the purchase method of accounting in accordance with the business acquisition guidance. Under the purchase accounting method, the total estimated purchase consideration of the acquisition was allocated to the identifiable intangible assets acquired, property and equipment and long-term assets for roadmap IP based on their estimated fair values. The excess of the purchase consideration over the identifiable intangible assets acquired and long-term assets was recorded as goodwill.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final allocation of the purchase price to the assets acquired and liabilities assumed, based on their relative fair values after the measurement period adjustment was as follows:</w:t>
      </w:r>
    </w:p>
    <w:tbl>
      <w:tblPr>
        <w:tblW w:w="5277" w:type="dxa"/>
        <w:jc w:val="left"/>
        <w:tblInd w:w="0" w:type="dxa"/>
        <w:tblLayout w:type="fixed"/>
        <w:tblCellMar>
          <w:top w:w="28" w:type="dxa"/>
          <w:left w:w="28" w:type="dxa"/>
          <w:bottom w:w="28" w:type="dxa"/>
          <w:right w:w="28" w:type="dxa"/>
        </w:tblCellMar>
      </w:tblPr>
      <w:tblGrid>
        <w:gridCol w:w="1226"/>
        <w:gridCol w:w="1080"/>
        <w:gridCol w:w="1084"/>
        <w:gridCol w:w="109"/>
        <w:gridCol w:w="109"/>
        <w:gridCol w:w="109"/>
        <w:gridCol w:w="335"/>
        <w:gridCol w:w="980"/>
        <w:gridCol w:w="245"/>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Final as Adjusted</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 for product roadmap IP</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estimated the fair value of the identified intangible assets and long-term assets for roadmap IP using a discounted cash flow model, estimates of future revenues and costs, discount and royalty rates for each of the underlying identified assets, except for IPR&amp;D, which was estimated using replacement cost method. These fair value measurements were based on significant inputs not observable in the market and thus represented a Level 3 measurement. Key assumptions included the level and timing of expected future cash flows, conditions and demands specific to each asset over its remaining useful life and discount rates we believe to be consistent with the inherent risks associated with each type of asset, which range from 5.8% - 10.5%. The fair value of these assets is primarily affected by the projected revenue, gross margins,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expenses, the expected technological obsolescence, probability of securing future customer contracts for next generation devices and the anticipated timing of the projected income associated with each asset coupled with the discount rates used to derive their estimated present values. We believe the level and timing of expected future cash flows appropriately reflects market participant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assets for product roadmap IP represent a prepayment for technology products to be received in the future. This prepayment was classified under non-current other assets in the accompanying consolidated balance sheets. Upon obtaining control of the developed technologies, the amounts recorded are reclassified as intangible assets based on their respective fair values determined as of the Closing Date. As of June 2026, the balance of $88.0 million, which represents the fair value of those technology intangible assets not yet received, is presented within other long-term assets in the accompanying consolidated balance sheets. We expect these assets to be delivered at various dates through May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the intangible assets as of the Closing Date:</w:t>
      </w:r>
    </w:p>
    <w:tbl>
      <w:tblPr>
        <w:tblW w:w="9221" w:type="dxa"/>
        <w:jc w:val="left"/>
        <w:tblInd w:w="0" w:type="dxa"/>
        <w:tblLayout w:type="fixed"/>
        <w:tblCellMar>
          <w:top w:w="28" w:type="dxa"/>
          <w:left w:w="28" w:type="dxa"/>
          <w:bottom w:w="28" w:type="dxa"/>
          <w:right w:w="28" w:type="dxa"/>
        </w:tblCellMar>
      </w:tblPr>
      <w:tblGrid>
        <w:gridCol w:w="1327"/>
        <w:gridCol w:w="1163"/>
        <w:gridCol w:w="1170"/>
        <w:gridCol w:w="1413"/>
        <w:gridCol w:w="1413"/>
        <w:gridCol w:w="1418"/>
        <w:gridCol w:w="109"/>
        <w:gridCol w:w="109"/>
        <w:gridCol w:w="109"/>
        <w:gridCol w:w="238"/>
        <w:gridCol w:w="578"/>
        <w:gridCol w:w="174"/>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Weighted Average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4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 and related relationships</w:t>
            </w:r>
          </w:p>
        </w:tc>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component of supply contract</w:t>
            </w:r>
          </w:p>
        </w:tc>
        <w:tc>
          <w:tcPr>
            <w:tcW w:w="4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42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acquired intangibles</w:t>
            </w:r>
          </w:p>
        </w:tc>
        <w:tc>
          <w:tcPr>
            <w:tcW w:w="4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value of goodwill of $52.3 million reflects the anticipated synergies of the expected benefits from future generations of acquired intellectual property and workforce of the transferred assets as of the Closing Date. As of June 2026, approximately $16.0 million of this goodwill is expected to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Cash, Cash Equivalents and Short-Term Investments</w:t>
      </w:r>
    </w:p>
    <w:p>
      <w:pPr>
        <w:pStyle w:val="TextBody"/>
        <w:bidi w:val="0"/>
        <w:spacing w:lineRule="auto" w:line="288" w:before="120" w:after="283"/>
        <w:jc w:val="left"/>
        <w:rPr>
          <w:rFonts w:ascii="Times New Roman;serif" w:hAnsi="Times New Roman;serif"/>
          <w:b w:val="false"/>
          <w:color w:val="252525"/>
          <w:sz w:val="20"/>
        </w:rPr>
      </w:pPr>
      <w:r>
        <w:rPr>
          <w:rFonts w:ascii="Times New Roman;serif" w:hAnsi="Times New Roman;serif"/>
          <w:b w:val="false"/>
          <w:color w:val="252525"/>
          <w:sz w:val="20"/>
        </w:rPr>
        <w:t>Cash, cash equivalents and short-term investments were as follows:</w:t>
      </w:r>
    </w:p>
    <w:tbl>
      <w:tblPr>
        <w:tblW w:w="10205" w:type="dxa"/>
        <w:jc w:val="left"/>
        <w:tblInd w:w="0" w:type="dxa"/>
        <w:tblLayout w:type="fixed"/>
        <w:tblCellMar>
          <w:top w:w="28" w:type="dxa"/>
          <w:left w:w="28" w:type="dxa"/>
          <w:bottom w:w="28" w:type="dxa"/>
          <w:right w:w="28" w:type="dxa"/>
        </w:tblCellMar>
      </w:tblPr>
      <w:tblGrid>
        <w:gridCol w:w="597"/>
        <w:gridCol w:w="506"/>
        <w:gridCol w:w="514"/>
        <w:gridCol w:w="246"/>
        <w:gridCol w:w="722"/>
        <w:gridCol w:w="128"/>
        <w:gridCol w:w="109"/>
        <w:gridCol w:w="109"/>
        <w:gridCol w:w="109"/>
        <w:gridCol w:w="411"/>
        <w:gridCol w:w="791"/>
        <w:gridCol w:w="213"/>
        <w:gridCol w:w="109"/>
        <w:gridCol w:w="109"/>
        <w:gridCol w:w="109"/>
        <w:gridCol w:w="211"/>
        <w:gridCol w:w="617"/>
        <w:gridCol w:w="109"/>
        <w:gridCol w:w="109"/>
        <w:gridCol w:w="109"/>
        <w:gridCol w:w="109"/>
        <w:gridCol w:w="246"/>
        <w:gridCol w:w="722"/>
        <w:gridCol w:w="128"/>
        <w:gridCol w:w="109"/>
        <w:gridCol w:w="109"/>
        <w:gridCol w:w="109"/>
        <w:gridCol w:w="411"/>
        <w:gridCol w:w="791"/>
        <w:gridCol w:w="213"/>
        <w:gridCol w:w="109"/>
        <w:gridCol w:w="109"/>
        <w:gridCol w:w="109"/>
        <w:gridCol w:w="211"/>
        <w:gridCol w:w="617"/>
        <w:gridCol w:w="166"/>
      </w:tblGrid>
      <w:tr>
        <w:trPr/>
        <w:tc>
          <w:tcPr>
            <w:tcW w:w="59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gain/(loss)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Gross unrealized gain/(loss)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jc w:val="both"/>
        <w:rPr>
          <w:rFonts w:ascii="Times New Roman;serif" w:hAnsi="Times New Roman;serif"/>
          <w:b w:val="false"/>
          <w:color w:val="252525"/>
          <w:sz w:val="20"/>
        </w:rPr>
      </w:pPr>
      <w:r>
        <w:rPr>
          <w:rFonts w:ascii="Times New Roman;serif" w:hAnsi="Times New Roman;serif"/>
          <w:b w:val="false"/>
          <w:color w:val="252525"/>
          <w:sz w:val="20"/>
        </w:rPr>
        <w:t xml:space="preserve">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Fair value assumes that a transaction to sell an asset or transfer a liability occurs in the principal or most advantageous market for the asset or liability and establishes that the fair value of an asset or liability shall be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pPr>
      <w:r>
        <w:rPr>
          <w:rFonts w:ascii="Times New Roman;serif" w:hAnsi="Times New Roman;serif"/>
          <w:b w:val="false"/>
          <w:color w:val="252525"/>
          <w:sz w:val="20"/>
        </w:rPr>
        <w:t>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Valuation is based upon unadjusted quoted prices for identical assets or liabilities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Valuation is based upon quoted prices for similar assets and liabilities in active markets or other inputs that are observable for the asset or liability, either directly or indirectly, for substantially the full term of the financial instruments.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Valuation is based upon other unobservable inputs that are significant to the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Level 1 financial instruments are traded in active markets and for which the fair value is based on quoted market prices for identical instruments. The fair value of our Level 2 fixed-income securities is obtained from an independent pricing service, which may use quoted market prices for identical or comparable instruments or model-driven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pStyle w:val="TextBody"/>
        <w:bidi w:val="0"/>
        <w:spacing w:lineRule="auto" w:line="288" w:before="120" w:after="283"/>
        <w:jc w:val="both"/>
        <w:rPr>
          <w:rFonts w:ascii="Times New Roman;serif" w:hAnsi="Times New Roman;serif"/>
          <w:b w:val="false"/>
          <w:color w:val="252525"/>
          <w:sz w:val="20"/>
        </w:rPr>
      </w:pPr>
      <w:r>
        <w:rPr>
          <w:rFonts w:ascii="Times New Roman;serif" w:hAnsi="Times New Roman;serif"/>
          <w:b w:val="false"/>
          <w:color w:val="252525"/>
          <w:sz w:val="20"/>
        </w:rPr>
        <w:t>Financial assets measured at fair value on a recurring basis were as follows:</w:t>
      </w:r>
    </w:p>
    <w:tbl>
      <w:tblPr>
        <w:tblW w:w="8616" w:type="dxa"/>
        <w:jc w:val="left"/>
        <w:tblInd w:w="0" w:type="dxa"/>
        <w:tblLayout w:type="fixed"/>
        <w:tblCellMar>
          <w:top w:w="28" w:type="dxa"/>
          <w:left w:w="28" w:type="dxa"/>
          <w:bottom w:w="28" w:type="dxa"/>
          <w:right w:w="28" w:type="dxa"/>
        </w:tblCellMar>
      </w:tblPr>
      <w:tblGrid>
        <w:gridCol w:w="742"/>
        <w:gridCol w:w="654"/>
        <w:gridCol w:w="65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252525"/>
          <w:sz w:val="20"/>
        </w:rPr>
        <w:t xml:space="preserve">The above table excludes $390.7 million and $360.7 million of cash held in bank accounts at the end of </w:t>
      </w:r>
      <w:r>
        <w:rPr>
          <w:rFonts w:ascii="Times New Roman;serif" w:hAnsi="Times New Roman;serif"/>
          <w:b w:val="false"/>
          <w:color w:val="000000"/>
          <w:sz w:val="20"/>
        </w:rPr>
        <w:t>June 2026</w:t>
      </w:r>
      <w:r>
        <w:rPr>
          <w:color w:val="252525"/>
        </w:rPr>
        <w:t xml:space="preserve"> </w:t>
      </w:r>
      <w:r>
        <w:rPr>
          <w:rFonts w:ascii="Times New Roman;serif" w:hAnsi="Times New Roman;serif"/>
          <w:b w:val="false"/>
          <w:color w:val="252525"/>
          <w:sz w:val="20"/>
        </w:rPr>
        <w:t xml:space="preserve">and </w:t>
      </w:r>
      <w:r>
        <w:rPr>
          <w:rFonts w:ascii="Times New Roman;serif" w:hAnsi="Times New Roman;serif"/>
          <w:b w:val="false"/>
          <w:color w:val="000000"/>
          <w:sz w:val="20"/>
        </w:rPr>
        <w:t>2025</w:t>
      </w:r>
      <w:r>
        <w:rPr>
          <w:rFonts w:ascii="Times New Roman;serif" w:hAnsi="Times New Roman;serif"/>
          <w:b w:val="false"/>
          <w:color w:val="252525"/>
          <w:sz w:val="20"/>
        </w:rPr>
        <w:t xml:space="preserve">, respectively. We did not have any financial instruments measured at fair value on a recurring basis within Level 1 or Level 3 fair value during fiscal </w:t>
      </w:r>
      <w:r>
        <w:rPr>
          <w:rFonts w:ascii="Times New Roman;serif" w:hAnsi="Times New Roman;serif"/>
          <w:b w:val="false"/>
          <w:color w:val="000000"/>
          <w:sz w:val="20"/>
        </w:rPr>
        <w:t>2026,</w:t>
      </w:r>
      <w:r>
        <w:rPr>
          <w:color w:val="252525"/>
        </w:rPr>
        <w:t xml:space="preserve"> </w:t>
      </w:r>
      <w:r>
        <w:rPr>
          <w:rFonts w:ascii="Times New Roman;serif" w:hAnsi="Times New Roman;serif"/>
          <w:b w:val="false"/>
          <w:color w:val="252525"/>
          <w:sz w:val="20"/>
        </w:rPr>
        <w:t xml:space="preserve">and within Level 3 fair value during fiscal </w:t>
      </w:r>
      <w:r>
        <w:rPr>
          <w:rFonts w:ascii="Times New Roman;serif" w:hAnsi="Times New Roman;serif"/>
          <w:b w:val="false"/>
          <w:color w:val="000000"/>
          <w:sz w:val="20"/>
        </w:rPr>
        <w:t>2025.</w:t>
      </w:r>
      <w:r>
        <w:rPr>
          <w:color w:val="252525"/>
        </w:rPr>
        <w:t xml:space="preserve"> </w:t>
      </w:r>
      <w:r>
        <w:rPr>
          <w:rFonts w:ascii="Times New Roman;serif" w:hAnsi="Times New Roman;serif"/>
          <w:b w:val="false"/>
          <w:color w:val="252525"/>
          <w:sz w:val="20"/>
        </w:rPr>
        <w:t>There were no transfers in or out of our Level 1, 2, or 3 assets during the same periods.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Instruments Not Recorded at Fair Value on a Recurring Basis</w:t>
      </w:r>
    </w:p>
    <w:p>
      <w:pPr>
        <w:pStyle w:val="TextBody"/>
        <w:bidi w:val="0"/>
        <w:spacing w:lineRule="auto" w:line="288" w:before="120" w:after="283"/>
        <w:jc w:val="both"/>
        <w:rPr/>
      </w:pPr>
      <w:r>
        <w:rPr>
          <w:rFonts w:ascii="Times New Roman;serif" w:hAnsi="Times New Roman;serif"/>
          <w:b w:val="false"/>
          <w:color w:val="252525"/>
          <w:sz w:val="20"/>
        </w:rPr>
        <w:t xml:space="preserve">We report our financial instruments at fair value with the exception of the Senior Notes and 2031 Notes. </w:t>
      </w:r>
      <w:r>
        <w:rPr>
          <w:rFonts w:ascii="Times New Roman;serif" w:hAnsi="Times New Roman;serif"/>
          <w:b w:val="false"/>
          <w:color w:val="000000"/>
          <w:sz w:val="20"/>
        </w:rPr>
        <w:t xml:space="preserve">See “Note 8. Debt and Revolving Credit Facility.” </w:t>
      </w:r>
      <w:r>
        <w:rPr>
          <w:rFonts w:ascii="Times New Roman;serif" w:hAnsi="Times New Roman;serif"/>
          <w:b w:val="false"/>
          <w:color w:val="252525"/>
          <w:sz w:val="20"/>
        </w:rPr>
        <w:t>The estimated fair value of the Senior Notes was determined based on the trading price of the notes as of the last day of trading for the period. We consider the fair value of these notes to be a Level 2 measurement as they are not traded in active markets.</w:t>
      </w:r>
    </w:p>
    <w:p>
      <w:pPr>
        <w:pStyle w:val="TextBody"/>
        <w:bidi w:val="0"/>
        <w:spacing w:lineRule="auto" w:line="288" w:before="120" w:after="283"/>
        <w:jc w:val="both"/>
        <w:rPr>
          <w:rFonts w:ascii="Times New Roman;serif" w:hAnsi="Times New Roman;serif"/>
          <w:b w:val="false"/>
          <w:color w:val="252525"/>
          <w:sz w:val="20"/>
        </w:rPr>
      </w:pPr>
      <w:r>
        <w:rPr>
          <w:rFonts w:ascii="Times New Roman;serif" w:hAnsi="Times New Roman;serif"/>
          <w:b w:val="false"/>
          <w:color w:val="252525"/>
          <w:sz w:val="20"/>
        </w:rPr>
        <w:t>The carrying amounts and estimated fair values of the Senior Notes and 2031 Notes were as follows:</w:t>
      </w:r>
    </w:p>
    <w:tbl>
      <w:tblPr>
        <w:tblW w:w="8839" w:type="dxa"/>
        <w:jc w:val="left"/>
        <w:tblInd w:w="0" w:type="dxa"/>
        <w:tblLayout w:type="fixed"/>
        <w:tblCellMar>
          <w:top w:w="28" w:type="dxa"/>
          <w:left w:w="28" w:type="dxa"/>
          <w:bottom w:w="28" w:type="dxa"/>
          <w:right w:w="28" w:type="dxa"/>
        </w:tblCellMar>
      </w:tblPr>
      <w:tblGrid>
        <w:gridCol w:w="418"/>
        <w:gridCol w:w="366"/>
        <w:gridCol w:w="370"/>
        <w:gridCol w:w="345"/>
        <w:gridCol w:w="1007"/>
        <w:gridCol w:w="178"/>
        <w:gridCol w:w="109"/>
        <w:gridCol w:w="109"/>
        <w:gridCol w:w="109"/>
        <w:gridCol w:w="349"/>
        <w:gridCol w:w="1270"/>
        <w:gridCol w:w="180"/>
        <w:gridCol w:w="109"/>
        <w:gridCol w:w="109"/>
        <w:gridCol w:w="109"/>
        <w:gridCol w:w="345"/>
        <w:gridCol w:w="1007"/>
        <w:gridCol w:w="178"/>
        <w:gridCol w:w="109"/>
        <w:gridCol w:w="109"/>
        <w:gridCol w:w="109"/>
        <w:gridCol w:w="397"/>
        <w:gridCol w:w="1159"/>
        <w:gridCol w:w="289"/>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788.9 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Goodwill and Acquired Intangible Assets</w:t>
      </w:r>
    </w:p>
    <w:p>
      <w:pPr>
        <w:pStyle w:val="TextBody"/>
        <w:bidi w:val="0"/>
        <w:spacing w:lineRule="auto" w:line="288" w:before="120" w:after="283"/>
        <w:jc w:val="both"/>
        <w:rPr>
          <w:rFonts w:ascii="Times New Roman;serif" w:hAnsi="Times New Roman;serif"/>
          <w:b w:val="false"/>
          <w:color w:val="252525"/>
          <w:sz w:val="20"/>
        </w:rPr>
      </w:pPr>
      <w:r>
        <w:rPr>
          <w:rFonts w:ascii="Times New Roman;serif" w:hAnsi="Times New Roman;serif"/>
          <w:b w:val="false"/>
          <w:color w:val="252525"/>
          <w:sz w:val="20"/>
        </w:rPr>
        <w:t>Goodwill was as follows:</w:t>
      </w:r>
    </w:p>
    <w:tbl>
      <w:tblPr>
        <w:tblW w:w="3999" w:type="dxa"/>
        <w:jc w:val="left"/>
        <w:tblInd w:w="0" w:type="dxa"/>
        <w:tblLayout w:type="fixed"/>
        <w:tblCellMar>
          <w:top w:w="28" w:type="dxa"/>
          <w:left w:w="28" w:type="dxa"/>
          <w:bottom w:w="28" w:type="dxa"/>
          <w:right w:w="28" w:type="dxa"/>
        </w:tblCellMar>
      </w:tblPr>
      <w:tblGrid>
        <w:gridCol w:w="636"/>
        <w:gridCol w:w="558"/>
        <w:gridCol w:w="561"/>
        <w:gridCol w:w="211"/>
        <w:gridCol w:w="616"/>
        <w:gridCol w:w="109"/>
        <w:gridCol w:w="109"/>
        <w:gridCol w:w="109"/>
        <w:gridCol w:w="109"/>
        <w:gridCol w:w="211"/>
        <w:gridCol w:w="61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gross carrying value and related accumulated amortization of acquired intangible assets were as follows:</w:t>
      </w:r>
    </w:p>
    <w:tbl>
      <w:tblPr>
        <w:tblW w:w="10205" w:type="dxa"/>
        <w:jc w:val="left"/>
        <w:tblInd w:w="0" w:type="dxa"/>
        <w:tblLayout w:type="fixed"/>
        <w:tblCellMar>
          <w:top w:w="28" w:type="dxa"/>
          <w:left w:w="28" w:type="dxa"/>
          <w:bottom w:w="28" w:type="dxa"/>
          <w:right w:w="28" w:type="dxa"/>
        </w:tblCellMar>
      </w:tblPr>
      <w:tblGrid>
        <w:gridCol w:w="711"/>
        <w:gridCol w:w="350"/>
        <w:gridCol w:w="352"/>
        <w:gridCol w:w="440"/>
        <w:gridCol w:w="261"/>
        <w:gridCol w:w="262"/>
        <w:gridCol w:w="109"/>
        <w:gridCol w:w="109"/>
        <w:gridCol w:w="109"/>
        <w:gridCol w:w="211"/>
        <w:gridCol w:w="616"/>
        <w:gridCol w:w="109"/>
        <w:gridCol w:w="109"/>
        <w:gridCol w:w="109"/>
        <w:gridCol w:w="109"/>
        <w:gridCol w:w="229"/>
        <w:gridCol w:w="687"/>
        <w:gridCol w:w="120"/>
        <w:gridCol w:w="109"/>
        <w:gridCol w:w="109"/>
        <w:gridCol w:w="109"/>
        <w:gridCol w:w="211"/>
        <w:gridCol w:w="616"/>
        <w:gridCol w:w="109"/>
        <w:gridCol w:w="109"/>
        <w:gridCol w:w="109"/>
        <w:gridCol w:w="109"/>
        <w:gridCol w:w="211"/>
        <w:gridCol w:w="616"/>
        <w:gridCol w:w="109"/>
        <w:gridCol w:w="109"/>
        <w:gridCol w:w="109"/>
        <w:gridCol w:w="109"/>
        <w:gridCol w:w="229"/>
        <w:gridCol w:w="687"/>
        <w:gridCol w:w="120"/>
        <w:gridCol w:w="109"/>
        <w:gridCol w:w="109"/>
        <w:gridCol w:w="109"/>
        <w:gridCol w:w="211"/>
        <w:gridCol w:w="616"/>
        <w:gridCol w:w="160"/>
      </w:tblGrid>
      <w:tr>
        <w:trPr/>
        <w:tc>
          <w:tcPr>
            <w:tcW w:w="7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w:t>
              <w:br/>
              <w:t>Life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w:t>
              <w:br/>
              <w:t>Value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w:t>
              <w:br/>
              <w:t>Value</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assets: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Audio and video technology</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Wireless connectivity technology</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Video interface technology</w:t>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assets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assets: In-process research and development</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917.1 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(729.3)</w:t>
            </w:r>
          </w:p>
        </w:tc>
        <w:tc>
          <w:tcPr>
            <w:tcW w:w="1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(620.6)</w:t>
            </w:r>
          </w:p>
        </w:tc>
        <w:tc>
          <w:tcPr>
            <w:tcW w:w="12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6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is calculated using the straight-line method over the estimated useful lives of the acquired intangibles. The total amortization expense for acquired intangible assets was $119.0 million in fiscal 2026, $114.2 million in fiscal 2025 and $81.6 million in fiscal 2024. This amortization expense was included in the accompanying consolidated statements of operations as acquired intangibles amortization and cost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Expected annual aggregate amortization expense in future fiscal years are as follows:</w:t>
      </w:r>
    </w:p>
    <w:tbl>
      <w:tblPr>
        <w:tblW w:w="3032" w:type="dxa"/>
        <w:jc w:val="center"/>
        <w:tblInd w:w="0" w:type="dxa"/>
        <w:tblLayout w:type="fixed"/>
        <w:tblCellMar>
          <w:top w:w="28" w:type="dxa"/>
          <w:left w:w="28" w:type="dxa"/>
          <w:bottom w:w="28" w:type="dxa"/>
          <w:right w:w="28" w:type="dxa"/>
        </w:tblCellMar>
      </w:tblPr>
      <w:tblGrid>
        <w:gridCol w:w="622"/>
        <w:gridCol w:w="546"/>
        <w:gridCol w:w="556"/>
        <w:gridCol w:w="109"/>
        <w:gridCol w:w="109"/>
        <w:gridCol w:w="109"/>
        <w:gridCol w:w="211"/>
        <w:gridCol w:w="616"/>
        <w:gridCol w:w="154"/>
      </w:tblGrid>
      <w:tr>
        <w:trPr/>
        <w:tc>
          <w:tcPr>
            <w:tcW w:w="62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IPR&amp;D is accounted for as an indefinite-lived intangible asset and is not amortized until the underlying project reaches technological feasibility and commercial production, at which point the IPR&amp;D is amortized over the estimated useful life. In the event the IPR&amp;D is abandoned, the related assets are written off.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Impairment of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2026, we recorded an indefinite-lived intangible asset impairment charge of $6.8 million for IPR&amp;D, which related to Ultra-Wideband (“UWB”) IP technology we acquired from Broadcom in fiscal 2025. The impairment charge represented the carrying value of the UWB IPR&amp;D asset, reducing the asset’s carrying value to zero. The impairment charge was recorded as a result of our decision to cease development and commercialization activities for the UWB IP technology, the absence of alternative uses for the acquired UWB IP technology, and management’s conclusion that no further development or investment is planned for this project. The impairment charge was presented as an operating expense in our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we recorded an intangible asset impairment charge of $13.8 million related to a license of certain technology we acquired in fiscal 2024. We recorded the impairment charge due to a lack of potential customers, no alternative uses for the acquired technology and no further development or investment planned for this project. The impairment charge was presented as an operating expense in our consolidated statement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we recorded an indefinite-lived intangible asset impairment charge of $16.0 million of IPR&amp;D from our December 2021 acquisition of DSP Group, Inc. (“DSPG”). We recorded the impairment charge as a result of a lack of commitment from certain key customers, no anticipated customer migration to the IPR&amp;D technologies acquired from DSPG and no further development or investment planned for this project. The impairment charge was presented as an operating expense in our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Debt and Revolving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total debt outstanding consisted of the following:</w:t>
      </w:r>
    </w:p>
    <w:tbl>
      <w:tblPr>
        <w:tblW w:w="11127" w:type="dxa"/>
        <w:jc w:val="left"/>
        <w:tblInd w:w="0" w:type="dxa"/>
        <w:tblLayout w:type="fixed"/>
        <w:tblCellMar>
          <w:top w:w="28" w:type="dxa"/>
          <w:left w:w="28" w:type="dxa"/>
          <w:bottom w:w="28" w:type="dxa"/>
          <w:right w:w="28" w:type="dxa"/>
        </w:tblCellMar>
      </w:tblPr>
      <w:tblGrid>
        <w:gridCol w:w="418"/>
        <w:gridCol w:w="366"/>
        <w:gridCol w:w="252"/>
        <w:gridCol w:w="205"/>
        <w:gridCol w:w="205"/>
        <w:gridCol w:w="206"/>
        <w:gridCol w:w="280"/>
        <w:gridCol w:w="280"/>
        <w:gridCol w:w="281"/>
        <w:gridCol w:w="211"/>
        <w:gridCol w:w="616"/>
        <w:gridCol w:w="109"/>
        <w:gridCol w:w="109"/>
        <w:gridCol w:w="109"/>
        <w:gridCol w:w="109"/>
        <w:gridCol w:w="216"/>
        <w:gridCol w:w="632"/>
        <w:gridCol w:w="113"/>
        <w:gridCol w:w="109"/>
        <w:gridCol w:w="109"/>
        <w:gridCol w:w="109"/>
        <w:gridCol w:w="216"/>
        <w:gridCol w:w="632"/>
        <w:gridCol w:w="113"/>
        <w:gridCol w:w="109"/>
        <w:gridCol w:w="109"/>
        <w:gridCol w:w="109"/>
        <w:gridCol w:w="211"/>
        <w:gridCol w:w="616"/>
        <w:gridCol w:w="109"/>
        <w:gridCol w:w="109"/>
        <w:gridCol w:w="109"/>
        <w:gridCol w:w="109"/>
        <w:gridCol w:w="211"/>
        <w:gridCol w:w="616"/>
        <w:gridCol w:w="109"/>
        <w:gridCol w:w="109"/>
        <w:gridCol w:w="109"/>
        <w:gridCol w:w="109"/>
        <w:gridCol w:w="216"/>
        <w:gridCol w:w="632"/>
        <w:gridCol w:w="113"/>
        <w:gridCol w:w="109"/>
        <w:gridCol w:w="109"/>
        <w:gridCol w:w="109"/>
        <w:gridCol w:w="211"/>
        <w:gridCol w:w="61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Stated Rate</w:t>
            </w:r>
          </w:p>
        </w:tc>
        <w:tc>
          <w:tcPr>
            <w:tcW w:w="8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Rate</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2031 Convertible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19, 2024 and November 26, 2024, we issued and sold $400.0 million and $50.0 million, respectively, in aggregate principal amount of 0.75% Convertible Senior Notes due 2031 (“2031 Notes”) in a private placement. The 2031 Notes were issued pursuant to an indenture (“2031 Indenture”), dated November 19, 2024. The 2031 Notes are unsecured, bear interest at a fixed rate of 0.75% per year, payable semi-annually in arrears on June 1 and December 1 of each year, beginning on June 1, 2025, and mature on December 1, 2031, unless earlier converted, redeemed or repurchased by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2031 Notes are our senior, unsecured obligations and are (i) equal in right of payment with our existing and future senior unsecured indebtedness; (ii) senior in right of payment to our existing and future indebtedness that is expressly subordinated to the 2031 Notes; (iii) effectively subordinated to our existing and future secured indebtedness, to the extent of the value of the collateral securing that indebtedness; and (iv) structurally subordinated to all existing and future indebtedness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of the 2031 Notes is 10.0308 shares of our common stock per $1,000 principal amount of 2031 Notes (which is equivalent to an initial conversion price of approximately $99.69 per share). The conversion rate is subject to adjustment upon the occurrence of certain events specified in the 2031 Indenture. In addition, upon the occurrence of a Make-Whole Fundamental Change or if we deliver a Redemption Notice, both as defined in the 2031 Indenture, we will, in certain circumstances, increase the conversion rate by a number of additional shares of common stock as described in the 2031 Indenture for a holder who elects to convert its 2031 Notes in connection with such Make-Whole Fundamental Change or to convert its 2031 Notes called (or deemed called as provided in the 2031 Indenture) for redemption in connection with such Redemption Notice, as the case may be.</w:t>
      </w:r>
    </w:p>
    <w:p>
      <w:pPr>
        <w:pStyle w:val="TextBody"/>
        <w:bidi w:val="0"/>
        <w:spacing w:lineRule="auto" w:line="288" w:before="120" w:after="283"/>
        <w:jc w:val="both"/>
        <w:rPr/>
      </w:pPr>
      <w:r>
        <w:rPr>
          <w:rFonts w:ascii="Times New Roman;serif" w:hAnsi="Times New Roman;serif"/>
          <w:b w:val="false"/>
          <w:color w:val="000000"/>
          <w:sz w:val="20"/>
        </w:rPr>
        <w:t xml:space="preserve">At any time before September 2, 2031, the 2031 Notes are convertible at the option of the holders thereof only under the following circumstances: (1) during any calendar quarter commencing after the first calendar quarter ending on March 31, 2025, if the last reported sale price per share of our common stock exceeds 130% of the conversion price for at least 20 trading days (whether or not consecutive) during the 30 consecutive trading days ending on, and including, the last trading day of the immediately preceding calendar quarter; (2) during the five consecutive business days after any ten consecutive trading day period (such ten consecutive trading day period, the “measurement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(3) if we call such 2031 Notes for redemption; or (4) upon the occurrence of specified corporate events or distributions on our common stock (as specified in the 2031 Indenture). On or after September 2, 2031 until the close of business on the second scheduled trading day immediately preceding the maturity date of the 2031 Notes, holders of the 2031 Notes may convert all or a portion of their 2031 Notes, regardless of the foregoing conditions. </w:t>
      </w:r>
      <w:r>
        <w:rPr>
          <w:rFonts w:ascii="Times New Roman;serif" w:hAnsi="Times New Roman;serif"/>
          <w:b w:val="false"/>
          <w:color w:val="000000"/>
          <w:sz w:val="20"/>
          <w:shd w:fill="FFFFFF" w:val="clear"/>
        </w:rPr>
        <w:t>Upon conversion, the 2031 Notes are settled in cash or through the combination settlement method (as defined in 2031 Indenture) at our election, with the default settlement method being combination settlement, under which the face amount of the notes is settled in cash and any excess conversion value is settled in shares of our common stock. During the fourth quarter of fiscal 2026, the last reported sale pr</w:t>
      </w:r>
      <w:r>
        <w:rPr>
          <w:rFonts w:ascii="Times New Roman;serif" w:hAnsi="Times New Roman;serif"/>
          <w:b w:val="false"/>
          <w:color w:val="000000"/>
          <w:sz w:val="20"/>
        </w:rPr>
        <w:t>ice per share of our common stock exceeded 130% of the conversion price for at least 20 trading days during the 30 consecutive trading days of the calendar quarter, which caused the 2031 Notes to be convertible by the holders for the calendar quarter ending September 30, 2026. As a result, the carrying value of $439.6 million has been reclassified to Current portion of long-term debt in the accompanying consolidated balance sheets as of June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2031 Notes are redeemable, at our option at any time, and from time to time, on or after December 6, 2028. We may redeem for cash all or any portion of the 2031 Notes (subject to the limitation described below), at our option, on or after December 6, 2028 and on or before the 40th scheduled trading day immediately before December 1, 2031 at a cash redemption price equal to the principal amount of the 2031 Notes to be redeemed, plus accrued and unpaid interest, if any, to, but excluding, the redemption date, but only if (i) the notes are Freely Tradable (as defined in 2031 Indenture) as of the date we send the related redemption notice and all accrued and unpaid additional interest, if any, has been paid in full as of the most recent interest payment date occurring on or before the date we send such notice; and (ii) the last reported sale price per share of our common stock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and after giving effect to,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No sinking fund is provided for the 2031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a Fundamental Change (as defined in the 2031 Indenture) prior to the maturity date of the 2031 Notes, holders of the 2031 Notes may require us to repurchase their notes for a cash repurchase price equal to the principal amount of the 2031 Notes to be repurchased, plus any accrued and unpaid interest, if any, to, but excluding, the Fundamental Change Repurchase Date (as defined in the 2031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Contractual interest expense and amortization of debt issuance costs on the 2031 Notes was as follows:</w:t>
      </w:r>
    </w:p>
    <w:tbl>
      <w:tblPr>
        <w:tblW w:w="6203" w:type="dxa"/>
        <w:jc w:val="left"/>
        <w:tblInd w:w="0" w:type="dxa"/>
        <w:tblLayout w:type="fixed"/>
        <w:tblCellMar>
          <w:top w:w="28" w:type="dxa"/>
          <w:left w:w="28" w:type="dxa"/>
          <w:bottom w:w="28" w:type="dxa"/>
          <w:right w:w="28" w:type="dxa"/>
        </w:tblCellMar>
      </w:tblPr>
      <w:tblGrid>
        <w:gridCol w:w="1087"/>
        <w:gridCol w:w="952"/>
        <w:gridCol w:w="960"/>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2031 Capped Calls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2031 Notes, we entered into privately negotiated capped call transactions (each, a “2031 Capped Call” and collectively, the “2031 Capped Calls”) with certain financial institutions. The 2031 Capped Calls have an initial strike price of $99.69, subject to certain adjustments, which corresponds to the initial conversion price of the 2031 Notes. The 2031 Capped Calls have an initial cap price of $150.48 per share, subject to certain adjustments. The 2031 Capped Calls are expected to partially offset the potential dilution to the company’s common stock upon any conversion of the 2031 Notes, with such offset subject to a cap based on the cap price. The 2031 Capped Calls cover, subject to anti-dilution adjustments, approximately 4.5 million shares of the company’s common stock. The 2031 Capped Calls are subject to adjustment upon the occurrence of specified extraordinary events affecting the company, including merger events, tender offers and announcement events. For accounting purposes, each 2031 Capped Call is treated as a separate transaction from, and not part of, the terms of the 2031 Notes. As these transactions meet certain accounting criteria, the 2031 Capped Calls are recorded in stockholders’ equity and are not accounted for as derivatives. The 2031 Capped Calls will not be remeasured as long as they continue to meet the conditions for equity classification.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2021, we issued $400.0 million aggregate principal amount of senior notes due June 15, 2029 (“Senior Notes”), which bear interest at a rate of 4.0% payable semi-annually on December 15 and June 15 of each year. The Senior Notes are fully and unconditionally guaranteed, jointly and severally, on a senior unsecured basis by each of our current and future domestic restricted subsidiaries that guarantee our obligations under our senior secured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indenture to the Senior Notes contains covenants that,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indenture contains customary events of default. An event of default under the indenture will allow either the trustee or the holders of at least 25% in aggregate principal amount of the then outstanding Senior Notes to accelerate, or in certain cases automatically cause the acceleration of, the maturity of the principal and accrued interest on all outstanding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redeem some or all of the Senior Notes at a price of 100% of the principal amount in 2026 and thereafter.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Contractual interest expense and amortization of debt issuance costs on the Senior Notes was as follows:</w:t>
      </w:r>
    </w:p>
    <w:tbl>
      <w:tblPr>
        <w:tblW w:w="6518" w:type="dxa"/>
        <w:jc w:val="left"/>
        <w:tblInd w:w="0" w:type="dxa"/>
        <w:tblLayout w:type="fixed"/>
        <w:tblCellMar>
          <w:top w:w="28" w:type="dxa"/>
          <w:left w:w="28" w:type="dxa"/>
          <w:bottom w:w="28" w:type="dxa"/>
          <w:right w:w="28" w:type="dxa"/>
        </w:tblCellMar>
      </w:tblPr>
      <w:tblGrid>
        <w:gridCol w:w="1087"/>
        <w:gridCol w:w="952"/>
        <w:gridCol w:w="960"/>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Term Loan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19, 2024, we used a portion of the net proceeds from the 2031 Notes to repay the outstanding balance and accrued interest of our Term Loan Facility, which was accounted for as a debt extinguishment. The consideration used to extinguish the Term Loan Facility, including unamortized debt issuance costs, resulted in a loss on early extinguishment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debt of $6.5 million and is included in loss on early extinguishment of debt in the accompanying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Contractual interest expense and amortization of debt issuance costs for our Term Loan Facility was as follows:</w:t>
      </w:r>
    </w:p>
    <w:tbl>
      <w:tblPr>
        <w:tblW w:w="6413" w:type="dxa"/>
        <w:jc w:val="left"/>
        <w:tblInd w:w="0" w:type="dxa"/>
        <w:tblLayout w:type="fixed"/>
        <w:tblCellMar>
          <w:top w:w="28" w:type="dxa"/>
          <w:left w:w="28" w:type="dxa"/>
          <w:bottom w:w="28" w:type="dxa"/>
          <w:right w:w="28" w:type="dxa"/>
        </w:tblCellMar>
      </w:tblPr>
      <w:tblGrid>
        <w:gridCol w:w="1087"/>
        <w:gridCol w:w="952"/>
        <w:gridCol w:w="960"/>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$350.0 million available under a revolving credit agreement, as amended (“Revolving Credit Facility”), with a maturity date to be the earlier of (i) November 21, 2029 and (ii) ninety-one (91) days prior to any maturity of the Senior Notes. Additionally, the Revolving Credit Facility provides a $25.0 million sublimit for letters of credit and a $25.0 million sublimit for swingline loans. As of June 2026 and 2025 there was no balance outstanding under the 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bears interest, at our election, at a Base Rate plus an Applicable Margin or Adjusted Term SOFR, as defined in the Revolving Credit Facility agreement. We are required to pay a commitment fee on any unused commitments which is determined on a leverage-based sliding scale ranging from 0.175% to 0.25% per annum. The unused commitment fees on the Revolving Credit Facility were $1.1 million in fiscal 2026, $0.4 million in fiscal 2025 and $0.6 million in fiscal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contains various restrictive covenants, including two financial covenants which limit the consolidated total net leverage ratio and the consolidated net interest coverage ratio. As of June 2026, we remain in compliance with the restrictive covenants.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Maturities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principal maturities of our Senior Notes and 2031 Notes were as follows:</w:t>
      </w:r>
    </w:p>
    <w:tbl>
      <w:tblPr>
        <w:tblW w:w="5502" w:type="dxa"/>
        <w:jc w:val="left"/>
        <w:tblInd w:w="0" w:type="dxa"/>
        <w:tblLayout w:type="fixed"/>
        <w:tblCellMar>
          <w:top w:w="28" w:type="dxa"/>
          <w:left w:w="28" w:type="dxa"/>
          <w:bottom w:w="28" w:type="dxa"/>
          <w:right w:w="28" w:type="dxa"/>
        </w:tblCellMar>
      </w:tblPr>
      <w:tblGrid>
        <w:gridCol w:w="614"/>
        <w:gridCol w:w="537"/>
        <w:gridCol w:w="543"/>
        <w:gridCol w:w="257"/>
        <w:gridCol w:w="750"/>
        <w:gridCol w:w="132"/>
        <w:gridCol w:w="109"/>
        <w:gridCol w:w="109"/>
        <w:gridCol w:w="109"/>
        <w:gridCol w:w="233"/>
        <w:gridCol w:w="681"/>
        <w:gridCol w:w="120"/>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2027 - 2028</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operating leases for our headquarters office and research and development facilities. Certain of these leases have renewal options that are under our discretion. The leases expire at various dates through fiscal 2034, some of which include options to extend the lease for up to seven years. During fiscal 2026, 2025, and 2024 we recorded $12.4 million, $12.7 million, and $11.8 million of operating lease expense, respectively. Our short-term leases are immaterial.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Components of leases were as follows:</w:t>
      </w:r>
    </w:p>
    <w:tbl>
      <w:tblPr>
        <w:tblW w:w="5124" w:type="dxa"/>
        <w:jc w:val="left"/>
        <w:tblInd w:w="0" w:type="dxa"/>
        <w:tblLayout w:type="fixed"/>
        <w:tblCellMar>
          <w:top w:w="28" w:type="dxa"/>
          <w:left w:w="28" w:type="dxa"/>
          <w:bottom w:w="28" w:type="dxa"/>
          <w:right w:w="28" w:type="dxa"/>
        </w:tblCellMar>
      </w:tblPr>
      <w:tblGrid>
        <w:gridCol w:w="1119"/>
        <w:gridCol w:w="983"/>
        <w:gridCol w:w="988"/>
        <w:gridCol w:w="211"/>
        <w:gridCol w:w="511"/>
        <w:gridCol w:w="109"/>
        <w:gridCol w:w="109"/>
        <w:gridCol w:w="109"/>
        <w:gridCol w:w="109"/>
        <w:gridCol w:w="211"/>
        <w:gridCol w:w="51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10205" w:type="dxa"/>
        <w:jc w:val="center"/>
        <w:tblInd w:w="0" w:type="dxa"/>
        <w:tblLayout w:type="fixed"/>
        <w:tblCellMar>
          <w:top w:w="28" w:type="dxa"/>
          <w:left w:w="28" w:type="dxa"/>
          <w:bottom w:w="28" w:type="dxa"/>
          <w:right w:w="28" w:type="dxa"/>
        </w:tblCellMar>
      </w:tblPr>
      <w:tblGrid>
        <w:gridCol w:w="2966"/>
        <w:gridCol w:w="2597"/>
        <w:gridCol w:w="2607"/>
        <w:gridCol w:w="211"/>
        <w:gridCol w:w="511"/>
        <w:gridCol w:w="109"/>
        <w:gridCol w:w="109"/>
        <w:gridCol w:w="109"/>
        <w:gridCol w:w="109"/>
        <w:gridCol w:w="211"/>
        <w:gridCol w:w="511"/>
        <w:gridCol w:w="155"/>
      </w:tblGrid>
      <w:tr>
        <w:trPr/>
        <w:tc>
          <w:tcPr>
            <w:tcW w:w="2966"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 related to lease liabilities arising from obtaining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the weighted average remaining lease term was 5.44 years and the weighted average discount rate was 5.18%.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future minimum lease payments for operating lease liabilities were as follows:</w:t>
      </w:r>
    </w:p>
    <w:tbl>
      <w:tblPr>
        <w:tblW w:w="5335" w:type="dxa"/>
        <w:jc w:val="left"/>
        <w:tblInd w:w="0" w:type="dxa"/>
        <w:tblLayout w:type="fixed"/>
        <w:tblCellMar>
          <w:top w:w="28" w:type="dxa"/>
          <w:left w:w="28" w:type="dxa"/>
          <w:bottom w:w="28" w:type="dxa"/>
          <w:right w:w="28" w:type="dxa"/>
        </w:tblCellMar>
      </w:tblPr>
      <w:tblGrid>
        <w:gridCol w:w="1446"/>
        <w:gridCol w:w="1273"/>
        <w:gridCol w:w="1285"/>
        <w:gridCol w:w="109"/>
        <w:gridCol w:w="109"/>
        <w:gridCol w:w="109"/>
        <w:gridCol w:w="241"/>
        <w:gridCol w:w="586"/>
        <w:gridCol w:w="177"/>
      </w:tblGrid>
      <w:tr>
        <w:trPr/>
        <w:tc>
          <w:tcPr>
            <w:tcW w:w="14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Operating </w:t>
              <w:br/>
              <w:t xml:space="preserve">Lease </w:t>
              <w:br/>
              <w:t xml:space="preserve">Payments </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Concentrations of Credit Risk and Significant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concentrations of credit risk consist primarily of cash equivalents, short-term investments and accounts receivable. Our cash and cash equivalents and short-term investments are maintained with high-quality financial institutions.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the concentration of credit risk in our accounts receivable is substantially mitigated by our credit evaluation process, relatively short collection terms and the level of credit worthiness of our customers. We extend credit based on an evaluation of a customer’s financial condition and generally do not require collateral. We perform ongoing credit evaluations on our customers and limit the amount of credit extended when deemed necessary based upon payment history and current credit worthiness. We regularly review the allowance for credit losses by considering factors such as historical experience, credit quality, age of accounts receivable balances and current economic conditions that may negatively impact our customers’ ability to pay.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2026, two customers comprised a total of 24% of our accounts receivable. As of June 2025, three customers comprised a total of 45% of our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Net (Loss) Income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(loss) income per share was as follows:</w:t>
      </w:r>
    </w:p>
    <w:tbl>
      <w:tblPr>
        <w:tblW w:w="8442" w:type="dxa"/>
        <w:jc w:val="center"/>
        <w:tblInd w:w="0" w:type="dxa"/>
        <w:tblLayout w:type="fixed"/>
        <w:tblCellMar>
          <w:top w:w="28" w:type="dxa"/>
          <w:left w:w="28" w:type="dxa"/>
          <w:bottom w:w="28" w:type="dxa"/>
          <w:right w:w="28" w:type="dxa"/>
        </w:tblCellMar>
      </w:tblPr>
      <w:tblGrid>
        <w:gridCol w:w="1767"/>
        <w:gridCol w:w="1560"/>
        <w:gridCol w:w="1563"/>
        <w:gridCol w:w="211"/>
        <w:gridCol w:w="691"/>
        <w:gridCol w:w="109"/>
        <w:gridCol w:w="109"/>
        <w:gridCol w:w="109"/>
        <w:gridCol w:w="109"/>
        <w:gridCol w:w="211"/>
        <w:gridCol w:w="586"/>
        <w:gridCol w:w="109"/>
        <w:gridCol w:w="109"/>
        <w:gridCol w:w="109"/>
        <w:gridCol w:w="109"/>
        <w:gridCol w:w="211"/>
        <w:gridCol w:w="61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basic</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share-based awards and convertible notes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diluted</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For a period in which we report a net income, we use the “treasury stock” method to determine the dilutive effect of outstanding share-based awards. For a period in which we report a net loss, all potentially dilutive shares are excluded from the computation of diluted net loss per share as their inclusion would be anti-dilutive. We use the if-converted method for calculating any potential dilutive effect of our 2031 Notes. The anti-dilutive shares that were excluded from the computation of diluted net loss per share were 3.1 million, 3.3 million, and 0.2 million shares in fiscal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2026, we had commitments of $25.7 million for purchase obligations which include payments for the acquisition of inventories and other goods or services of either a fixed or minimum quantity. Total future unconditional purchase commitments in future fiscal years were as follows:</w:t>
      </w:r>
    </w:p>
    <w:tbl>
      <w:tblPr>
        <w:tblW w:w="2943" w:type="dxa"/>
        <w:jc w:val="left"/>
        <w:tblInd w:w="0" w:type="dxa"/>
        <w:tblLayout w:type="fixed"/>
        <w:tblCellMar>
          <w:top w:w="28" w:type="dxa"/>
          <w:left w:w="28" w:type="dxa"/>
          <w:bottom w:w="28" w:type="dxa"/>
          <w:right w:w="28" w:type="dxa"/>
        </w:tblCellMar>
      </w:tblPr>
      <w:tblGrid>
        <w:gridCol w:w="628"/>
        <w:gridCol w:w="552"/>
        <w:gridCol w:w="560"/>
        <w:gridCol w:w="109"/>
        <w:gridCol w:w="109"/>
        <w:gridCol w:w="109"/>
        <w:gridCol w:w="211"/>
        <w:gridCol w:w="511"/>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2029 and thereafter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certain agreements, we are obligated to indemnify the counterparty against third party claims alleging infringement of certain intellectual property rights. 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 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 We accrue for liabilities arising from indemnifications when it is both probable that we will incur the loss and we can reasonably estimate the amount of the loss or range of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acquisition of Conexant Systems, LLC (“Conexant”) in fiscal 2018, we agreed to assume certain environmental liabilities, including remediation of environmental impacts at a property formerly owned by Conexant (“Conexant Site”). We continue to incur costs to investigate and remediate the Conexant Site’s environmental impacts. The liabilities are reviewed periodically and, as investigation and remediation activities continue, adjustments are made as necessary. Liabilities for losses from environmental remediation obligations do not consider the effects of inflation and anticipated expenditures are not discounted to their present value. We believe that the outcome of this matter should not have a material adverse effect on our financial condition, cash flows or operating results.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claims and legal proceedings, either asserted or unasserted, that arise in the ordinary course of business. We accrue for loss contingencies when it is both probable that we will incur the loss and we can reasonably estimate the amount of the loss or range of loss.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Stockholders’ Equity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authorized, subject to limitations imposed by Delaware law, to issue up to 10,000,000 shares of preferred stock in one or more series without stockholder approval. Our Board of Directors has the authority to establish, from time-to-time,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 As of the end of fiscal 2026, there were no shares of preferred stock outstanding.</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Shares Reserved for Future Issuance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shares of common stock reserved for future issuance were as follows:</w:t>
      </w:r>
    </w:p>
    <w:tbl>
      <w:tblPr>
        <w:tblW w:w="6572" w:type="dxa"/>
        <w:jc w:val="left"/>
        <w:tblInd w:w="0" w:type="dxa"/>
        <w:tblLayout w:type="fixed"/>
        <w:tblCellMar>
          <w:top w:w="28" w:type="dxa"/>
          <w:left w:w="28" w:type="dxa"/>
          <w:bottom w:w="28" w:type="dxa"/>
          <w:right w:w="28" w:type="dxa"/>
        </w:tblCellMar>
      </w:tblPr>
      <w:tblGrid>
        <w:gridCol w:w="2051"/>
        <w:gridCol w:w="1802"/>
        <w:gridCol w:w="1816"/>
        <w:gridCol w:w="109"/>
        <w:gridCol w:w="109"/>
        <w:gridCol w:w="109"/>
        <w:gridCol w:w="203"/>
        <w:gridCol w:w="203"/>
        <w:gridCol w:w="170"/>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56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0"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Awards available for grant under all 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56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Reserved for future issuance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Board of Directors-approved stock repurchase program, authorized by our Board of Directors in August 2025, authorizing repurchases of up to $150.0 million of our common stock. This program does not have an expiration date; however, we will periodically review the authorization to assess its continued appropriateness in light of our capital allocation priorities and market conditions. The number of shares repurchased and the timing of repurchases depend on the level of our cash balances, general business and market conditions and other factors, including alternative investment opportunities. Our prior stock repurchase program expired in July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year 2026 and 2025, we repurchased 1.3 million shares of our common stock for $92.7 million and 1.8 million shares for $128.3 million, respectively. We did not repurchase any of our common stock in fiscal 2024. All repurchased shares are held as treasury stock. Following the announcement of the Merger, we suspended our share repurchase activity in accordance with the terms of the Merger Agreement; however, we may resume share repurchases in the future in accordance with the terms of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we had the following equity compensation plans under which equity securities were authorized for issuance to our employees and directors: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2025 Inducement Equity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27, 2025, we adopted the 2025 Inducement Equity Plan (“2025 Inducement Plan”) which provides for the issuance of option or appreciation rights, restricted stock units (“RSUs”) or dividend equivalents to our employees. Awards granted under the 2025 Inducement Plan will not exceed 1,700,000 shares of common stock. As of June 2026, 693,494 shares of our common stock are reserved for issuance under the 2025 Inducement Plan. Equity awards granted under the 2025 Inducement Plan generally vest ratably over two years from the vesting commencement date.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Amended and Restated 2019 Equity and Incentive Compensation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Synaptics Incorporated Amended and Restated 2019 Equity and Incentive Compensation Plan (“2019 Incentive Plan”) provides for the grant of equity-based compensation in the form of stock options, stock appreciation rights, RSUs, cash incentive awards, performance stock units (“PSUs”) or market stock units (“MSUs”) and other share-based awards. As of June 2026, 2,711,150 shares of our common stock are reserved for issuance under the 2019 Incentive Plan. The performance metrics of PSU and MSU awards can be financial performance and/or market-based conditions. Each PSU and MSU award reflects a target number of shares that may be issued to an award recipient before adjusting based on our financial performance and/or market-based conditions. The actual number of shares that an award recipient receives at the end of the period may range from 0% to 300% of the target number of shares granted, depending upon the achievement of the performance target designated by each individual award.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2025 Inducement Plan and 2019 Incentive Plan are collectively referred to as “Stock Compensation Plans.”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RSUs granted generally vest ratably over two to four years from the vesting commencement date. RSU activity, including RSUs granted, delivered and forfeited in fiscal 2026, and the balance and aggregate intrinsic value of RSUs as of the end of fiscal 2026 were as follows:</w:t>
      </w:r>
    </w:p>
    <w:tbl>
      <w:tblPr>
        <w:tblW w:w="5352" w:type="dxa"/>
        <w:jc w:val="left"/>
        <w:tblInd w:w="0" w:type="dxa"/>
        <w:tblLayout w:type="fixed"/>
        <w:tblCellMar>
          <w:top w:w="28" w:type="dxa"/>
          <w:left w:w="28" w:type="dxa"/>
          <w:bottom w:w="28" w:type="dxa"/>
          <w:right w:w="28" w:type="dxa"/>
        </w:tblCellMar>
      </w:tblPr>
      <w:tblGrid>
        <w:gridCol w:w="755"/>
        <w:gridCol w:w="662"/>
        <w:gridCol w:w="667"/>
        <w:gridCol w:w="370"/>
        <w:gridCol w:w="370"/>
        <w:gridCol w:w="371"/>
        <w:gridCol w:w="109"/>
        <w:gridCol w:w="109"/>
        <w:gridCol w:w="109"/>
        <w:gridCol w:w="440"/>
        <w:gridCol w:w="1067"/>
        <w:gridCol w:w="323"/>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br/>
              <w:t>Awards</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Grant Date</w:t>
              <w:br/>
              <w:t xml:space="preserve">Fair Value per Share </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2025</w:t>
            </w:r>
          </w:p>
        </w:tc>
        <w:tc>
          <w:tcPr>
            <w:tcW w:w="111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32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1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2026</w:t>
            </w:r>
          </w:p>
        </w:tc>
        <w:tc>
          <w:tcPr>
            <w:tcW w:w="111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end of fiscal 2026, the aggregate intrinsic value of RSUs expected to vest was $333.4 million. Our closing stock price of $121.00 on the last day of trading in fiscal 2026 was used to calculate the intrinsic value for the RSUs.</w:t>
      </w:r>
    </w:p>
    <w:p>
      <w:pPr>
        <w:pStyle w:val="TextBody"/>
        <w:bidi w:val="0"/>
        <w:spacing w:lineRule="auto" w:line="288" w:before="120" w:after="283"/>
        <w:jc w:val="both"/>
        <w:rPr/>
      </w:pPr>
      <w:r>
        <w:rPr>
          <w:rFonts w:ascii="Times New Roman;serif" w:hAnsi="Times New Roman;serif"/>
          <w:b w:val="false"/>
          <w:color w:val="000000"/>
          <w:sz w:val="20"/>
        </w:rPr>
        <w:t xml:space="preserve">The unrecognized share-based compensation cost for RSUs granted under Stock Compensation Plans was </w:t>
      </w:r>
      <w:r>
        <w:rPr>
          <w:rFonts w:ascii="Times New Roman;serif" w:hAnsi="Times New Roman;serif"/>
          <w:b w:val="false"/>
          <w:color w:val="000000"/>
          <w:sz w:val="20"/>
          <w:shd w:fill="FFFFFF" w:val="clear"/>
        </w:rPr>
        <w:t>$146.7 million</w:t>
      </w:r>
      <w:r>
        <w:rPr>
          <w:color w:val="000000"/>
        </w:rPr>
        <w:t xml:space="preserve"> </w:t>
      </w:r>
      <w:r>
        <w:rPr>
          <w:rFonts w:ascii="Times New Roman;serif" w:hAnsi="Times New Roman;serif"/>
          <w:b w:val="false"/>
          <w:color w:val="000000"/>
          <w:sz w:val="20"/>
        </w:rPr>
        <w:t>as of the end of fiscal 2026, which will be recognized over a weighted average period of 1.7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Market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MSU activity, including MSUs granted, delivered and forfeited in fiscal 2026, and the balance and aggregate intrinsic value of MSUs as of the end of fiscal 2026 were as follows:</w:t>
      </w:r>
    </w:p>
    <w:tbl>
      <w:tblPr>
        <w:tblW w:w="5184" w:type="dxa"/>
        <w:jc w:val="center"/>
        <w:tblInd w:w="0" w:type="dxa"/>
        <w:tblLayout w:type="fixed"/>
        <w:tblCellMar>
          <w:top w:w="28" w:type="dxa"/>
          <w:left w:w="28" w:type="dxa"/>
          <w:bottom w:w="28" w:type="dxa"/>
          <w:right w:w="28" w:type="dxa"/>
        </w:tblCellMar>
      </w:tblPr>
      <w:tblGrid>
        <w:gridCol w:w="674"/>
        <w:gridCol w:w="590"/>
        <w:gridCol w:w="595"/>
        <w:gridCol w:w="389"/>
        <w:gridCol w:w="389"/>
        <w:gridCol w:w="391"/>
        <w:gridCol w:w="109"/>
        <w:gridCol w:w="109"/>
        <w:gridCol w:w="109"/>
        <w:gridCol w:w="393"/>
        <w:gridCol w:w="1149"/>
        <w:gridCol w:w="287"/>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MSU Awards</w:t>
              <w:br/>
              <w:t xml:space="preserve">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 xml:space="preserve">Fair Value per Share </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2025</w:t>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2026</w:t>
            </w:r>
          </w:p>
        </w:tc>
        <w:tc>
          <w:tcPr>
            <w:tcW w:w="11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At the end of fiscal 2026, the aggregate intrinsic value of MSUs expected to vest was $21.9 million. Our closing stock price of $121.00 on the last day of trading in fiscal 2026 was used to calculate the intrinsic value for the MSUs. The unrecognized share-based compensation cost of our outstanding MSUs was </w:t>
      </w:r>
      <w:r>
        <w:rPr>
          <w:rFonts w:ascii="Times New Roman;serif" w:hAnsi="Times New Roman;serif"/>
          <w:b w:val="false"/>
          <w:color w:val="000000"/>
          <w:sz w:val="20"/>
          <w:shd w:fill="FFFFFF" w:val="clear"/>
        </w:rPr>
        <w:t>$10.3 million</w:t>
      </w:r>
      <w:r>
        <w:rPr>
          <w:color w:val="000000"/>
        </w:rPr>
        <w:t xml:space="preserve"> </w:t>
      </w:r>
      <w:r>
        <w:rPr>
          <w:rFonts w:ascii="Times New Roman;serif" w:hAnsi="Times New Roman;serif"/>
          <w:b w:val="false"/>
          <w:color w:val="000000"/>
          <w:sz w:val="20"/>
        </w:rPr>
        <w:t>as of the end of fiscal 2026, which will be recognized over a weighted average period of 1.5 years.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fair value of each MSU granted from our plans was estimated at the date of grant using the Monte Carlo simulation model, assuming no expected dividends and the following assumptions. </w:t>
      </w:r>
      <w:r>
        <w:rPr>
          <w:rFonts w:ascii="Times New Roman;serif" w:hAnsi="Times New Roman;serif"/>
          <w:b w:val="false"/>
          <w:color w:val="000000"/>
          <w:sz w:val="20"/>
        </w:rPr>
        <w:t xml:space="preserve">The ranges disclosed in the table also include the July 2025 MSU granted to our Chief Executive Officer. </w:t>
      </w:r>
    </w:p>
    <w:tbl>
      <w:tblPr>
        <w:tblW w:w="7431" w:type="dxa"/>
        <w:jc w:val="center"/>
        <w:tblInd w:w="0" w:type="dxa"/>
        <w:tblLayout w:type="fixed"/>
        <w:tblCellMar>
          <w:top w:w="28" w:type="dxa"/>
          <w:left w:w="28" w:type="dxa"/>
          <w:bottom w:w="28" w:type="dxa"/>
          <w:right w:w="28" w:type="dxa"/>
        </w:tblCellMar>
      </w:tblPr>
      <w:tblGrid>
        <w:gridCol w:w="978"/>
        <w:gridCol w:w="859"/>
        <w:gridCol w:w="862"/>
        <w:gridCol w:w="422"/>
        <w:gridCol w:w="422"/>
        <w:gridCol w:w="430"/>
        <w:gridCol w:w="109"/>
        <w:gridCol w:w="109"/>
        <w:gridCol w:w="109"/>
        <w:gridCol w:w="441"/>
        <w:gridCol w:w="441"/>
        <w:gridCol w:w="452"/>
        <w:gridCol w:w="109"/>
        <w:gridCol w:w="109"/>
        <w:gridCol w:w="109"/>
        <w:gridCol w:w="428"/>
        <w:gridCol w:w="428"/>
        <w:gridCol w:w="61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company</w:t>
            </w:r>
          </w:p>
        </w:tc>
        <w:tc>
          <w:tcPr>
            <w:tcW w:w="12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50.87%-51.72%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52.40%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52.61%</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Index</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17.5%-229.8%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14.9%-213.7%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11.5%-762.5%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0.68-0.69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2.87-2.95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3.70%-3.85%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4.65%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per award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$98.54-$105.10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$71.14 - $182.80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18"/>
              </w:rPr>
            </w:pPr>
            <w:r>
              <w:rPr>
                <w:rFonts w:ascii="Times New Roman;serif" w:hAnsi="Times New Roman;serif"/>
                <w:b w:val="false"/>
                <w:color w:val="000000"/>
                <w:sz w:val="18"/>
              </w:rPr>
              <w:t>$159.79 - $268.61</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Stock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PSU activity, including PSUs granted, delivered and forfeited in fiscal 2026, and the balance and aggregate intrinsic value of PSUs as of the end of fiscal 2026 were as follows:</w:t>
      </w:r>
    </w:p>
    <w:tbl>
      <w:tblPr>
        <w:tblW w:w="5170" w:type="dxa"/>
        <w:jc w:val="center"/>
        <w:tblInd w:w="0" w:type="dxa"/>
        <w:tblLayout w:type="fixed"/>
        <w:tblCellMar>
          <w:top w:w="28" w:type="dxa"/>
          <w:left w:w="28" w:type="dxa"/>
          <w:bottom w:w="28" w:type="dxa"/>
          <w:right w:w="28" w:type="dxa"/>
        </w:tblCellMar>
      </w:tblPr>
      <w:tblGrid>
        <w:gridCol w:w="674"/>
        <w:gridCol w:w="590"/>
        <w:gridCol w:w="595"/>
        <w:gridCol w:w="384"/>
        <w:gridCol w:w="384"/>
        <w:gridCol w:w="386"/>
        <w:gridCol w:w="109"/>
        <w:gridCol w:w="109"/>
        <w:gridCol w:w="109"/>
        <w:gridCol w:w="439"/>
        <w:gridCol w:w="1066"/>
        <w:gridCol w:w="325"/>
      </w:tblGrid>
      <w:tr>
        <w:trPr/>
        <w:tc>
          <w:tcPr>
            <w:tcW w:w="6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PSU Awards </w:t>
              <w:br/>
              <w:t xml:space="preserve">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Grant Date</w:t>
              <w:br/>
              <w:t xml:space="preserve">Fair Value per Share </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2025</w:t>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2026</w:t>
            </w:r>
          </w:p>
        </w:tc>
        <w:tc>
          <w:tcPr>
            <w:tcW w:w="115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value PSUs using the aggregate intrinsic value on the grant date and amortize the compensation expense over the three-year service period on a ratable basis, dependent upon the probability of meeting the performance measures. The PSU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awards outstanding balance at June 2026 is based on the target grant quantity and does not include any performance adjustment of shares for completed performance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end of fiscal 2026, the aggregate intrinsic value of PSUs expected to vest was $22.2 million. Our closing stock price of $121.00 on the last day of trading in fiscal 2026 was used to calculate the intrinsic value for the PSUs.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unrecognized share-based compensation cost of our outstanding PSUs was $7.6 million as of June 2026, which will be recognized over a weighted average period of 0.8 years.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Our ESPP allows employees to designate up to 15% of their base compensation, subject to legal restrictions and limitations, to purchase shares of common stock at 85% of the lesser of the fair market value at the beginning of the offering period or the exercise date. Under the ESPP, the offering period extends for up to one year and includes two exercise dates occurring at six-month intervals. Under the terms of our ESPP, if the fair market value at an exercise date is less than the fair market value at the beginning of the offering period, the current offering period will terminate and a new offering period will commence. As of June 2026, 1,629,107 shares of our common stock are reserved for issuance under the ESPP. In connection with the Merger, the ESPP will terminate as of the Effective Time. On the Final Exercise Date (as defined in the Merger Agreement), the funds credited as of such date within the associated accumulated payroll withholding account for each participant will be used to purchase shares of our common stock in accordance with the terms of the ESPP. Those shares will then be converted into Merger Consideration in accordance with the terms of the Merger Agreement. Any unused contributions will be refunded following the Effective Time, without interest. Until the closing of the Merger, the ESPP will continue to be operative in accordance with the terms of the Merger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Shares purchased, weighted average purchase price, cash received and the aggregate intrinsic value for ESPP purchases were as follows:</w:t>
      </w:r>
    </w:p>
    <w:tbl>
      <w:tblPr>
        <w:tblW w:w="6311" w:type="dxa"/>
        <w:jc w:val="center"/>
        <w:tblInd w:w="0" w:type="dxa"/>
        <w:tblLayout w:type="fixed"/>
        <w:tblCellMar>
          <w:top w:w="28" w:type="dxa"/>
          <w:left w:w="28" w:type="dxa"/>
          <w:bottom w:w="28" w:type="dxa"/>
          <w:right w:w="28" w:type="dxa"/>
        </w:tblCellMar>
      </w:tblPr>
      <w:tblGrid>
        <w:gridCol w:w="1014"/>
        <w:gridCol w:w="892"/>
        <w:gridCol w:w="898"/>
        <w:gridCol w:w="211"/>
        <w:gridCol w:w="616"/>
        <w:gridCol w:w="109"/>
        <w:gridCol w:w="109"/>
        <w:gridCol w:w="109"/>
        <w:gridCol w:w="109"/>
        <w:gridCol w:w="211"/>
        <w:gridCol w:w="616"/>
        <w:gridCol w:w="109"/>
        <w:gridCol w:w="109"/>
        <w:gridCol w:w="109"/>
        <w:gridCol w:w="109"/>
        <w:gridCol w:w="211"/>
        <w:gridCol w:w="61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93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purchase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intrinsic value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each award granted under our ESPP was based on the Black-Scholes option pricing model. The fair value per award for fiscal 2026, 2025 and 2024 was $36.48, $22.58 and $34.54, respectively. Unrecognized share-based compensation costs for awards granted under our ESPP at the end of fiscal 2026 were $6.4 million that will be amortized over the next 10 months.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Share-based compensation and the related tax benefit for our share-based awards recognized in the accompanying consolidated statements of operations were as follows:</w:t>
      </w:r>
    </w:p>
    <w:tbl>
      <w:tblPr>
        <w:tblW w:w="7572" w:type="dxa"/>
        <w:jc w:val="left"/>
        <w:tblInd w:w="0" w:type="dxa"/>
        <w:tblLayout w:type="fixed"/>
        <w:tblCellMar>
          <w:top w:w="28" w:type="dxa"/>
          <w:left w:w="28" w:type="dxa"/>
          <w:bottom w:w="28" w:type="dxa"/>
          <w:right w:w="28" w:type="dxa"/>
        </w:tblCellMar>
      </w:tblPr>
      <w:tblGrid>
        <w:gridCol w:w="1470"/>
        <w:gridCol w:w="1295"/>
        <w:gridCol w:w="1300"/>
        <w:gridCol w:w="211"/>
        <w:gridCol w:w="616"/>
        <w:gridCol w:w="109"/>
        <w:gridCol w:w="109"/>
        <w:gridCol w:w="109"/>
        <w:gridCol w:w="109"/>
        <w:gridCol w:w="211"/>
        <w:gridCol w:w="616"/>
        <w:gridCol w:w="109"/>
        <w:gridCol w:w="109"/>
        <w:gridCol w:w="109"/>
        <w:gridCol w:w="109"/>
        <w:gridCol w:w="211"/>
        <w:gridCol w:w="61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on share-based compensation</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Employee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retirement benefit plans primarily in the United States and certain foreign countries. We have a 401(k) Retirement Savings Plan (“401k Plan”) for U.S. full-time employees that allows eligible employees to contribute as defined in the 401k Plan and subject to Internal Revenue Service limitations. In fiscal 2026, we provided matching funds of 25% of our employees’ contributions, excluding catch-up contributions. The employer matching funds vest immediately. We made matching contributions to the 401k Plan of $1.8 million in fiscal 2026, $1.8 million in fiscal 2025, and $1.9 million in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 was as follows:</w:t>
      </w:r>
    </w:p>
    <w:tbl>
      <w:tblPr>
        <w:tblW w:w="7721" w:type="dxa"/>
        <w:jc w:val="left"/>
        <w:tblInd w:w="0" w:type="dxa"/>
        <w:tblLayout w:type="fixed"/>
        <w:tblCellMar>
          <w:top w:w="28" w:type="dxa"/>
          <w:left w:w="28" w:type="dxa"/>
          <w:bottom w:w="28" w:type="dxa"/>
          <w:right w:w="28" w:type="dxa"/>
        </w:tblCellMar>
      </w:tblPr>
      <w:tblGrid>
        <w:gridCol w:w="1447"/>
        <w:gridCol w:w="1268"/>
        <w:gridCol w:w="1274"/>
        <w:gridCol w:w="211"/>
        <w:gridCol w:w="691"/>
        <w:gridCol w:w="109"/>
        <w:gridCol w:w="109"/>
        <w:gridCol w:w="109"/>
        <w:gridCol w:w="109"/>
        <w:gridCol w:w="211"/>
        <w:gridCol w:w="691"/>
        <w:gridCol w:w="109"/>
        <w:gridCol w:w="109"/>
        <w:gridCol w:w="109"/>
        <w:gridCol w:w="109"/>
        <w:gridCol w:w="211"/>
        <w:gridCol w:w="691"/>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consisted of the following:</w:t>
      </w:r>
    </w:p>
    <w:tbl>
      <w:tblPr>
        <w:tblW w:w="6567" w:type="dxa"/>
        <w:jc w:val="left"/>
        <w:tblInd w:w="0" w:type="dxa"/>
        <w:tblLayout w:type="fixed"/>
        <w:tblCellMar>
          <w:top w:w="28" w:type="dxa"/>
          <w:left w:w="28" w:type="dxa"/>
          <w:bottom w:w="28" w:type="dxa"/>
          <w:right w:w="28" w:type="dxa"/>
        </w:tblCellMar>
      </w:tblPr>
      <w:tblGrid>
        <w:gridCol w:w="1093"/>
        <w:gridCol w:w="959"/>
        <w:gridCol w:w="963"/>
        <w:gridCol w:w="211"/>
        <w:gridCol w:w="616"/>
        <w:gridCol w:w="109"/>
        <w:gridCol w:w="109"/>
        <w:gridCol w:w="109"/>
        <w:gridCol w:w="109"/>
        <w:gridCol w:w="211"/>
        <w:gridCol w:w="586"/>
        <w:gridCol w:w="109"/>
        <w:gridCol w:w="109"/>
        <w:gridCol w:w="109"/>
        <w:gridCol w:w="109"/>
        <w:gridCol w:w="211"/>
        <w:gridCol w:w="69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(benefit) provision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provision</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differs from the U.S. federal statutory rate for fiscal 2026, as follows, reflecting the adoption of ASU 2023-09: </w:t>
      </w:r>
    </w:p>
    <w:p>
      <w:pPr>
        <w:pStyle w:val="TextBody"/>
        <w:bidi w:val="0"/>
        <w:spacing w:before="0" w:after="0"/>
        <w:jc w:val="left"/>
        <w:rPr/>
      </w:pPr>
      <w:r>
        <w:rPr/>
      </w:r>
    </w:p>
    <w:tbl>
      <w:tblPr>
        <w:tblW w:w="7567" w:type="dxa"/>
        <w:jc w:val="left"/>
        <w:tblInd w:w="0" w:type="dxa"/>
        <w:tblLayout w:type="fixed"/>
        <w:tblCellMar>
          <w:top w:w="28" w:type="dxa"/>
          <w:left w:w="28" w:type="dxa"/>
          <w:bottom w:w="28" w:type="dxa"/>
          <w:right w:w="28" w:type="dxa"/>
        </w:tblCellMar>
      </w:tblPr>
      <w:tblGrid>
        <w:gridCol w:w="2006"/>
        <w:gridCol w:w="1768"/>
        <w:gridCol w:w="1775"/>
        <w:gridCol w:w="293"/>
        <w:gridCol w:w="293"/>
        <w:gridCol w:w="271"/>
        <w:gridCol w:w="343"/>
        <w:gridCol w:w="347"/>
        <w:gridCol w:w="471"/>
      </w:tblGrid>
      <w:tr>
        <w:trPr/>
        <w:tc>
          <w:tcPr>
            <w:tcW w:w="200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Amount </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Percent </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statutory tax rate </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tax effects </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Hong Kong and United States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India and United States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Japan and United States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gain/(loss)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payment awards </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Israel </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Israel and United States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gain/(loss)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deduction eligible income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Subpart F income </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disregarded entity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 tax credits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share-based compensation</w:t>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57"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w:t>
            </w:r>
          </w:p>
        </w:tc>
        <w:tc>
          <w:tcPr>
            <w:tcW w:w="69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w:t>
            </w:r>
          </w:p>
        </w:tc>
        <w:tc>
          <w:tcPr>
            <w:tcW w:w="4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fiscal 2026 diverged from the combined U.S. federal and state statutory tax rate primarily due to $425.3 million of non-cash tax expenses associated with the establishment of a full valuation allowance against our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deferred tax assets. During the fourth quarter of fiscal 2026, we recorded a full valuation allowance against our net U.S. federal deferred tax assets after determining that it was not more likely than not that such deferred tax assets would be realized, primarily based on our three-year cumulative adjusted taxable loss position for U.S. federal income tax purposes as of fiscal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fiscal 2025 and 2024 , the benefit for income taxes differed from the U.S. federal statutory rate as follows:</w:t>
      </w:r>
    </w:p>
    <w:tbl>
      <w:tblPr>
        <w:tblW w:w="6953" w:type="dxa"/>
        <w:jc w:val="left"/>
        <w:tblInd w:w="0" w:type="dxa"/>
        <w:tblLayout w:type="fixed"/>
        <w:tblCellMar>
          <w:top w:w="28" w:type="dxa"/>
          <w:left w:w="28" w:type="dxa"/>
          <w:bottom w:w="28" w:type="dxa"/>
          <w:right w:w="28" w:type="dxa"/>
        </w:tblCellMar>
      </w:tblPr>
      <w:tblGrid>
        <w:gridCol w:w="1687"/>
        <w:gridCol w:w="1486"/>
        <w:gridCol w:w="1491"/>
        <w:gridCol w:w="211"/>
        <w:gridCol w:w="586"/>
        <w:gridCol w:w="109"/>
        <w:gridCol w:w="109"/>
        <w:gridCol w:w="109"/>
        <w:gridCol w:w="109"/>
        <w:gridCol w:w="211"/>
        <w:gridCol w:w="69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at U.S. federal statutory tax rate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share-based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Shortfall/(windfall) related to share-based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credits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differential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inclusion of foreign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on unremitted foreign earnings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provision to return adjustment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benefit from domestication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U.S. transition tax</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differences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Non-current deferred tax assets and non-current deferred tax liabilities are included in deferred tax assets and other long-term liabilities, respectively, in the accompanying consolidated balance sheets.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components of deferred tax assets (liabilities) consisted of the following:</w:t>
      </w:r>
    </w:p>
    <w:tbl>
      <w:tblPr>
        <w:tblW w:w="7074" w:type="dxa"/>
        <w:jc w:val="left"/>
        <w:tblInd w:w="0" w:type="dxa"/>
        <w:tblLayout w:type="fixed"/>
        <w:tblCellMar>
          <w:top w:w="28" w:type="dxa"/>
          <w:left w:w="28" w:type="dxa"/>
          <w:bottom w:w="28" w:type="dxa"/>
          <w:right w:w="28" w:type="dxa"/>
        </w:tblCellMar>
      </w:tblPr>
      <w:tblGrid>
        <w:gridCol w:w="1790"/>
        <w:gridCol w:w="1569"/>
        <w:gridCol w:w="1576"/>
        <w:gridCol w:w="211"/>
        <w:gridCol w:w="511"/>
        <w:gridCol w:w="109"/>
        <w:gridCol w:w="109"/>
        <w:gridCol w:w="109"/>
        <w:gridCol w:w="109"/>
        <w:gridCol w:w="211"/>
        <w:gridCol w:w="61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 downs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and capitalized research and development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interest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credit carryforward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or unrealizable may increase or decrease when we reevaluate the underlying basis for our estimates of future U.S. and foreign taxable income. As of the end of fiscal 2026, we maintained a valuation allowance of $522.6 million against deferred tax assets related to capital loss carryforwards in a foreign jurisdiction and substantially all of our U.S. federal and California deferred tax assets, reducing these deferred tax assets to the amounts that we believe are more likely than not to be realized. The net change in the valuation allowance during fiscal 2026 was an increase of $427.8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almost all earnings of our foreign subsidiaries as not indefinitely reinvested overseas and have made appropriate provisions for income or withholding taxes, that may result from a future repatriation of those earnings. We continue to assert indefinite reinvestment with respect to certain accumulated earnings and outside basis differences, primarily related to our DSPG acquisition. If these earnings and outside basis differences were recognized in a taxable transaction, the associated foreign tax credits would be expected to reduce the related U.S. income tax liability. The amount of the unrecognized deferred tax liability related to these indefinitely reinvested earnings and outside basis differences is not practicable to determine.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end of fiscal 2026, we had federal, California, and foreign net operating loss carryforwards of $2.8 million, $26.2 million and $55.7 million, respectively. The federal net operating loss can be carried forward indefinitely and the California net operating loss will begin to expire in fiscal 2027 if not utilized. Most of the foreign net operating loss carryforwards have no expiration date. Under current tax law, net operating loss and tax credit carryforwards are available to offset future income or income taxes, if utilized before expiration. However, the use of these carryforwards may be limited by statute or upon the occurrence of certain events, including significant changes in ownership.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had $41.5 million and $78.6 million of federal and state research tax credit carryforwards, respectively, as of the end of fiscal 2026. The federal research tax credit carryforward will begin to expire in 2038 and the state research tax credit can be carried forward indefinitely.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liability for gross unrecognized tax benefits related to uncertain tax positions, included in other liabilities in our consolidated balance sheets, decreased by $3.0 million from $44.6 million in fiscal 2025 to $41.6 million in fiscal 2026. Of this amount, $30.6 million will reduce the effective tax rate on income from continuing operations, if recognized. A reconciliation of the beginning and ending balance of gross unrecognized tax benefits for fiscal 2026, 2025, and 2024 consisted of the following:</w:t>
      </w:r>
    </w:p>
    <w:tbl>
      <w:tblPr>
        <w:tblW w:w="9236" w:type="dxa"/>
        <w:jc w:val="left"/>
        <w:tblInd w:w="0" w:type="dxa"/>
        <w:tblLayout w:type="fixed"/>
        <w:tblCellMar>
          <w:top w:w="28" w:type="dxa"/>
          <w:left w:w="28" w:type="dxa"/>
          <w:bottom w:w="28" w:type="dxa"/>
          <w:right w:w="28" w:type="dxa"/>
        </w:tblCellMar>
      </w:tblPr>
      <w:tblGrid>
        <w:gridCol w:w="2190"/>
        <w:gridCol w:w="1922"/>
        <w:gridCol w:w="1932"/>
        <w:gridCol w:w="211"/>
        <w:gridCol w:w="511"/>
        <w:gridCol w:w="109"/>
        <w:gridCol w:w="109"/>
        <w:gridCol w:w="109"/>
        <w:gridCol w:w="109"/>
        <w:gridCol w:w="211"/>
        <w:gridCol w:w="511"/>
        <w:gridCol w:w="109"/>
        <w:gridCol w:w="109"/>
        <w:gridCol w:w="109"/>
        <w:gridCol w:w="109"/>
        <w:gridCol w:w="211"/>
        <w:gridCol w:w="511"/>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unrecognized tax benefits related to current year tax positions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unrecognized tax benefits related to prior year tax positions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effective settlement with tax authorities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unrecognized tax benefits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statute expiration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Accrued interest and penalties decreased by $0.1 million in fiscal 2026 as compared to fiscal 2025 and increased by $0.6 million in fiscal 2025 as compared to fiscal 2024. Accrued interest and penalties were $4.1 million and $4.2 million as of the end of fiscal 2026 and 2025, respectively. Our policy is to classify interest and penalties, if any, as components of 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major tax jurisdictions are the U.S., Hong Kong SAR, Japan, India, Israel, and the United Kingdom. From fiscal 2018 onward, we remain subject to examination by one or more of these jurisdictions.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 of cash paid for income taxes (net of refunds) for fiscal 2026,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tbl>
      <w:tblPr>
        <w:tblW w:w="4086" w:type="dxa"/>
        <w:jc w:val="left"/>
        <w:tblInd w:w="0" w:type="dxa"/>
        <w:tblLayout w:type="fixed"/>
        <w:tblCellMar>
          <w:top w:w="28" w:type="dxa"/>
          <w:left w:w="28" w:type="dxa"/>
          <w:bottom w:w="28" w:type="dxa"/>
          <w:right w:w="28" w:type="dxa"/>
        </w:tblCellMar>
      </w:tblPr>
      <w:tblGrid>
        <w:gridCol w:w="1220"/>
        <w:gridCol w:w="1070"/>
        <w:gridCol w:w="1025"/>
        <w:gridCol w:w="211"/>
        <w:gridCol w:w="40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Hong Kong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India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countries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income taxes paid, net of refunds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during fiscal 2025 and 2024, was $47.2 million and $55.2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17.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from product shipments to our customers. A summary of our product categories is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Enterprise and Automotive: Includes products for PC Touch Pad, PC Fingerprint, Video Interface Solutions and Automotive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Core IoT: Includes products for Wireless and Processor Solutions.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Mobile: Includes products for Touch and Display Solutions for Mobile phone applications.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revenue by product category was as follows:</w:t>
      </w:r>
    </w:p>
    <w:tbl>
      <w:tblPr>
        <w:tblW w:w="7842" w:type="dxa"/>
        <w:jc w:val="left"/>
        <w:tblInd w:w="0" w:type="dxa"/>
        <w:tblLayout w:type="fixed"/>
        <w:tblCellMar>
          <w:top w:w="28" w:type="dxa"/>
          <w:left w:w="28" w:type="dxa"/>
          <w:bottom w:w="28" w:type="dxa"/>
          <w:right w:w="28" w:type="dxa"/>
        </w:tblCellMar>
      </w:tblPr>
      <w:tblGrid>
        <w:gridCol w:w="1462"/>
        <w:gridCol w:w="1283"/>
        <w:gridCol w:w="1290"/>
        <w:gridCol w:w="211"/>
        <w:gridCol w:w="766"/>
        <w:gridCol w:w="109"/>
        <w:gridCol w:w="109"/>
        <w:gridCol w:w="109"/>
        <w:gridCol w:w="109"/>
        <w:gridCol w:w="211"/>
        <w:gridCol w:w="766"/>
        <w:gridCol w:w="109"/>
        <w:gridCol w:w="109"/>
        <w:gridCol w:w="109"/>
        <w:gridCol w:w="109"/>
        <w:gridCol w:w="211"/>
        <w:gridCol w:w="61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and Automotive product applications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Core IoT product applications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Mobile product applications</w:t>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 by geographic region, based on the billing location of our customers, was as follows:</w:t>
      </w:r>
    </w:p>
    <w:tbl>
      <w:tblPr>
        <w:tblW w:w="5006" w:type="dxa"/>
        <w:jc w:val="center"/>
        <w:tblInd w:w="0" w:type="dxa"/>
        <w:tblLayout w:type="fixed"/>
        <w:tblCellMar>
          <w:top w:w="28" w:type="dxa"/>
          <w:left w:w="28" w:type="dxa"/>
          <w:bottom w:w="28" w:type="dxa"/>
          <w:right w:w="28" w:type="dxa"/>
        </w:tblCellMar>
      </w:tblPr>
      <w:tblGrid>
        <w:gridCol w:w="434"/>
        <w:gridCol w:w="381"/>
        <w:gridCol w:w="384"/>
        <w:gridCol w:w="211"/>
        <w:gridCol w:w="766"/>
        <w:gridCol w:w="109"/>
        <w:gridCol w:w="109"/>
        <w:gridCol w:w="109"/>
        <w:gridCol w:w="109"/>
        <w:gridCol w:w="211"/>
        <w:gridCol w:w="766"/>
        <w:gridCol w:w="109"/>
        <w:gridCol w:w="109"/>
        <w:gridCol w:w="109"/>
        <w:gridCol w:w="109"/>
        <w:gridCol w:w="211"/>
        <w:gridCol w:w="61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revenue derived from customers whose revenue represented 10% or more of our total net revenue was as follows:</w:t>
      </w:r>
    </w:p>
    <w:tbl>
      <w:tblPr>
        <w:tblW w:w="3357" w:type="dxa"/>
        <w:jc w:val="center"/>
        <w:tblInd w:w="0" w:type="dxa"/>
        <w:tblLayout w:type="fixed"/>
        <w:tblCellMar>
          <w:top w:w="28" w:type="dxa"/>
          <w:left w:w="28" w:type="dxa"/>
          <w:bottom w:w="28" w:type="dxa"/>
          <w:right w:w="28" w:type="dxa"/>
        </w:tblCellMar>
      </w:tblPr>
      <w:tblGrid>
        <w:gridCol w:w="391"/>
        <w:gridCol w:w="344"/>
        <w:gridCol w:w="345"/>
        <w:gridCol w:w="175"/>
        <w:gridCol w:w="175"/>
        <w:gridCol w:w="176"/>
        <w:gridCol w:w="109"/>
        <w:gridCol w:w="109"/>
        <w:gridCol w:w="109"/>
        <w:gridCol w:w="175"/>
        <w:gridCol w:w="175"/>
        <w:gridCol w:w="176"/>
        <w:gridCol w:w="109"/>
        <w:gridCol w:w="109"/>
        <w:gridCol w:w="109"/>
        <w:gridCol w:w="167"/>
        <w:gridCol w:w="167"/>
        <w:gridCol w:w="23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contract liabilities are comprised of deferred revenue and primarily relate to our obligation to transfer goods, services or licenses of our IP to customers for which we have received consideration. Contract liabilities were $1.7 million and $16.2 million as of June 2026 and 2025, respectively, and are presented as part of customer-related liabilities in accrued liabilities in the accompanying consolidated balance sheets. See “Note 3. Supplemental Financial Statement Information.” During fiscal 2026 and 2025, we recognized $14.1 million and $13.8 million, respectively, in revenue related to contract liabilities outstanding as of the beginning of each such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18. Segment and Other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operate in one segment — the development, marketing and sale of semiconductor products used in electronic devices and products. This determination is based on the management approach, which designates internal information regularly available to the chief operating decision maker (“CODM”) for making decisions and assessing performance as the source of determination of our reportable segment. Our CODM, the company’s Chief Executive Officer, reviews financial information presented on a consolidated basis for the purpose of making operating decisions and assessing financial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CODM uses consolidated net income, as reported in our consolidated statements of operations, as the measure of profit or loss to allocate resources and assess performance. Financial forecasts and budget-to-actual results used by the CODM to assess performance and allocate resources, as well as those used for strategic decisions related to headcount and capital expenditures, are also reviewed on a consolidated basis. The CODM considers the impact of the significant segment expenses in the tables below when deciding whether to reinvest profits or pursue strategic mergers and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consolidated balance sheet as total assets. The CODM does not review segment assets at a level other than that presented in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segment net income as follows:</w:t>
      </w:r>
    </w:p>
    <w:tbl>
      <w:tblPr>
        <w:tblW w:w="6866" w:type="dxa"/>
        <w:jc w:val="left"/>
        <w:tblInd w:w="0" w:type="dxa"/>
        <w:tblLayout w:type="fixed"/>
        <w:tblCellMar>
          <w:top w:w="28" w:type="dxa"/>
          <w:left w:w="28" w:type="dxa"/>
          <w:bottom w:w="28" w:type="dxa"/>
          <w:right w:w="28" w:type="dxa"/>
        </w:tblCellMar>
      </w:tblPr>
      <w:tblGrid>
        <w:gridCol w:w="1107"/>
        <w:gridCol w:w="975"/>
        <w:gridCol w:w="977"/>
        <w:gridCol w:w="211"/>
        <w:gridCol w:w="766"/>
        <w:gridCol w:w="109"/>
        <w:gridCol w:w="109"/>
        <w:gridCol w:w="109"/>
        <w:gridCol w:w="109"/>
        <w:gridCol w:w="211"/>
        <w:gridCol w:w="766"/>
        <w:gridCol w:w="109"/>
        <w:gridCol w:w="109"/>
        <w:gridCol w:w="109"/>
        <w:gridCol w:w="109"/>
        <w:gridCol w:w="211"/>
        <w:gridCol w:w="61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revenue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intangibles amortization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(benefit) for income taxes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 (3)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(loss)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(loss) income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Adjusted cost of revenue is cost of revenue adjusted for intangible asset amortization and share-based compensation as follows:</w:t>
      </w:r>
    </w:p>
    <w:tbl>
      <w:tblPr>
        <w:tblW w:w="6416" w:type="dxa"/>
        <w:jc w:val="left"/>
        <w:tblInd w:w="0" w:type="dxa"/>
        <w:tblLayout w:type="fixed"/>
        <w:tblCellMar>
          <w:top w:w="28" w:type="dxa"/>
          <w:left w:w="28" w:type="dxa"/>
          <w:bottom w:w="28" w:type="dxa"/>
          <w:right w:w="28" w:type="dxa"/>
        </w:tblCellMar>
      </w:tblPr>
      <w:tblGrid>
        <w:gridCol w:w="1053"/>
        <w:gridCol w:w="927"/>
        <w:gridCol w:w="929"/>
        <w:gridCol w:w="211"/>
        <w:gridCol w:w="616"/>
        <w:gridCol w:w="109"/>
        <w:gridCol w:w="109"/>
        <w:gridCol w:w="109"/>
        <w:gridCol w:w="109"/>
        <w:gridCol w:w="211"/>
        <w:gridCol w:w="616"/>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cost of revenue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Adjusted operating expenses include operating expenses comprised of research and development and selling, general and administrative expenses adjusted for share-based compensation, intangible asset amortization, restructuring and impairment related charges as follows:</w:t>
      </w:r>
    </w:p>
    <w:tbl>
      <w:tblPr>
        <w:tblW w:w="6789" w:type="dxa"/>
        <w:jc w:val="left"/>
        <w:tblInd w:w="0" w:type="dxa"/>
        <w:tblLayout w:type="fixed"/>
        <w:tblCellMar>
          <w:top w:w="28" w:type="dxa"/>
          <w:left w:w="28" w:type="dxa"/>
          <w:bottom w:w="28" w:type="dxa"/>
          <w:right w:w="28" w:type="dxa"/>
        </w:tblCellMar>
      </w:tblPr>
      <w:tblGrid>
        <w:gridCol w:w="1071"/>
        <w:gridCol w:w="938"/>
        <w:gridCol w:w="946"/>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(3) Other segment expenses primarily include impairment charges, legal and vendor related charges and settlements, amortization of debt issuance costs and loss on early extinguishment of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Geographical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by geographic area were as follows:</w:t>
      </w:r>
    </w:p>
    <w:tbl>
      <w:tblPr>
        <w:tblW w:w="3849" w:type="dxa"/>
        <w:jc w:val="center"/>
        <w:tblInd w:w="0" w:type="dxa"/>
        <w:tblLayout w:type="fixed"/>
        <w:tblCellMar>
          <w:top w:w="28" w:type="dxa"/>
          <w:left w:w="28" w:type="dxa"/>
          <w:bottom w:w="28" w:type="dxa"/>
          <w:right w:w="28" w:type="dxa"/>
        </w:tblCellMar>
      </w:tblPr>
      <w:tblGrid>
        <w:gridCol w:w="472"/>
        <w:gridCol w:w="415"/>
        <w:gridCol w:w="418"/>
        <w:gridCol w:w="211"/>
        <w:gridCol w:w="766"/>
        <w:gridCol w:w="109"/>
        <w:gridCol w:w="109"/>
        <w:gridCol w:w="109"/>
        <w:gridCol w:w="109"/>
        <w:gridCol w:w="211"/>
        <w:gridCol w:w="76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Long-lived assets are comprised of property and equipment, goodwill, acquired intangible assets, and operating lease right-of-use assets.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Note 19. Restructuring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continuously evaluate our operations to reduce costs and increase profitability, increase operational efficiencies and gain synergies from previous acquisitions and align our business in response to market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restructuring costs as presented in our consolidated statements of operations was as follows:</w:t>
      </w:r>
    </w:p>
    <w:tbl>
      <w:tblPr>
        <w:tblW w:w="6267" w:type="dxa"/>
        <w:jc w:val="left"/>
        <w:tblInd w:w="0" w:type="dxa"/>
        <w:tblLayout w:type="fixed"/>
        <w:tblCellMar>
          <w:top w:w="28" w:type="dxa"/>
          <w:left w:w="28" w:type="dxa"/>
          <w:bottom w:w="28" w:type="dxa"/>
          <w:right w:w="28" w:type="dxa"/>
        </w:tblCellMar>
      </w:tblPr>
      <w:tblGrid>
        <w:gridCol w:w="1150"/>
        <w:gridCol w:w="1012"/>
        <w:gridCol w:w="1018"/>
        <w:gridCol w:w="211"/>
        <w:gridCol w:w="406"/>
        <w:gridCol w:w="109"/>
        <w:gridCol w:w="109"/>
        <w:gridCol w:w="109"/>
        <w:gridCol w:w="109"/>
        <w:gridCol w:w="211"/>
        <w:gridCol w:w="511"/>
        <w:gridCol w:w="109"/>
        <w:gridCol w:w="109"/>
        <w:gridCol w:w="109"/>
        <w:gridCol w:w="109"/>
        <w:gridCol w:w="211"/>
        <w:gridCol w:w="51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Other charges include non-cash lease termination costs and write-off of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beginning and ending restructuring liability balances for each restructuring action:</w:t>
      </w:r>
    </w:p>
    <w:tbl>
      <w:tblPr>
        <w:tblW w:w="7109" w:type="dxa"/>
        <w:jc w:val="left"/>
        <w:tblInd w:w="0" w:type="dxa"/>
        <w:tblLayout w:type="fixed"/>
        <w:tblCellMar>
          <w:top w:w="28" w:type="dxa"/>
          <w:left w:w="28" w:type="dxa"/>
          <w:bottom w:w="28" w:type="dxa"/>
          <w:right w:w="28" w:type="dxa"/>
        </w:tblCellMar>
      </w:tblPr>
      <w:tblGrid>
        <w:gridCol w:w="619"/>
        <w:gridCol w:w="544"/>
        <w:gridCol w:w="546"/>
        <w:gridCol w:w="353"/>
        <w:gridCol w:w="680"/>
        <w:gridCol w:w="183"/>
        <w:gridCol w:w="109"/>
        <w:gridCol w:w="109"/>
        <w:gridCol w:w="109"/>
        <w:gridCol w:w="353"/>
        <w:gridCol w:w="680"/>
        <w:gridCol w:w="183"/>
        <w:gridCol w:w="109"/>
        <w:gridCol w:w="109"/>
        <w:gridCol w:w="109"/>
        <w:gridCol w:w="353"/>
        <w:gridCol w:w="680"/>
        <w:gridCol w:w="183"/>
        <w:gridCol w:w="109"/>
        <w:gridCol w:w="109"/>
        <w:gridCol w:w="109"/>
        <w:gridCol w:w="211"/>
        <w:gridCol w:w="40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2024</w:t>
              <w:b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b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br/>
              <w:t>Restructuring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2024</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Charges (1)</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2025</w:t>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Charges (1)</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2026</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Restructuring activities in the table above include only those charges that resulted in, or will result in, cash payments. As a result, the table above excludes non-cash lease termination costs and write-off of property and equipment.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Fiscal 2026 Restructuring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restructuring plan was initiated during the first and fourth quarters of fiscal 2026 (“Fiscal 2026 Restructuring Plan”) to streamline and optimize resources and to reduce operating costs. Restructuring charges under this plan were mainly comprised of severance and one-time termination benefits.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Fiscal 2025 Restructuring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restructuring plan was initiated during the first quarter of fiscal 2025 (“Fiscal 2025 Restructuring Plan”) primarily intended to focus on key growth initiatives, reduce costs and align our business in response to market conditions. Restructuring charges were mainly comprised of severance and one-time termination benefits and lease termination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SYNAPTICS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 tabular amounts in millions, except per share amounts)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Fiscal 2024 Restructuring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restructuring plan was initiated during the first and fourth quarter of fiscal 2024 (“Fiscal 2024 Restructuring Plan”) intended to further improve efficiencies in our operational activities, decrease costs and increase profitability.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Conclusions Regarding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27, 2026, concluded that our disclosure controls and procedures (as defined in Rules 13a-15(e) and 15d-15(e) under the Exchange Act) were effective at the reasonable assurance level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 2013 Framework”).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evaluation under the COSO 2013 Framework, our management concluded that our internal control over financial reporting was effective, at the reasonable assurance level, as of June 27, 2026. KPMG LLP, an independent registered public accounting firm, has audited the consolidated financial statements included in this Annual Report, and as part of its audit, has issued its attestation report on our internal control over financial reporting, as of June 27, 2026, included herein under the caption “Report of Independent Registered Public Accounting Firm” in Part II, Item 8 of this Annual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our internal control over financial reporting (as defined in Rules 13a-15(f) and 15d-15(f) under the Exchange Act) during the fourth quarter of fiscal 2026 that have materially affected, or are reasonably likely to materially affect, our internal control over financial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over financial reporting will prevent or detect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2026, none of our directors or officers (as defined in Rule 16a-1(f) of the Exchange Act)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relating to our directors and corporate governance is incorporated herein by reference to the definitive Proxy Statement to be filed pursuant to Regulation 14A of the Exchange Act for our 2026 Annual Meeting of Stockholders. The information required by this Item relating to our executive officers is included in Part I – Item 1 of this Annual Report under the caption “Information About Our Executive Officers.”</w:t>
      </w:r>
    </w:p>
    <w:p>
      <w:pPr>
        <w:pStyle w:val="TextBody"/>
        <w:bidi w:val="0"/>
        <w:spacing w:lineRule="auto" w:line="288" w:before="120" w:after="283"/>
        <w:jc w:val="both"/>
        <w:rPr/>
      </w:pPr>
      <w:r>
        <w:rPr>
          <w:rFonts w:ascii="Times New Roman;serif" w:hAnsi="Times New Roman;serif"/>
          <w:b w:val="false"/>
          <w:color w:val="000000"/>
          <w:sz w:val="20"/>
        </w:rPr>
        <w:t xml:space="preserve">We have adopted a code of ethics that applies to our chief executive officer, chief financial officer, principal accounting officer and other senior accounting personnel. The “Code of Conduct” is located on our website at </w:t>
      </w:r>
      <w:r>
        <w:rPr>
          <w:rFonts w:ascii="Times New Roman;serif" w:hAnsi="Times New Roman;serif"/>
          <w:b w:val="false"/>
          <w:color w:val="000000"/>
          <w:sz w:val="20"/>
          <w:u w:val="single"/>
        </w:rPr>
        <w:t>www.synaptics.com</w:t>
      </w:r>
      <w:r>
        <w:rPr>
          <w:color w:val="000000"/>
        </w:rPr>
        <w:t xml:space="preserve"> </w:t>
      </w:r>
      <w:r>
        <w:rPr>
          <w:rFonts w:ascii="Times New Roman;serif" w:hAnsi="Times New Roman;serif"/>
          <w:b w:val="false"/>
          <w:color w:val="000000"/>
          <w:sz w:val="20"/>
        </w:rPr>
        <w:t>in the Investor Relations section under Corporate Governance.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satisfy the disclosure requirement under Item 5.05(c) of Form 8-K regarding any amendment to, or waiver from, a provision of this code of ethics by posting such information on our website, at the address and location specified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definitive Proxy Statement to be filed pursuant to Regulation 14A of the Exchange Act for our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definitive Proxy Statement (particularly under the captions “Beneficial Ownership of Certain Stockholders” and “Equity Compensation Plan Information”) to be filed pursuant to Regulation 14A of the Exchange Act for our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definitive Proxy Statement (particularly under the captions “Board Composition and Governance – Independent Directors” and “Certain Relationships and Related Transactions”) to be filed pursuant to Regulation 14A of the Exchange Act for our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definitive Proxy Statement (particularly under the captions “Ratification of Appointment of the Independent Auditor” and “Audit and Non-Audit Fees”) to be filed pursuant to Regulation 14A of the Exchange Act for our 2026 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filed the following documents as part of this Form 10-K:</w:t>
      </w:r>
    </w:p>
    <w:p>
      <w:pPr>
        <w:pStyle w:val="TextBody"/>
        <w:bidi w:val="0"/>
        <w:spacing w:lineRule="auto" w:line="288" w:before="120" w:after="120"/>
        <w:ind w:left="0" w:right="0" w:hanging="360"/>
        <w:jc w:val="both"/>
        <w:rPr>
          <w:rFonts w:ascii="Times New Roman;serif" w:hAnsi="Times New Roman;serif"/>
          <w:b/>
          <w:color w:val="000000"/>
          <w:sz w:val="20"/>
        </w:rPr>
      </w:pPr>
      <w:r>
        <w:rPr>
          <w:rFonts w:ascii="Times New Roman;serif" w:hAnsi="Times New Roman;serif"/>
          <w:b/>
          <w:color w:val="000000"/>
          <w:sz w:val="20"/>
        </w:rPr>
        <w:t>1.Consolidated Financial Statements:</w:t>
      </w:r>
    </w:p>
    <w:tbl>
      <w:tblPr>
        <w:tblW w:w="10205" w:type="dxa"/>
        <w:jc w:val="left"/>
        <w:tblInd w:w="0" w:type="dxa"/>
        <w:tblLayout w:type="fixed"/>
        <w:tblCellMar>
          <w:top w:w="28" w:type="dxa"/>
          <w:left w:w="28" w:type="dxa"/>
          <w:bottom w:w="28" w:type="dxa"/>
          <w:right w:w="28" w:type="dxa"/>
        </w:tblCellMar>
      </w:tblPr>
      <w:tblGrid>
        <w:gridCol w:w="3566"/>
        <w:gridCol w:w="3124"/>
        <w:gridCol w:w="3141"/>
        <w:gridCol w:w="109"/>
        <w:gridCol w:w="109"/>
        <w:gridCol w:w="156"/>
      </w:tblGrid>
      <w:tr>
        <w:trPr/>
        <w:tc>
          <w:tcPr>
            <w:tcW w:w="3566"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79">
              <w:r>
                <w:rPr>
                  <w:rStyle w:val="InternetLink"/>
                  <w:rFonts w:ascii="Times New Roman;serif" w:hAnsi="Times New Roman;serif"/>
                  <w:b w:val="false"/>
                  <w:color w:val="000080"/>
                  <w:sz w:val="20"/>
                  <w:u w:val="single"/>
                </w:rPr>
                <w:t>Report of Independent Registered Public Accounting Firm (</w:t>
              </w:r>
            </w:hyperlink>
            <w:r>
              <w:rPr>
                <w:rFonts w:ascii="Times New Roman;serif" w:hAnsi="Times New Roman;serif"/>
                <w:b w:val="false"/>
                <w:color w:val="0000FF"/>
                <w:sz w:val="20"/>
                <w:u w:val="single"/>
              </w:rPr>
              <w:t>KPMG LLP</w:t>
            </w:r>
            <w:hyperlink w:anchor="i8a5469c3e6b14ed3b698364bd33c7bfd_7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Santa Clara, California</w:t>
            </w:r>
            <w:hyperlink w:anchor="i8a5469c3e6b14ed3b698364bd33c7bfd_79">
              <w:r>
                <w:rPr>
                  <w:rStyle w:val="InternetLink"/>
                  <w:rFonts w:ascii="Times New Roman;serif" w:hAnsi="Times New Roman;serif"/>
                  <w:b w:val="false"/>
                  <w:color w:val="000080"/>
                  <w:sz w:val="20"/>
                  <w:u w:val="single"/>
                </w:rPr>
                <w:t xml:space="preserve">, PCAOB Audit Firm ID: </w:t>
              </w:r>
            </w:hyperlink>
            <w:r>
              <w:rPr>
                <w:rFonts w:ascii="Times New Roman;serif" w:hAnsi="Times New Roman;serif"/>
                <w:b w:val="false"/>
                <w:color w:val="0000FF"/>
                <w:sz w:val="20"/>
                <w:u w:val="single"/>
              </w:rPr>
              <w:t>185</w:t>
            </w:r>
            <w:hyperlink w:anchor="i8a5469c3e6b14ed3b698364bd33c7bfd_79">
              <w:r>
                <w:rPr>
                  <w:rStyle w:val="InternetLink"/>
                  <w:rFonts w:ascii="Times New Roman;serif" w:hAnsi="Times New Roman;serif"/>
                  <w:b w:val="false"/>
                  <w:color w:val="000080"/>
                  <w:sz w:val="20"/>
                  <w:u w:val="single"/>
                </w:rPr>
                <w:t>)</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79">
              <w:r>
                <w:rPr>
                  <w:rStyle w:val="InternetLink"/>
                  <w:rFonts w:ascii="Times New Roman;serif" w:hAnsi="Times New Roman;serif"/>
                  <w:b w:val="false"/>
                  <w:color w:val="0000FF"/>
                  <w:sz w:val="20"/>
                  <w:u w:val="single"/>
                </w:rPr>
                <w:t>37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2">
              <w:r>
                <w:rPr>
                  <w:rStyle w:val="InternetLink"/>
                  <w:rFonts w:ascii="Times New Roman;serif" w:hAnsi="Times New Roman;serif"/>
                  <w:b w:val="false"/>
                  <w:color w:val="0000FF"/>
                  <w:sz w:val="20"/>
                  <w:u w:val="single"/>
                </w:rPr>
                <w:t>Consolidated Balance Sheets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2">
              <w:r>
                <w:rPr>
                  <w:rStyle w:val="InternetLink"/>
                  <w:rFonts w:ascii="Times New Roman;serif" w:hAnsi="Times New Roman;serif"/>
                  <w:b w:val="false"/>
                  <w:color w:val="0000FF"/>
                  <w:sz w:val="20"/>
                  <w:u w:val="single"/>
                </w:rPr>
                <w:t>39</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5">
              <w:r>
                <w:rPr>
                  <w:rStyle w:val="InternetLink"/>
                  <w:rFonts w:ascii="Times New Roman;serif" w:hAnsi="Times New Roman;serif"/>
                  <w:b w:val="false"/>
                  <w:color w:val="0000FF"/>
                  <w:sz w:val="20"/>
                  <w:u w:val="single"/>
                </w:rPr>
                <w:t>Consolidated Statements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5">
              <w:r>
                <w:rPr>
                  <w:rStyle w:val="InternetLink"/>
                  <w:rFonts w:ascii="Times New Roman;serif" w:hAnsi="Times New Roman;serif"/>
                  <w:b w:val="false"/>
                  <w:color w:val="0000FF"/>
                  <w:sz w:val="20"/>
                  <w:u w:val="single"/>
                </w:rPr>
                <w:t>40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88">
              <w:r>
                <w:rPr>
                  <w:rStyle w:val="InternetLink"/>
                  <w:rFonts w:ascii="Times New Roman;serif" w:hAnsi="Times New Roman;serif"/>
                  <w:b w:val="false"/>
                  <w:color w:val="000080"/>
                  <w:sz w:val="20"/>
                  <w:u w:val="single"/>
                </w:rPr>
                <w:t xml:space="preserve">Consolidated Statements of Comprehensive </w:t>
              </w:r>
            </w:hyperlink>
            <w:hyperlink w:anchor="i8a5469c3e6b14ed3b698364bd33c7bfd_88">
              <w:r>
                <w:rPr>
                  <w:rStyle w:val="InternetLink"/>
                  <w:rFonts w:ascii="Times New Roman;serif" w:hAnsi="Times New Roman;serif"/>
                  <w:b w:val="false"/>
                  <w:color w:val="000080"/>
                  <w:sz w:val="20"/>
                  <w:u w:val="single"/>
                </w:rPr>
                <w:t xml:space="preserve">(Loss) </w:t>
              </w:r>
            </w:hyperlink>
            <w:hyperlink w:anchor="i8a5469c3e6b14ed3b698364bd33c7bfd_88">
              <w:r>
                <w:rPr>
                  <w:rStyle w:val="InternetLink"/>
                  <w:rFonts w:ascii="Times New Roman;serif" w:hAnsi="Times New Roman;serif"/>
                  <w:b w:val="false"/>
                  <w:color w:val="000080"/>
                  <w:sz w:val="20"/>
                  <w:u w:val="single"/>
                </w:rPr>
                <w:t>Income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88">
              <w:r>
                <w:rPr>
                  <w:rStyle w:val="InternetLink"/>
                  <w:rFonts w:ascii="Times New Roman;serif" w:hAnsi="Times New Roman;serif"/>
                  <w:b w:val="false"/>
                  <w:color w:val="0000FF"/>
                  <w:sz w:val="20"/>
                  <w:u w:val="single"/>
                </w:rPr>
                <w:t>41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1">
              <w:r>
                <w:rPr>
                  <w:rStyle w:val="InternetLink"/>
                  <w:rFonts w:ascii="Times New Roman;serif" w:hAnsi="Times New Roman;serif"/>
                  <w:b w:val="false"/>
                  <w:color w:val="0000FF"/>
                  <w:sz w:val="20"/>
                  <w:u w:val="single"/>
                </w:rPr>
                <w:t>Consolidated Statements of Stockholders’ Equity</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1">
              <w:r>
                <w:rPr>
                  <w:rStyle w:val="InternetLink"/>
                  <w:rFonts w:ascii="Times New Roman;serif" w:hAnsi="Times New Roman;serif"/>
                  <w:b w:val="false"/>
                  <w:color w:val="0000FF"/>
                  <w:sz w:val="20"/>
                  <w:u w:val="single"/>
                </w:rPr>
                <w:t>42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4">
              <w:r>
                <w:rPr>
                  <w:rStyle w:val="InternetLink"/>
                  <w:rFonts w:ascii="Times New Roman;serif" w:hAnsi="Times New Roman;serif"/>
                  <w:b w:val="false"/>
                  <w:color w:val="0000FF"/>
                  <w:sz w:val="20"/>
                  <w:u w:val="single"/>
                </w:rPr>
                <w:t>Consolidated Statements of Cash Flows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4">
              <w:r>
                <w:rPr>
                  <w:rStyle w:val="InternetLink"/>
                  <w:rFonts w:ascii="Times New Roman;serif" w:hAnsi="Times New Roman;serif"/>
                  <w:b w:val="false"/>
                  <w:color w:val="0000FF"/>
                  <w:sz w:val="20"/>
                  <w:u w:val="single"/>
                </w:rPr>
                <w:t>43</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8a5469c3e6b14ed3b698364bd33c7bfd_97">
              <w:r>
                <w:rPr>
                  <w:rStyle w:val="InternetLink"/>
                  <w:rFonts w:ascii="Times New Roman;serif" w:hAnsi="Times New Roman;serif"/>
                  <w:b w:val="false"/>
                  <w:color w:val="0000FF"/>
                  <w:sz w:val="20"/>
                  <w:u w:val="single"/>
                </w:rPr>
                <w:t>Notes to Consolidated Financial Statements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8a5469c3e6b14ed3b698364bd33c7bfd_97">
              <w:r>
                <w:rPr>
                  <w:rStyle w:val="InternetLink"/>
                  <w:rFonts w:ascii="Times New Roman;serif" w:hAnsi="Times New Roman;serif"/>
                  <w:b w:val="false"/>
                  <w:color w:val="0000FF"/>
                  <w:sz w:val="20"/>
                  <w:u w:val="single"/>
                </w:rPr>
                <w:t>44</w:t>
              </w:r>
            </w:hyperlink>
          </w:p>
        </w:tc>
      </w:tr>
    </w:tbl>
    <w:p>
      <w:pPr>
        <w:pStyle w:val="TextBody"/>
        <w:bidi w:val="0"/>
        <w:spacing w:lineRule="auto" w:line="288" w:before="120" w:after="120"/>
        <w:ind w:left="0" w:right="0" w:hanging="360"/>
        <w:jc w:val="both"/>
        <w:rPr>
          <w:rFonts w:ascii="Times New Roman;serif" w:hAnsi="Times New Roman;serif"/>
          <w:b/>
          <w:color w:val="000000"/>
          <w:sz w:val="20"/>
        </w:rPr>
      </w:pPr>
      <w:r>
        <w:rPr>
          <w:rFonts w:ascii="Times New Roman;serif" w:hAnsi="Times New Roman;serif"/>
          <w:b/>
          <w:color w:val="000000"/>
          <w:sz w:val="20"/>
        </w:rPr>
        <w:t>2.Financial Statement Schedules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 information is not required, is not applicable or is included in the Consolidated Financial Statements.</w:t>
      </w:r>
    </w:p>
    <w:p>
      <w:pPr>
        <w:pStyle w:val="TextBody"/>
        <w:bidi w:val="0"/>
        <w:spacing w:lineRule="auto" w:line="288" w:before="120" w:after="120"/>
        <w:ind w:left="0" w:right="0" w:hanging="360"/>
        <w:jc w:val="both"/>
        <w:rPr>
          <w:rFonts w:ascii="Times New Roman;serif" w:hAnsi="Times New Roman;serif"/>
          <w:b/>
          <w:color w:val="000000"/>
          <w:sz w:val="20"/>
        </w:rPr>
      </w:pPr>
      <w:r>
        <w:rPr>
          <w:rFonts w:ascii="Times New Roman;serif" w:hAnsi="Times New Roman;serif"/>
          <w:b/>
          <w:color w:val="000000"/>
          <w:sz w:val="20"/>
        </w:rPr>
        <w:t>3.Exhibits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89"/>
        <w:gridCol w:w="1989"/>
        <w:gridCol w:w="2007"/>
        <w:gridCol w:w="825"/>
        <w:gridCol w:w="503"/>
        <w:gridCol w:w="503"/>
        <w:gridCol w:w="474"/>
        <w:gridCol w:w="360"/>
        <w:gridCol w:w="46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1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 Filed</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Reorganization, dated as of June 25, 2026, by and among ON Semiconductor Corporation, Sonic Acquisition Corp. and Synaptics Incorporated</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2026</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Certificate of Incorporation</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26, 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Certificate of Designation of Series A Junior Participating Preferred Stock</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8-A</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16, 2002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20"/>
                  <w:u w:val="single"/>
                </w:rPr>
                <w:t>Fourth Amended and Restated Bylaws (amended and restated as of July 29, 2025)</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erif" w:hAnsi="Times New Roman;serif"/>
                  <w:b w:val="false"/>
                  <w:color w:val="0000FF"/>
                  <w:sz w:val="20"/>
                  <w:u w:val="single"/>
                </w:rPr>
                <w:t>Form of Common Stock Certificate</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12, 2002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Description of Registrant’s Securities</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2019</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Indenture, dated as of March 11, 2021, by and among the Company, the guarantors named therein and Wells Fargo Bank, National Association, as trustee</w:t>
              </w:r>
            </w:hyperlink>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Form of 4.000% Senior Notes due 2029 (included in Exhibit 4.3).</w:t>
              </w:r>
            </w:hyperlink>
            <w:r>
              <w:rPr>
                <w:color w:val="0000FF"/>
              </w:rPr>
              <w:t xml:space="preserve"> </w:t>
            </w:r>
          </w:p>
        </w:tc>
        <w:tc>
          <w:tcPr>
            <w:tcW w:w="18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9"/>
        <w:gridCol w:w="183"/>
        <w:gridCol w:w="187"/>
        <w:gridCol w:w="109"/>
        <w:gridCol w:w="109"/>
        <w:gridCol w:w="109"/>
        <w:gridCol w:w="2367"/>
        <w:gridCol w:w="2214"/>
        <w:gridCol w:w="2219"/>
        <w:gridCol w:w="684"/>
        <w:gridCol w:w="352"/>
        <w:gridCol w:w="353"/>
        <w:gridCol w:w="323"/>
        <w:gridCol w:w="323"/>
        <w:gridCol w:w="464"/>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November 19, 2024, between Synaptics Incorporated and U.S. Bank Trust Company, National Association, as trustee</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19, 2024</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Certificate representing the 0.75% Convertible Senior Notes due 2031 (included as Exhibit A to Exhibit 4.5)</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29, 2024</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20"/>
                  <w:u w:val="single"/>
                </w:rPr>
                <w:t>Second Amended and Restated Credit Agreement, dated March 11, 2021, by and among Synaptics Incorporated, as borrower, the lenders from time to time party thereto, Wells Fargo Bank, National Association, as administrative agent, swingline lender and issuing lender, Wells Fargo Securities, LLC, as joint lead arranger and joint bookrunner, MUFG Union Bank, N.A. and BMO Capital Markets Corp., as joint lead arrangers, joint bookrunners and co-syndication agents</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2021</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First Amendment and Lender Joinder Agreement, dated as of December 2, 2021, by and among Synaptics Incorporated, the Lenders party thereto, and Wells Fargo Bank, National Association, as Administrative Agent</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 2021</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FF"/>
                  <w:sz w:val="20"/>
                  <w:u w:val="single"/>
                </w:rPr>
                <w:t>Second Amendment, dated as of March 16, 2023, by and among Synaptics Incorporated, the Lenders party thereto, and Wells Fargo Bank, National Association, as Administrative Agent</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2023</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Third Amendment, dated as of July 28, 2023, by and among Synaptics Incorporated, the Revolving Credit Lenders party thereto, and Wells Fargo Bank, National Association, as Administrative Agent</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2023</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10.1(e)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Fourth Amendment and Lender Joinder Agreement, dated as of November 21, 2024, by and among Synaptics Incorporated, Wells Fargo Bank, National Association, as Administrative Agent, and the revolving credit lenders party thereto</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21, 2024</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Synaptics Incorporated 2025 Inducement Equity Plan</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2025</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erif" w:hAnsi="Times New Roman;serif"/>
                  <w:b w:val="false"/>
                  <w:color w:val="0000FF"/>
                  <w:sz w:val="20"/>
                  <w:u w:val="single"/>
                </w:rPr>
                <w:t>2019 Equity and Incentive Compensation Plan</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2019</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erif" w:hAnsi="Times New Roman;serif"/>
                  <w:b w:val="false"/>
                  <w:color w:val="0000FF"/>
                  <w:sz w:val="20"/>
                  <w:u w:val="single"/>
                </w:rPr>
                <w:t>Amended and Restated 2019 Equity and Incentive Compensation Plan</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2020</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20"/>
                  <w:u w:val="single"/>
                </w:rPr>
                <w:t>Amended and Restated 2019 Equity and Incentive Compensation Plan</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2021</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20"/>
                  <w:u w:val="single"/>
                </w:rPr>
                <w:t>Amended and Restated 2019 Equity and Incentive Compensation Plan</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27, 2022</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 xml:space="preserve">Amended and Restated 2019 Equity and Incentive Compensation Plan </w:t>
              </w:r>
            </w:hyperlink>
          </w:p>
        </w:tc>
        <w:tc>
          <w:tcPr>
            <w:tcW w:w="13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26, 2023</w:t>
            </w:r>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
        <w:gridCol w:w="210"/>
        <w:gridCol w:w="211"/>
        <w:gridCol w:w="109"/>
        <w:gridCol w:w="109"/>
        <w:gridCol w:w="109"/>
        <w:gridCol w:w="2056"/>
        <w:gridCol w:w="2029"/>
        <w:gridCol w:w="2034"/>
        <w:gridCol w:w="773"/>
        <w:gridCol w:w="535"/>
        <w:gridCol w:w="537"/>
        <w:gridCol w:w="449"/>
        <w:gridCol w:w="329"/>
        <w:gridCol w:w="475"/>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10.3(f)*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Amended and Restated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erif" w:hAnsi="Times New Roman;serif"/>
                  <w:b w:val="false"/>
                  <w:color w:val="0000FF"/>
                  <w:sz w:val="20"/>
                  <w:u w:val="single"/>
                </w:rPr>
                <w:t>Form of Restricted Stock Unit Award Agreement under the 2019 Equity and Incentive Compensation Plan (for awards granted before July 27, 2021)</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2019</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Form of Performance Stock Unit Award Agreement under the 2019 Equity and Incentive Compensation Plan (for awards granted before July 27, 2021)</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2019</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erif" w:hAnsi="Times New Roman;serif"/>
                  <w:b w:val="false"/>
                  <w:color w:val="0000FF"/>
                  <w:sz w:val="20"/>
                  <w:u w:val="single"/>
                </w:rPr>
                <w:t>Form of Restricted Stock Unit Award Agreement under the 2019 Equity and Incentive Compensation Plan (for awards granted after July 27, 2021)</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2021</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erif" w:hAnsi="Times New Roman;serif"/>
                  <w:b w:val="false"/>
                  <w:color w:val="0000FF"/>
                  <w:sz w:val="20"/>
                  <w:u w:val="single"/>
                </w:rPr>
                <w:t>Form of Performance Stock Unit Award Agreement under the 2019 Equity and Incentive Compensation Plan (for awards granted after July 27, 2021)</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2021</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erif" w:hAnsi="Times New Roman;serif"/>
                  <w:b w:val="false"/>
                  <w:color w:val="0000FF"/>
                  <w:sz w:val="20"/>
                  <w:u w:val="single"/>
                </w:rPr>
                <w:t>Form of Market Stock Unit Award Agreement under the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2020</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erif" w:hAnsi="Times New Roman;serif"/>
                  <w:b w:val="false"/>
                  <w:color w:val="0000FF"/>
                  <w:sz w:val="20"/>
                  <w:u w:val="single"/>
                </w:rPr>
                <w:t>Form of Performance Stock Unit Award Agreement under the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2020</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erif" w:hAnsi="Times New Roman;serif"/>
                  <w:b w:val="false"/>
                  <w:color w:val="0000FF"/>
                  <w:sz w:val="20"/>
                  <w:u w:val="single"/>
                </w:rPr>
                <w:t>Form of Market Stock Unit Award Agreement under the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22, 2022</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erif" w:hAnsi="Times New Roman;serif"/>
                  <w:b w:val="false"/>
                  <w:color w:val="0000FF"/>
                  <w:sz w:val="20"/>
                  <w:u w:val="single"/>
                </w:rPr>
                <w:t>Form of Market Stock Unit Award Agreement under the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10.3(o)*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Retention Restricted Stock Unit Award Agreement under the Synaptics Incorporated Amended and Restated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18, 2025</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10.3(p)*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erif" w:hAnsi="Times New Roman;serif"/>
                  <w:b w:val="false"/>
                  <w:color w:val="0000FF"/>
                  <w:sz w:val="20"/>
                  <w:u w:val="single"/>
                </w:rPr>
                <w:t>Form of Retention Restricted Stock Unit Award Agreement under the Synaptics Incorporated Amended and Restated 2019 Equity and Incentive Compensation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23, 2025</w:t>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erif" w:hAnsi="Times New Roman;serif"/>
                  <w:b w:val="false"/>
                  <w:color w:val="0000FF"/>
                  <w:sz w:val="20"/>
                  <w:u w:val="single"/>
                </w:rPr>
                <w:t>Synaptics Incorporated Amended and Restated 2019 Equity and Incentive Compensation Plan, as amended</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erif" w:hAnsi="Times New Roman;serif"/>
                  <w:b w:val="false"/>
                  <w:color w:val="0000FF"/>
                  <w:sz w:val="20"/>
                  <w:u w:val="single"/>
                </w:rPr>
                <w:t>Form of Non-Employee Director Restricted Stock Unit Award Agreement under the Amended and Restated 2019 Equity and Incentive Compensation Plan, as amended</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erif" w:hAnsi="Times New Roman;serif"/>
                  <w:b w:val="false"/>
                  <w:color w:val="0000FF"/>
                  <w:sz w:val="20"/>
                  <w:u w:val="single"/>
                </w:rPr>
                <w:t>2019 Employee Stock Purchase Plan</w:t>
              </w:r>
            </w:hyperlink>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w:t>
            </w:r>
          </w:p>
        </w:tc>
        <w:tc>
          <w:tcPr>
            <w:tcW w:w="12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2019</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1"/>
        <w:gridCol w:w="221"/>
        <w:gridCol w:w="223"/>
        <w:gridCol w:w="109"/>
        <w:gridCol w:w="109"/>
        <w:gridCol w:w="109"/>
        <w:gridCol w:w="2238"/>
        <w:gridCol w:w="1785"/>
        <w:gridCol w:w="1789"/>
        <w:gridCol w:w="676"/>
        <w:gridCol w:w="614"/>
        <w:gridCol w:w="616"/>
        <w:gridCol w:w="477"/>
        <w:gridCol w:w="397"/>
        <w:gridCol w:w="571"/>
      </w:tblGrid>
      <w:tr>
        <w:trPr/>
        <w:tc>
          <w:tcPr>
            <w:tcW w:w="2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Synaptics Incorporated Amended and Restated 2019 Employee Stock Purchase Plan</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Change in Control and Severance Agreement</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18,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erif" w:hAnsi="Times New Roman;serif"/>
                  <w:b w:val="false"/>
                  <w:color w:val="0000FF"/>
                  <w:sz w:val="20"/>
                  <w:u w:val="single"/>
                </w:rPr>
                <w:t>Form of Director and Officer Indemnification Agreement</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17, 2016</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Form of Indemnification Agreement (Directors)</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18,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Form of Indemnification Agreement (Officers)</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18,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erif" w:hAnsi="Times New Roman;serif"/>
                  <w:b w:val="false"/>
                  <w:color w:val="0000FF"/>
                  <w:sz w:val="20"/>
                  <w:u w:val="single"/>
                </w:rPr>
                <w:t xml:space="preserve">Employment Offer Letter, dated May 10, 2024, between the registrant and Ken Rizvi </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4">
              <w:r>
                <w:rPr>
                  <w:rStyle w:val="InternetLink"/>
                  <w:rFonts w:ascii="Times New Roman;serif" w:hAnsi="Times New Roman;serif"/>
                  <w:b w:val="false"/>
                  <w:color w:val="0000FF"/>
                  <w:sz w:val="20"/>
                  <w:u w:val="single"/>
                </w:rPr>
                <w:t>Employment Offer Letter, dated November 22, 2023 between the registrant and Lisa Bodensteiner</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erif" w:hAnsi="Times New Roman;serif"/>
                  <w:b w:val="false"/>
                  <w:color w:val="0000FF"/>
                  <w:sz w:val="20"/>
                  <w:u w:val="single"/>
                </w:rPr>
                <w:t xml:space="preserve">Employment Offer Letter, dated December 16, 2022, between the registrant and Vikram Gupta </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8,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erif" w:hAnsi="Times New Roman;serif"/>
                  <w:b w:val="false"/>
                  <w:color w:val="0000FF"/>
                  <w:sz w:val="20"/>
                  <w:u w:val="single"/>
                </w:rPr>
                <w:t>Employment offer letter dated October 24, 2019, between the registrant and Satish Ganesan</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erif" w:hAnsi="Times New Roman;serif"/>
                  <w:b w:val="false"/>
                  <w:color w:val="0000FF"/>
                  <w:sz w:val="20"/>
                  <w:u w:val="single"/>
                </w:rPr>
                <w:t>Letter Agreement between Synaptics Incorporated and Ken Rizvi, dated March 10, 2025</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14,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8">
              <w:r>
                <w:rPr>
                  <w:rStyle w:val="InternetLink"/>
                  <w:rFonts w:ascii="Times New Roman;serif" w:hAnsi="Times New Roman;serif"/>
                  <w:b w:val="false"/>
                  <w:color w:val="0000FF"/>
                  <w:sz w:val="20"/>
                  <w:u w:val="single"/>
                </w:rPr>
                <w:t>Letter Agreement between Synaptics Incorporated and Nelson Chan, dated March 10, 2025</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March 14,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9">
              <w:r>
                <w:rPr>
                  <w:rStyle w:val="InternetLink"/>
                  <w:rFonts w:ascii="Times New Roman;serif" w:hAnsi="Times New Roman;serif"/>
                  <w:b w:val="false"/>
                  <w:color w:val="0000FF"/>
                  <w:sz w:val="20"/>
                  <w:u w:val="single"/>
                </w:rPr>
                <w:t>Offer Letter, dated May 19, 2025 by and between Rahul Patel and Synaptics Incorporated</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erif" w:hAnsi="Times New Roman;serif"/>
                  <w:b w:val="false"/>
                  <w:color w:val="0000FF"/>
                  <w:sz w:val="20"/>
                  <w:u w:val="single"/>
                </w:rPr>
                <w:t>Change in Control and Severance Agreement by and between Rahul Patel and Synaptics Incorporated</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2025</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erif" w:hAnsi="Times New Roman;serif"/>
                  <w:b w:val="false"/>
                  <w:color w:val="0000FF"/>
                  <w:sz w:val="20"/>
                  <w:u w:val="single"/>
                </w:rPr>
                <w:t>Form of Confirmation of Base Capped Call Transaction</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19,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erif" w:hAnsi="Times New Roman;serif"/>
                  <w:b w:val="false"/>
                  <w:color w:val="0000FF"/>
                  <w:sz w:val="20"/>
                  <w:u w:val="single"/>
                </w:rPr>
                <w:t>Form of Confirmation for the Additional Capped Call Transactions</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Report on Form 8-K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26,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Times New Roman;serif" w:hAnsi="Times New Roman;serif"/>
                  <w:b w:val="false"/>
                  <w:color w:val="0000FF"/>
                  <w:sz w:val="20"/>
                  <w:u w:val="single"/>
                </w:rPr>
                <w:t>Synaptics Incorporated Insider Trading Policy</w:t>
              </w:r>
            </w:hyperlink>
            <w:r>
              <w:rPr>
                <w:color w:val="000000"/>
              </w:rPr>
              <w:t xml:space="preserve"> </w:t>
            </w:r>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erif" w:hAnsi="Times New Roman;serif"/>
                  <w:b w:val="false"/>
                  <w:color w:val="0000FF"/>
                  <w:sz w:val="20"/>
                  <w:u w:val="single"/>
                </w:rPr>
                <w:t>List of Subsidiaries</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4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syna-20260627xexx231.htm">
              <w:r>
                <w:rPr>
                  <w:rStyle w:val="InternetLink"/>
                  <w:rFonts w:ascii="Times New Roman;serif" w:hAnsi="Times New Roman;serif"/>
                  <w:b w:val="false"/>
                  <w:color w:val="0000FF"/>
                  <w:sz w:val="20"/>
                  <w:u w:val="single"/>
                </w:rPr>
                <w:t>Consent of Independent Registered Public Accounting Firm</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syna-20260627xexx311.htm">
              <w:r>
                <w:rPr>
                  <w:rStyle w:val="InternetLink"/>
                  <w:rFonts w:ascii="Times New Roman;serif" w:hAnsi="Times New Roman;serif"/>
                  <w:b w:val="false"/>
                  <w:color w:val="0000FF"/>
                  <w:sz w:val="20"/>
                  <w:u w:val="single"/>
                </w:rPr>
                <w:t>Certification of Chief Executive Officer pursuant to Rule 13a-14(a)/15d-14(a)</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syna-20260627xexx312.htm">
              <w:r>
                <w:rPr>
                  <w:rStyle w:val="InternetLink"/>
                  <w:rFonts w:ascii="Times New Roman;serif" w:hAnsi="Times New Roman;serif"/>
                  <w:b w:val="false"/>
                  <w:color w:val="0000FF"/>
                  <w:sz w:val="20"/>
                  <w:u w:val="single"/>
                </w:rPr>
                <w:t>Certification of Chief Financial Officer pursuant to Rule 13a-14(a)/15d-14(a)</w:t>
              </w:r>
            </w:hyperlink>
          </w:p>
        </w:tc>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
        <w:gridCol w:w="201"/>
        <w:gridCol w:w="202"/>
        <w:gridCol w:w="109"/>
        <w:gridCol w:w="109"/>
        <w:gridCol w:w="109"/>
        <w:gridCol w:w="2283"/>
        <w:gridCol w:w="2192"/>
        <w:gridCol w:w="2197"/>
        <w:gridCol w:w="506"/>
        <w:gridCol w:w="506"/>
        <w:gridCol w:w="508"/>
        <w:gridCol w:w="301"/>
        <w:gridCol w:w="301"/>
        <w:gridCol w:w="435"/>
      </w:tblGrid>
      <w:tr>
        <w:trPr/>
        <w:tc>
          <w:tcPr>
            <w:tcW w:w="2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syna-20260627xexx321.htm">
              <w:r>
                <w:rPr>
                  <w:rStyle w:val="InternetLink"/>
                  <w:rFonts w:ascii="Times New Roman;serif" w:hAnsi="Times New Roman;serif"/>
                  <w:b w:val="false"/>
                  <w:color w:val="0000FF"/>
                  <w:sz w:val="20"/>
                  <w:u w:val="single"/>
                </w:rPr>
                <w:t>Section 1350 Certification of Chief Executive Officer</w:t>
              </w:r>
            </w:hyperlink>
          </w:p>
        </w:tc>
        <w:tc>
          <w:tcPr>
            <w:tcW w:w="1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syna-20260627xexx322.htm">
              <w:r>
                <w:rPr>
                  <w:rStyle w:val="InternetLink"/>
                  <w:rFonts w:ascii="Times New Roman;serif" w:hAnsi="Times New Roman;serif"/>
                  <w:b w:val="false"/>
                  <w:color w:val="0000FF"/>
                  <w:sz w:val="20"/>
                  <w:u w:val="single"/>
                </w:rPr>
                <w:t>Section 1350 Certification of Chief Financial Officer</w:t>
              </w:r>
            </w:hyperlink>
          </w:p>
        </w:tc>
        <w:tc>
          <w:tcPr>
            <w:tcW w:w="1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erif" w:hAnsi="Times New Roman;serif"/>
                  <w:b w:val="false"/>
                  <w:color w:val="0000FF"/>
                  <w:sz w:val="20"/>
                  <w:u w:val="single"/>
                </w:rPr>
                <w:t>Synaptics Compensation Recovery Policy, adopted as of October 23, 2023</w:t>
              </w:r>
            </w:hyperlink>
            <w:r>
              <w:rPr>
                <w:color w:val="000000"/>
              </w:rPr>
              <w:t xml:space="preserve"> </w:t>
            </w:r>
          </w:p>
        </w:tc>
        <w:tc>
          <w:tcPr>
            <w:tcW w:w="15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on Form 10-K</w:t>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23, 2024</w:t>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does not appear in the Interactive Data File because its XBRL tags are embedded within the Inline XBRL document</w:t>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*Indicates a contract with management or compensatory plan or arrangement.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a5469c3e6b14ed3b698364bd33c7bfd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5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40"/>
        <w:gridCol w:w="940"/>
        <w:gridCol w:w="133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SYNAPTICS INCORPORATED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color w:val="000000"/>
              </w:rPr>
              <w:t> </w:t>
            </w:r>
            <w:r>
              <w:rPr>
                <w:rFonts w:ascii="Times New Roman;serif" w:hAnsi="Times New Roman;serif"/>
                <w:b w:val="false"/>
                <w:i/>
                <w:color w:val="000000"/>
                <w:sz w:val="20"/>
              </w:rPr>
              <w:t xml:space="preserve">/s/ </w:t>
            </w:r>
            <w:r>
              <w:rPr>
                <w:rFonts w:ascii="Times New Roman;serif" w:hAnsi="Times New Roman;serif"/>
                <w:b w:val="false"/>
                <w:color w:val="000000"/>
                <w:sz w:val="20"/>
              </w:rPr>
              <w:t>Rahul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Rahul Patel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54"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374"/>
        <w:gridCol w:w="1374"/>
        <w:gridCol w:w="1392"/>
        <w:gridCol w:w="109"/>
        <w:gridCol w:w="109"/>
        <w:gridCol w:w="109"/>
        <w:gridCol w:w="436"/>
        <w:gridCol w:w="436"/>
        <w:gridCol w:w="628"/>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xml:space="preserve">/s/ </w:t>
            </w:r>
            <w:r>
              <w:rPr>
                <w:rFonts w:ascii="Times New Roman;serif" w:hAnsi="Times New Roman;serif"/>
                <w:b w:val="false"/>
                <w:color w:val="000000"/>
                <w:sz w:val="20"/>
              </w:rPr>
              <w:t>Rahul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Rahul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Ken Rizvi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Ken Rizvi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Esther Song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Corporate Controller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Esther Song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Nelson C. Chan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Nelson C. Chan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Jeffrey D. Buchanan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D. Buchanan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Keith B. Geeslin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Keith B. Geeslin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333333"/>
                <w:sz w:val="20"/>
              </w:rPr>
              <w:t>Susan Hardman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Susan Hardman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Patricia Kummrow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Patricia Kummrow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Vivie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Vivie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Venkatesh Nathamuni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Venkatesh Nathamuni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i/>
                <w:color w:val="000000"/>
                <w:sz w:val="20"/>
              </w:rPr>
              <w:t xml:space="preserve">/s/ </w:t>
            </w:r>
            <w:r>
              <w:rPr>
                <w:rFonts w:ascii="Times New Roman;serif" w:hAnsi="Times New Roman;serif"/>
                <w:b w:val="false"/>
                <w:color w:val="000000"/>
                <w:sz w:val="20"/>
              </w:rPr>
              <w:t>James L. Whims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2026</w:t>
            </w:r>
          </w:p>
        </w:tc>
      </w:tr>
      <w:tr>
        <w:trPr/>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James L. Whims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(Nos. 333-234437, 333-249793, 333-261460, 333-268145, 333-275459, 333-283071, 333-284610 and 333-291327) on Form S-8 of our report dated August 10, 2026, with respect to the consolidated financial statements of Synaptics Incorporated and the effectiveness of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Santa Clara, California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Rahul Patel,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Synaptics Incorporated;</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2412" w:type="dxa"/>
        <w:jc w:val="left"/>
        <w:tblInd w:w="0" w:type="dxa"/>
        <w:tblLayout w:type="fixed"/>
        <w:tblCellMar>
          <w:top w:w="28" w:type="dxa"/>
          <w:left w:w="28" w:type="dxa"/>
          <w:bottom w:w="28" w:type="dxa"/>
          <w:right w:w="28" w:type="dxa"/>
        </w:tblCellMar>
      </w:tblPr>
      <w:tblGrid>
        <w:gridCol w:w="124"/>
        <w:gridCol w:w="109"/>
        <w:gridCol w:w="109"/>
        <w:gridCol w:w="603"/>
        <w:gridCol w:w="603"/>
        <w:gridCol w:w="8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Rahul Patel</w:t>
            </w:r>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Rahul Patel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 Ken Rizvi, certify that: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Synaptics Incorporated;</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August 10, 2026</w:t>
      </w:r>
    </w:p>
    <w:tbl>
      <w:tblPr>
        <w:tblW w:w="2352" w:type="dxa"/>
        <w:jc w:val="left"/>
        <w:tblInd w:w="0" w:type="dxa"/>
        <w:tblLayout w:type="fixed"/>
        <w:tblCellMar>
          <w:top w:w="28" w:type="dxa"/>
          <w:left w:w="28" w:type="dxa"/>
          <w:bottom w:w="28" w:type="dxa"/>
          <w:right w:w="28" w:type="dxa"/>
        </w:tblCellMar>
      </w:tblPr>
      <w:tblGrid>
        <w:gridCol w:w="124"/>
        <w:gridCol w:w="109"/>
        <w:gridCol w:w="109"/>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Ken Rizvi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Ken Rizvi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pPr>
      <w:r>
        <w:rPr>
          <w:rFonts w:ascii="Times New Roman;serif" w:hAnsi="Times New Roman;serif"/>
          <w:b/>
          <w:color w:val="000000"/>
          <w:sz w:val="20"/>
        </w:rPr>
        <w:t>Section 1350 Certification of Chief Executive Officer</w:t>
      </w:r>
      <w:r>
        <w:rPr>
          <w:color w:val="000000"/>
        </w:rPr>
        <w:t xml:space="preserve"> </w:t>
      </w:r>
    </w:p>
    <w:p>
      <w:pPr>
        <w:pStyle w:val="TextBody"/>
        <w:bidi w:val="0"/>
        <w:spacing w:lineRule="auto" w:line="288" w:before="24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on Form 10-K of Synaptics Incorporated (the “Company”) for the year ended June 27, 2026, as filed with the Securities and Exchange Commission on the date hereof (the “Report”), I, Rahul Patel, President and Chief Executive Officer of the Company, certify, to the best of my knowledge and belief, pursuant to 18 U.S.C. § 1350, as adopted pursuant to § 906 of the Sarbanes-Oxley Act of 2002, that: </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124"/>
        <w:gridCol w:w="109"/>
        <w:gridCol w:w="109"/>
        <w:gridCol w:w="603"/>
        <w:gridCol w:w="603"/>
        <w:gridCol w:w="8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Rahul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Rahul Patel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1350 Certification of Chief Financial Officer</w:t>
      </w:r>
    </w:p>
    <w:p>
      <w:pPr>
        <w:pStyle w:val="TextBody"/>
        <w:bidi w:val="0"/>
        <w:spacing w:lineRule="auto" w:line="288" w:before="24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Synaptics Incorporated (the “Company”) for the year ended June 27, 2026,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352" w:type="dxa"/>
        <w:jc w:val="left"/>
        <w:tblInd w:w="0" w:type="dxa"/>
        <w:tblLayout w:type="fixed"/>
        <w:tblCellMar>
          <w:top w:w="28" w:type="dxa"/>
          <w:left w:w="28" w:type="dxa"/>
          <w:bottom w:w="28" w:type="dxa"/>
          <w:right w:w="28" w:type="dxa"/>
        </w:tblCellMar>
      </w:tblPr>
      <w:tblGrid>
        <w:gridCol w:w="124"/>
        <w:gridCol w:w="109"/>
        <w:gridCol w:w="109"/>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s</w:t>
            </w:r>
            <w:r>
              <w:rPr>
                <w:rFonts w:ascii="Times New Roman;serif" w:hAnsi="Times New Roman;serif"/>
                <w:b w:val="false"/>
                <w:color w:val="000000"/>
                <w:sz w:val="20"/>
              </w:rPr>
              <w:t>/ Ken Rizvi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Ken Rizvi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17720/000114036126026434/ef20076748_8k.htm" TargetMode="External"/><Relationship Id="rId4" Type="http://schemas.openxmlformats.org/officeDocument/2006/relationships/hyperlink" Target="https://www.sec.gov/Archives/edgar/data/817720/000119312523264071/d511153dex31.htm" TargetMode="External"/><Relationship Id="rId5" Type="http://schemas.openxmlformats.org/officeDocument/2006/relationships/hyperlink" Target="https://www.sec.gov/Archives/edgar/data/817720/000095015302001446/p66932exv3w1wb.txt" TargetMode="External"/><Relationship Id="rId6" Type="http://schemas.openxmlformats.org/officeDocument/2006/relationships/hyperlink" Target="https://www.sec.gov/Archives/edgar/data/817720/000081772025000062/syna-fourthamendedandresta.htm" TargetMode="External"/><Relationship Id="rId7" Type="http://schemas.openxmlformats.org/officeDocument/2006/relationships/hyperlink" Target="https://www.sec.gov/Archives/edgar/data/817720/000095015302001553/p66995exv4.txt" TargetMode="External"/><Relationship Id="rId8" Type="http://schemas.openxmlformats.org/officeDocument/2006/relationships/hyperlink" Target="https://www.sec.gov/Archives/edgar/data/817720/000156459019032908/syna-ex44_665.htm" TargetMode="External"/><Relationship Id="rId9" Type="http://schemas.openxmlformats.org/officeDocument/2006/relationships/hyperlink" Target="https://www.sec.gov/Archives/edgar/data/817720/000119312521077766/d107594dex41.htm" TargetMode="External"/><Relationship Id="rId10" Type="http://schemas.openxmlformats.org/officeDocument/2006/relationships/hyperlink" Target="https://www.sec.gov/Archives/edgar/data/0000817720/000119312521077766/d107594dex41.htm" TargetMode="External"/><Relationship Id="rId11" Type="http://schemas.openxmlformats.org/officeDocument/2006/relationships/hyperlink" Target="https://www.sec.gov/Archives/edgar/data/0000817720/000162828024048534/projectsentinel-closing8xkc.htm" TargetMode="External"/><Relationship Id="rId12" Type="http://schemas.openxmlformats.org/officeDocument/2006/relationships/hyperlink" Target="https://www.sec.gov/Archives/edgar/data/0000817720/000162828024048534/projectsentinel-closing8xkc.htm" TargetMode="External"/><Relationship Id="rId13" Type="http://schemas.openxmlformats.org/officeDocument/2006/relationships/hyperlink" Target="https://www.sec.gov/Archives/edgar/data/817720/000119312521077766/d107594dex101.htm" TargetMode="External"/><Relationship Id="rId14" Type="http://schemas.openxmlformats.org/officeDocument/2006/relationships/hyperlink" Target="https://www.sec.gov/Archives/edgar/data/817720/000119312521346669/d278258dex101.htm" TargetMode="External"/><Relationship Id="rId15" Type="http://schemas.openxmlformats.org/officeDocument/2006/relationships/hyperlink" Target="https://www.sec.gov/Archives/edgar/data/817720/000119312523073886/d479581dex101.htm" TargetMode="External"/><Relationship Id="rId16" Type="http://schemas.openxmlformats.org/officeDocument/2006/relationships/hyperlink" Target="https://www.sec.gov/Archives/edgar/data/0000817720/000095017023037965/syna-ex10_1.htm" TargetMode="External"/><Relationship Id="rId17" Type="http://schemas.openxmlformats.org/officeDocument/2006/relationships/hyperlink" Target="https://www.sec.gov/Archives/edgar/data/0000817720/000162828024048834/fullextoformforfourthamend.htm" TargetMode="External"/><Relationship Id="rId18" Type="http://schemas.openxmlformats.org/officeDocument/2006/relationships/hyperlink" Target="https://www.sec.gov/Archives/edgar/data/817720/000162828025003216/synaptic2025inducementequi.htm" TargetMode="External"/><Relationship Id="rId19" Type="http://schemas.openxmlformats.org/officeDocument/2006/relationships/hyperlink" Target="https://www.sec.gov/Archives/edgar/data/817720/000119312519281932/d828543dex101a.htm" TargetMode="External"/><Relationship Id="rId20" Type="http://schemas.openxmlformats.org/officeDocument/2006/relationships/hyperlink" Target="https://www.sec.gov/Archives/edgar/data/0000817720/000119312520281023/d26729dex101.htm" TargetMode="External"/><Relationship Id="rId21" Type="http://schemas.openxmlformats.org/officeDocument/2006/relationships/hyperlink" Target="https://www.sec.gov/Archives/edgar/data/0000817720/000119312521311462/d233668dex101.htm" TargetMode="External"/><Relationship Id="rId22" Type="http://schemas.openxmlformats.org/officeDocument/2006/relationships/hyperlink" Target="https://www.sec.gov/Archives/edgar/data/0000817720/000119312522271047/d342816dex101.htm" TargetMode="External"/><Relationship Id="rId23" Type="http://schemas.openxmlformats.org/officeDocument/2006/relationships/hyperlink" Target="https://www.sec.gov/Archives/edgar/data/0000817720/000119312523264071/d511153dex101.htm" TargetMode="External"/><Relationship Id="rId24" Type="http://schemas.openxmlformats.org/officeDocument/2006/relationships/hyperlink" Target="https://www.sec.gov/Archives/edgar/data/0000817720/000162828024044604/amendedrestatedequityplan.htm" TargetMode="External"/><Relationship Id="rId25" Type="http://schemas.openxmlformats.org/officeDocument/2006/relationships/hyperlink" Target="https://www.sec.gov/Archives/edgar/data/817720/000119312519281932/d828543dex101b.htm" TargetMode="External"/><Relationship Id="rId26" Type="http://schemas.openxmlformats.org/officeDocument/2006/relationships/hyperlink" Target="https://www.sec.gov/Archives/edgar/data/817720/000119312519281932/d828543dex101c.htm" TargetMode="External"/><Relationship Id="rId27" Type="http://schemas.openxmlformats.org/officeDocument/2006/relationships/hyperlink" Target="https://www.sec.gov/Archives/edgar/data/0000817720/000156459021045326/syna-ex103f_249.htm" TargetMode="External"/><Relationship Id="rId28" Type="http://schemas.openxmlformats.org/officeDocument/2006/relationships/hyperlink" Target="https://www.sec.gov/Archives/edgar/data/817720/000156459021045326/syna-ex103g_250.htm" TargetMode="External"/><Relationship Id="rId29" Type="http://schemas.openxmlformats.org/officeDocument/2006/relationships/hyperlink" Target="https://www.sec.gov/Archives/edgar/data/817720/000156459020051445/syna-ex102_108.htm" TargetMode="External"/><Relationship Id="rId30" Type="http://schemas.openxmlformats.org/officeDocument/2006/relationships/hyperlink" Target="https://www.sec.gov/Archives/edgar/data/817720/000156459020051445/syna-ex103_109.htm" TargetMode="External"/><Relationship Id="rId31" Type="http://schemas.openxmlformats.org/officeDocument/2006/relationships/hyperlink" Target="https://www.sec.gov/Archives/edgar/data/817720/000095017022017628/syna-ex10_3.htm" TargetMode="External"/><Relationship Id="rId32" Type="http://schemas.openxmlformats.org/officeDocument/2006/relationships/hyperlink" Target="https://www.sec.gov/Archives/edgar/data/0000817720/000095017024100261/syna-ex10_3m.htm" TargetMode="External"/><Relationship Id="rId33" Type="http://schemas.openxmlformats.org/officeDocument/2006/relationships/hyperlink" Target="https://www.sec.gov/Archives/edgar/data/0000817720/000081772025000030/formofretentionrestricteds.htm" TargetMode="External"/><Relationship Id="rId34" Type="http://schemas.openxmlformats.org/officeDocument/2006/relationships/hyperlink" Target="https://www.sec.gov/Archives/edgar/data/0000817720/000081772025000049/formofawardagreement-kenri.htm" TargetMode="External"/><Relationship Id="rId35" Type="http://schemas.openxmlformats.org/officeDocument/2006/relationships/hyperlink" Target="https://www.sec.gov/Archives/edgar/data/817720/000081772026000017/exhibit101-q226.htm" TargetMode="External"/><Relationship Id="rId36" Type="http://schemas.openxmlformats.org/officeDocument/2006/relationships/hyperlink" Target="https://www.sec.gov/Archives/edgar/data/817720/000081772026000017/exhibit102-q226.htm" TargetMode="External"/><Relationship Id="rId37" Type="http://schemas.openxmlformats.org/officeDocument/2006/relationships/hyperlink" Target="https://www.sec.gov/Archives/edgar/data/817720/000119312519281932/d828543dex102a.htm" TargetMode="External"/><Relationship Id="rId38" Type="http://schemas.openxmlformats.org/officeDocument/2006/relationships/hyperlink" Target="https://www.sec.gov/Archives/edgar/data/817720/000081772025000092/espp.htm" TargetMode="External"/><Relationship Id="rId39" Type="http://schemas.openxmlformats.org/officeDocument/2006/relationships/hyperlink" Target="https://www.sec.gov/Archives/edgar/data/0000817720/000081772025000030/formofexecutiveseveranceag.htm" TargetMode="External"/><Relationship Id="rId40" Type="http://schemas.openxmlformats.org/officeDocument/2006/relationships/hyperlink" Target="https://www.sec.gov/Archives/edgar/data/817720/000119312516593183/d192591dex1032.htm" TargetMode="External"/><Relationship Id="rId41" Type="http://schemas.openxmlformats.org/officeDocument/2006/relationships/hyperlink" Target="https://www.sec.gov/Archives/edgar/data/0000817720/000081772025000030/synaptics-indemnificationaa.htm" TargetMode="External"/><Relationship Id="rId42" Type="http://schemas.openxmlformats.org/officeDocument/2006/relationships/hyperlink" Target="https://www.sec.gov/Archives/edgar/data/0000817720/000081772025000030/synaptics-indemnificationa.htm" TargetMode="External"/><Relationship Id="rId43" Type="http://schemas.openxmlformats.org/officeDocument/2006/relationships/hyperlink" Target="https://www.sec.gov/Archives/edgar/data/0000817720/000095017024100261/syna-ex10_10.htm" TargetMode="External"/><Relationship Id="rId44" Type="http://schemas.openxmlformats.org/officeDocument/2006/relationships/hyperlink" Target="https://www.sec.gov/Archives/edgar/data/817720/000095017024012868/syna-ex10_2.htm" TargetMode="External"/><Relationship Id="rId45" Type="http://schemas.openxmlformats.org/officeDocument/2006/relationships/hyperlink" Target="https://www.sec.gov/Archives/edgar/data/817720/000095017024012868/syna-ex10_3.htm" TargetMode="External"/><Relationship Id="rId46" Type="http://schemas.openxmlformats.org/officeDocument/2006/relationships/hyperlink" Target="https://www.sec.gov/Archives/edgar/data/0000817720/000095017024100261/syna-ex10_13.htm" TargetMode="External"/><Relationship Id="rId47" Type="http://schemas.openxmlformats.org/officeDocument/2006/relationships/hyperlink" Target="https://www.sec.gov/Archives/edgar/data/0000817720/000081772025000020/lettertokenexhibit101.htm" TargetMode="External"/><Relationship Id="rId48" Type="http://schemas.openxmlformats.org/officeDocument/2006/relationships/hyperlink" Target="https://www.sec.gov/Archives/edgar/data/0000817720/000081772025000020/lettertonelsonexhibit102.htm" TargetMode="External"/><Relationship Id="rId49" Type="http://schemas.openxmlformats.org/officeDocument/2006/relationships/hyperlink" Target="https://www.sec.gov/Archives/edgar/data/0000817720/000081772025000046/offerletter.htm" TargetMode="External"/><Relationship Id="rId50" Type="http://schemas.openxmlformats.org/officeDocument/2006/relationships/hyperlink" Target="https://www.sec.gov/Archives/edgar/data/0000817720/000081772025000046/executiveseveranceagreemen.htm" TargetMode="External"/><Relationship Id="rId51" Type="http://schemas.openxmlformats.org/officeDocument/2006/relationships/hyperlink" Target="https://www.sec.gov/Archives/edgar/data/0000817720/000162828024048534/projectsentinel-closing8xkb.htm" TargetMode="External"/><Relationship Id="rId52" Type="http://schemas.openxmlformats.org/officeDocument/2006/relationships/hyperlink" Target="https://www.sec.gov/Archives/edgar/data/0000817720/000162828024049269/projectsentinel-closing8xk.htm" TargetMode="External"/><Relationship Id="rId53" Type="http://schemas.openxmlformats.org/officeDocument/2006/relationships/hyperlink" Target="https://www.sec.gov/Archives/edgar/data/0000817720/000095017024100261/syna-ex19.htm" TargetMode="External"/><Relationship Id="rId54" Type="http://schemas.openxmlformats.org/officeDocument/2006/relationships/hyperlink" Target="https://www.sec.gov/Archives/edgar/data/0000817720/000095017024100261/syna-ex21.htm" TargetMode="External"/><Relationship Id="rId55" Type="http://schemas.openxmlformats.org/officeDocument/2006/relationships/hyperlink" Target="https://www.sec.gov/Archives/edgar/data/0000817720/000095017024100261/syna-ex97.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46860</Words>
  <Characters>266618</Characters>
  <CharactersWithSpaces>310941</CharactersWithSpaces>
  <Paragraphs>3733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