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9" w:lineRule="exact"/>
        <w:rPr>
          <w:sz w:val="24"/>
          <w:szCs w:val="24"/>
          <w:color w:val="auto"/>
        </w:rPr>
      </w:pPr>
    </w:p>
    <w:p>
      <w:pPr>
        <w:ind w:left="308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w:t>
      </w: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63" w:lineRule="exact"/>
        <w:rPr>
          <w:sz w:val="24"/>
          <w:szCs w:val="24"/>
          <w:color w:val="auto"/>
        </w:rPr>
      </w:pPr>
    </w:p>
    <w:p>
      <w:pPr>
        <w:ind w:left="308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w:t>
      </w:r>
    </w:p>
    <w:p>
      <w:pPr>
        <w:spacing w:after="0" w:line="127" w:lineRule="exact"/>
        <w:rPr>
          <w:sz w:val="24"/>
          <w:szCs w:val="24"/>
          <w:color w:val="auto"/>
        </w:rPr>
      </w:pPr>
    </w:p>
    <w:p>
      <w:pPr>
        <w:ind w:left="360" w:right="280" w:hanging="334"/>
        <w:spacing w:after="0" w:line="272" w:lineRule="auto"/>
        <w:tabs>
          <w:tab w:leader="none" w:pos="3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28, 2026</w:t>
      </w:r>
    </w:p>
    <w:p>
      <w:pPr>
        <w:spacing w:after="0" w:line="107" w:lineRule="exact"/>
        <w:rPr>
          <w:sz w:val="24"/>
          <w:szCs w:val="24"/>
          <w:color w:val="auto"/>
        </w:rPr>
      </w:pPr>
    </w:p>
    <w:p>
      <w:pPr>
        <w:ind w:left="360" w:right="280" w:hanging="334"/>
        <w:spacing w:after="0" w:line="272" w:lineRule="auto"/>
        <w:tabs>
          <w:tab w:leader="none" w:pos="3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84" w:lineRule="exact"/>
        <w:rPr>
          <w:sz w:val="24"/>
          <w:szCs w:val="24"/>
          <w:color w:val="auto"/>
        </w:rPr>
      </w:pPr>
    </w:p>
    <w:p>
      <w:pPr>
        <w:ind w:left="3500"/>
        <w:spacing w:after="0"/>
        <w:tabs>
          <w:tab w:leader="none" w:pos="6760" w:val="left"/>
          <w:tab w:leader="none" w:pos="7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000-49602</w:t>
      </w:r>
    </w:p>
    <w:p>
      <w:pPr>
        <w:spacing w:after="0" w:line="114" w:lineRule="exact"/>
        <w:rPr>
          <w:sz w:val="24"/>
          <w:szCs w:val="24"/>
          <w:color w:val="auto"/>
        </w:rPr>
      </w:pPr>
    </w:p>
    <w:p>
      <w:pPr>
        <w:ind w:left="308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SYNAPTICS INCORPORATED</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 w:lineRule="exact"/>
        <w:rPr>
          <w:sz w:val="24"/>
          <w:szCs w:val="24"/>
          <w:color w:val="auto"/>
        </w:rPr>
      </w:pPr>
    </w:p>
    <w:p>
      <w:pPr>
        <w:ind w:left="308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w:t>
      </w:r>
    </w:p>
    <w:p>
      <w:pPr>
        <w:sectPr>
          <w:pgSz w:w="11900" w:h="16838" w:orient="portrait"/>
          <w:cols w:equalWidth="0" w:num="1">
            <w:col w:w="11180"/>
          </w:cols>
          <w:pgMar w:left="320" w:top="215" w:right="399" w:bottom="1440" w:gutter="0" w:footer="0" w:header="0"/>
        </w:sectPr>
      </w:pPr>
    </w:p>
    <w:p>
      <w:pPr>
        <w:spacing w:after="0" w:line="13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77-0118518</w:t>
      </w:r>
    </w:p>
    <w:p>
      <w:pPr>
        <w:spacing w:after="0" w:line="84" w:lineRule="exact"/>
        <w:rPr>
          <w:sz w:val="24"/>
          <w:szCs w:val="24"/>
          <w:color w:val="auto"/>
        </w:rPr>
      </w:pPr>
    </w:p>
    <w:p>
      <w:pPr>
        <w:sectPr>
          <w:pgSz w:w="11900" w:h="16838" w:orient="portrait"/>
          <w:cols w:equalWidth="0" w:num="2">
            <w:col w:w="8160" w:space="720"/>
            <w:col w:w="2300"/>
          </w:cols>
          <w:pgMar w:left="320" w:top="215" w:right="399" w:bottom="1440" w:gutter="0" w:footer="0" w:header="0"/>
          <w:type w:val="continuous"/>
        </w:sectPr>
      </w:pPr>
    </w:p>
    <w:p>
      <w:pPr>
        <w:ind w:left="900"/>
        <w:spacing w:after="0"/>
        <w:rPr>
          <w:sz w:val="20"/>
          <w:szCs w:val="20"/>
          <w:color w:val="auto"/>
        </w:rPr>
      </w:pPr>
      <w:r>
        <w:rPr>
          <w:rFonts w:ascii="Arial" w:cs="Arial" w:eastAsia="Arial" w:hAnsi="Arial"/>
          <w:sz w:val="14"/>
          <w:szCs w:val="14"/>
          <w:b w:val="1"/>
          <w:bCs w:val="1"/>
          <w:color w:val="auto"/>
        </w:rPr>
        <w:t>(State or other jurisdiction of</w:t>
      </w:r>
    </w:p>
    <w:p>
      <w:pPr>
        <w:spacing w:after="0" w:line="29" w:lineRule="exact"/>
        <w:rPr>
          <w:sz w:val="24"/>
          <w:szCs w:val="24"/>
          <w:color w:val="auto"/>
        </w:rPr>
      </w:pPr>
    </w:p>
    <w:p>
      <w:pPr>
        <w:ind w:left="86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spacing w:after="0" w:line="29"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Identification No.)</w:t>
      </w:r>
    </w:p>
    <w:p>
      <w:pPr>
        <w:spacing w:after="0" w:line="99" w:lineRule="exact"/>
        <w:rPr>
          <w:sz w:val="24"/>
          <w:szCs w:val="24"/>
          <w:color w:val="auto"/>
        </w:rPr>
      </w:pPr>
    </w:p>
    <w:p>
      <w:pPr>
        <w:sectPr>
          <w:pgSz w:w="11900" w:h="16838" w:orient="portrait"/>
          <w:cols w:equalWidth="0" w:num="2">
            <w:col w:w="8040" w:space="720"/>
            <w:col w:w="2420"/>
          </w:cols>
          <w:pgMar w:left="320" w:top="215" w:right="3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1109 McKay Drive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Jose, California 95131</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(408) 904-1100</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080"/>
        <w:spacing w:after="0"/>
        <w:rPr>
          <w:sz w:val="20"/>
          <w:szCs w:val="20"/>
          <w:color w:val="auto"/>
        </w:rPr>
      </w:pPr>
      <w:r>
        <w:rPr>
          <w:rFonts w:ascii="Arial" w:cs="Arial" w:eastAsia="Arial" w:hAnsi="Arial"/>
          <w:sz w:val="8"/>
          <w:szCs w:val="8"/>
          <w:color w:val="auto"/>
        </w:rPr>
        <w:t>______________________________________________________________________________________________________</w:t>
      </w:r>
    </w:p>
    <w:p>
      <w:pPr>
        <w:sectPr>
          <w:pgSz w:w="11900" w:h="16838" w:orient="portrait"/>
          <w:cols w:equalWidth="0" w:num="1">
            <w:col w:w="11180"/>
          </w:cols>
          <w:pgMar w:left="320" w:top="215" w:right="399" w:bottom="1440" w:gutter="0" w:footer="0" w:header="0"/>
          <w:type w:val="continuous"/>
        </w:sectPr>
      </w:pPr>
    </w:p>
    <w:p>
      <w:pPr>
        <w:spacing w:after="0" w:line="9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5"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2200" w:type="dxa"/>
            <w:vAlign w:val="bottom"/>
          </w:tcPr>
          <w:p>
            <w:pPr>
              <w:spacing w:after="0"/>
              <w:rPr>
                <w:sz w:val="18"/>
                <w:szCs w:val="18"/>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Trading Symbol(s)</w:t>
            </w:r>
          </w:p>
        </w:tc>
        <w:tc>
          <w:tcPr>
            <w:tcW w:w="412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81"/>
        </w:trPr>
        <w:tc>
          <w:tcPr>
            <w:tcW w:w="4620" w:type="dxa"/>
            <w:vAlign w:val="bottom"/>
            <w:gridSpan w:val="3"/>
          </w:tcPr>
          <w:p>
            <w:pPr>
              <w:jc w:val="center"/>
              <w:ind w:right="1240"/>
              <w:spacing w:after="0"/>
              <w:rPr>
                <w:sz w:val="20"/>
                <w:szCs w:val="20"/>
                <w:color w:val="auto"/>
              </w:rPr>
            </w:pPr>
            <w:r>
              <w:rPr>
                <w:rFonts w:ascii="Arial" w:cs="Arial" w:eastAsia="Arial" w:hAnsi="Arial"/>
                <w:sz w:val="18"/>
                <w:szCs w:val="18"/>
                <w:color w:val="auto"/>
                <w:w w:val="99"/>
              </w:rPr>
              <w:t>Common Stock, par value $.001 per share</w:t>
            </w:r>
          </w:p>
        </w:tc>
        <w:tc>
          <w:tcPr>
            <w:tcW w:w="2040" w:type="dxa"/>
            <w:vAlign w:val="bottom"/>
            <w:gridSpan w:val="2"/>
          </w:tcPr>
          <w:p>
            <w:pPr>
              <w:jc w:val="center"/>
              <w:ind w:right="580"/>
              <w:spacing w:after="0"/>
              <w:rPr>
                <w:sz w:val="20"/>
                <w:szCs w:val="20"/>
                <w:color w:val="auto"/>
              </w:rPr>
            </w:pPr>
            <w:r>
              <w:rPr>
                <w:rFonts w:ascii="Arial" w:cs="Arial" w:eastAsia="Arial" w:hAnsi="Arial"/>
                <w:sz w:val="18"/>
                <w:szCs w:val="18"/>
                <w:color w:val="auto"/>
              </w:rPr>
              <w:t>SYNA</w:t>
            </w:r>
          </w:p>
        </w:tc>
        <w:tc>
          <w:tcPr>
            <w:tcW w:w="56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66"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320" w:type="dxa"/>
            <w:vAlign w:val="bottom"/>
          </w:tcPr>
          <w:p>
            <w:pPr>
              <w:ind w:left="288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2" w:lineRule="exact"/>
        <w:rPr>
          <w:sz w:val="24"/>
          <w:szCs w:val="24"/>
          <w:color w:val="auto"/>
        </w:rPr>
      </w:pPr>
    </w:p>
    <w:p>
      <w:pPr>
        <w:ind w:right="14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tabs>
          <w:tab w:leader="none" w:pos="9180" w:val="left"/>
          <w:tab w:leader="none" w:pos="9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2026, the Company had 38,637,685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15"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6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5"/>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00" w:type="dxa"/>
            <w:vAlign w:val="bottom"/>
            <w:gridSpan w:val="14"/>
          </w:tcPr>
          <w:p>
            <w:pPr>
              <w:jc w:val="center"/>
              <w:ind w:right="3660"/>
              <w:spacing w:after="0"/>
              <w:rPr>
                <w:sz w:val="20"/>
                <w:szCs w:val="20"/>
                <w:color w:val="auto"/>
              </w:rPr>
            </w:pPr>
            <w:r>
              <w:rPr>
                <w:rFonts w:ascii="Arial" w:cs="Arial" w:eastAsia="Arial" w:hAnsi="Arial"/>
                <w:sz w:val="18"/>
                <w:szCs w:val="18"/>
                <w:b w:val="1"/>
                <w:bCs w:val="1"/>
                <w:color w:val="auto"/>
                <w:w w:val="99"/>
              </w:rPr>
              <w:t>SYNAPTICS INCORPORATED</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0" w:type="dxa"/>
            <w:vAlign w:val="bottom"/>
            <w:gridSpan w:val="15"/>
          </w:tcPr>
          <w:p>
            <w:pPr>
              <w:jc w:val="center"/>
              <w:ind w:right="3140"/>
              <w:spacing w:after="0"/>
              <w:rPr>
                <w:sz w:val="20"/>
                <w:szCs w:val="20"/>
                <w:color w:val="auto"/>
              </w:rPr>
            </w:pPr>
            <w:r>
              <w:rPr>
                <w:rFonts w:ascii="Arial" w:cs="Arial" w:eastAsia="Arial" w:hAnsi="Arial"/>
                <w:sz w:val="18"/>
                <w:szCs w:val="18"/>
                <w:b w:val="1"/>
                <w:bCs w:val="1"/>
                <w:color w:val="auto"/>
                <w:w w:val="99"/>
              </w:rPr>
              <w:t>QUARTERLY REPORT ON FORM 10-Q</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60" w:type="dxa"/>
            <w:vAlign w:val="bottom"/>
            <w:gridSpan w:val="17"/>
          </w:tcPr>
          <w:p>
            <w:pPr>
              <w:jc w:val="center"/>
              <w:ind w:right="2600"/>
              <w:spacing w:after="0"/>
              <w:rPr>
                <w:sz w:val="20"/>
                <w:szCs w:val="20"/>
                <w:color w:val="auto"/>
              </w:rPr>
            </w:pPr>
            <w:r>
              <w:rPr>
                <w:rFonts w:ascii="Arial" w:cs="Arial" w:eastAsia="Arial" w:hAnsi="Arial"/>
                <w:sz w:val="18"/>
                <w:szCs w:val="18"/>
                <w:b w:val="1"/>
                <w:bCs w:val="1"/>
                <w:color w:val="auto"/>
                <w:w w:val="99"/>
              </w:rPr>
              <w:t>FOR THE QUARTER ENDED MARCH 28, 2026</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00" w:type="dxa"/>
            <w:vAlign w:val="bottom"/>
            <w:gridSpan w:val="14"/>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580" w:type="dxa"/>
            <w:vAlign w:val="bottom"/>
            <w:gridSpan w:val="29"/>
          </w:tcPr>
          <w:p>
            <w:pPr>
              <w:spacing w:after="0" w:line="184" w:lineRule="exact"/>
              <w:rPr>
                <w:sz w:val="20"/>
                <w:szCs w:val="20"/>
                <w:color w:val="auto"/>
              </w:rPr>
            </w:pPr>
            <w:r>
              <w:rPr>
                <w:rFonts w:ascii="Arial" w:cs="Arial" w:eastAsia="Arial" w:hAnsi="Arial"/>
                <w:sz w:val="18"/>
                <w:szCs w:val="18"/>
                <w:color w:val="0000FF"/>
              </w:rPr>
              <w:t>Part I. Financial Information</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740" w:type="dxa"/>
            <w:vAlign w:val="bottom"/>
            <w:gridSpan w:val="3"/>
          </w:tcPr>
          <w:p>
            <w:pPr>
              <w:ind w:left="560"/>
              <w:spacing w:after="0"/>
              <w:rPr>
                <w:sz w:val="20"/>
                <w:szCs w:val="20"/>
                <w:color w:val="auto"/>
              </w:rPr>
            </w:pPr>
            <w:r>
              <w:rPr>
                <w:rFonts w:ascii="Arial" w:cs="Arial" w:eastAsia="Arial" w:hAnsi="Arial"/>
                <w:sz w:val="18"/>
                <w:szCs w:val="18"/>
                <w:color w:val="auto"/>
              </w:rPr>
              <w:t>Item 1.</w:t>
            </w:r>
          </w:p>
        </w:tc>
        <w:tc>
          <w:tcPr>
            <w:tcW w:w="47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Condensed Consolidated Financial Statements (Unaudited):</w:t>
            </w:r>
          </w:p>
        </w:tc>
        <w:tc>
          <w:tcPr>
            <w:tcW w:w="4060" w:type="dxa"/>
            <w:vAlign w:val="bottom"/>
            <w:gridSpan w:val="11"/>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gridSpan w:val="26"/>
          </w:tcPr>
          <w:p>
            <w:pPr>
              <w:spacing w:after="0"/>
              <w:rPr>
                <w:sz w:val="20"/>
                <w:szCs w:val="20"/>
                <w:color w:val="auto"/>
              </w:rPr>
            </w:pPr>
            <w:r>
              <w:rPr>
                <w:rFonts w:ascii="Arial" w:cs="Arial" w:eastAsia="Arial" w:hAnsi="Arial"/>
                <w:sz w:val="18"/>
                <w:szCs w:val="18"/>
                <w:color w:val="0000FF"/>
              </w:rPr>
              <w:t>Condensed Consolidated Balance Sheets—March 28, 2026 and June 28, 2025</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gridSpan w:val="26"/>
          </w:tcPr>
          <w:p>
            <w:pPr>
              <w:spacing w:after="0"/>
              <w:rPr>
                <w:sz w:val="20"/>
                <w:szCs w:val="20"/>
                <w:color w:val="auto"/>
              </w:rPr>
            </w:pPr>
            <w:r>
              <w:rPr>
                <w:rFonts w:ascii="Arial" w:cs="Arial" w:eastAsia="Arial" w:hAnsi="Arial"/>
                <w:sz w:val="18"/>
                <w:szCs w:val="18"/>
                <w:color w:val="0000FF"/>
              </w:rPr>
              <w:t>Condensed Consolidated Statements of Operations—Three and Nine Months Ended March 28, 2026 and</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6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9"/>
              </w:rPr>
              <w:t>March 29, 2025</w:t>
            </w:r>
          </w:p>
        </w:tc>
        <w:tc>
          <w:tcPr>
            <w:tcW w:w="6920" w:type="dxa"/>
            <w:vAlign w:val="bottom"/>
            <w:tcBorders>
              <w:top w:val="single" w:sz="8" w:color="0000FF"/>
            </w:tcBorders>
            <w:gridSpan w:val="16"/>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gridSpan w:val="26"/>
          </w:tcPr>
          <w:p>
            <w:pPr>
              <w:spacing w:after="0"/>
              <w:rPr>
                <w:sz w:val="20"/>
                <w:szCs w:val="20"/>
                <w:color w:val="auto"/>
              </w:rPr>
            </w:pPr>
            <w:r>
              <w:rPr>
                <w:rFonts w:ascii="Arial" w:cs="Arial" w:eastAsia="Arial" w:hAnsi="Arial"/>
                <w:sz w:val="18"/>
                <w:szCs w:val="18"/>
                <w:color w:val="0000FF"/>
              </w:rPr>
              <w:t>Condensed Consolidated Statements of Stockholders’ Equity—Three and Nine Months Ended March 28,</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8"/>
              </w:rPr>
              <w:t>2026 and March 29, 2025</w:t>
            </w:r>
          </w:p>
        </w:tc>
        <w:tc>
          <w:tcPr>
            <w:tcW w:w="6280" w:type="dxa"/>
            <w:vAlign w:val="bottom"/>
            <w:tcBorders>
              <w:top w:val="single" w:sz="8" w:color="0000FF"/>
            </w:tcBorders>
            <w:gridSpan w:val="12"/>
          </w:tcPr>
          <w:p>
            <w:pPr>
              <w:spacing w:after="0"/>
              <w:rPr>
                <w:sz w:val="13"/>
                <w:szCs w:val="13"/>
                <w:color w:val="auto"/>
              </w:rPr>
            </w:pPr>
          </w:p>
        </w:tc>
        <w:tc>
          <w:tcPr>
            <w:tcW w:w="1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gridSpan w:val="26"/>
          </w:tcPr>
          <w:p>
            <w:pPr>
              <w:spacing w:after="0"/>
              <w:rPr>
                <w:sz w:val="20"/>
                <w:szCs w:val="20"/>
                <w:color w:val="auto"/>
              </w:rPr>
            </w:pPr>
            <w:r>
              <w:rPr>
                <w:rFonts w:ascii="Arial" w:cs="Arial" w:eastAsia="Arial" w:hAnsi="Arial"/>
                <w:sz w:val="18"/>
                <w:szCs w:val="18"/>
                <w:color w:val="0000FF"/>
              </w:rPr>
              <w:t>Condensed Consolidated Statements of Cash Flows—Nine Months Ended March 28, 2026 and March 29,</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4"/>
              </w:rPr>
              <w:t>2025</w:t>
            </w:r>
          </w:p>
        </w:tc>
        <w:tc>
          <w:tcPr>
            <w:tcW w:w="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9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438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740" w:type="dxa"/>
            <w:vAlign w:val="bottom"/>
            <w:gridSpan w:val="3"/>
          </w:tcPr>
          <w:p>
            <w:pPr>
              <w:ind w:left="560"/>
              <w:spacing w:after="0"/>
              <w:rPr>
                <w:sz w:val="20"/>
                <w:szCs w:val="20"/>
                <w:color w:val="auto"/>
              </w:rPr>
            </w:pPr>
            <w:r>
              <w:rPr>
                <w:rFonts w:ascii="Arial" w:cs="Arial" w:eastAsia="Arial" w:hAnsi="Arial"/>
                <w:sz w:val="18"/>
                <w:szCs w:val="18"/>
                <w:color w:val="auto"/>
              </w:rPr>
              <w:t>Item 2.</w:t>
            </w:r>
          </w:p>
        </w:tc>
        <w:tc>
          <w:tcPr>
            <w:tcW w:w="70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78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740" w:type="dxa"/>
            <w:vAlign w:val="bottom"/>
            <w:gridSpan w:val="3"/>
          </w:tcPr>
          <w:p>
            <w:pPr>
              <w:ind w:left="560"/>
              <w:spacing w:after="0"/>
              <w:rPr>
                <w:sz w:val="20"/>
                <w:szCs w:val="20"/>
                <w:color w:val="auto"/>
              </w:rPr>
            </w:pPr>
            <w:r>
              <w:rPr>
                <w:rFonts w:ascii="Arial" w:cs="Arial" w:eastAsia="Arial" w:hAnsi="Arial"/>
                <w:sz w:val="18"/>
                <w:szCs w:val="18"/>
                <w:color w:val="auto"/>
              </w:rPr>
              <w:t>Item 3.</w:t>
            </w:r>
          </w:p>
        </w:tc>
        <w:tc>
          <w:tcPr>
            <w:tcW w:w="47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414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740" w:type="dxa"/>
            <w:vAlign w:val="bottom"/>
            <w:gridSpan w:val="3"/>
          </w:tcPr>
          <w:p>
            <w:pPr>
              <w:ind w:left="560"/>
              <w:spacing w:after="0"/>
              <w:rPr>
                <w:sz w:val="20"/>
                <w:szCs w:val="20"/>
                <w:color w:val="auto"/>
              </w:rPr>
            </w:pPr>
            <w:r>
              <w:rPr>
                <w:rFonts w:ascii="Arial" w:cs="Arial" w:eastAsia="Arial" w:hAnsi="Arial"/>
                <w:sz w:val="18"/>
                <w:szCs w:val="18"/>
                <w:color w:val="auto"/>
              </w:rPr>
              <w:t>Item 4.</w:t>
            </w:r>
          </w:p>
        </w:tc>
        <w:tc>
          <w:tcPr>
            <w:tcW w:w="19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Controls and Procedures</w:t>
            </w:r>
          </w:p>
        </w:tc>
        <w:tc>
          <w:tcPr>
            <w:tcW w:w="686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580" w:type="dxa"/>
            <w:vAlign w:val="bottom"/>
            <w:gridSpan w:val="29"/>
          </w:tcPr>
          <w:p>
            <w:pPr>
              <w:spacing w:after="0"/>
              <w:rPr>
                <w:sz w:val="20"/>
                <w:szCs w:val="20"/>
                <w:color w:val="auto"/>
              </w:rPr>
            </w:pPr>
            <w:r>
              <w:rPr>
                <w:rFonts w:ascii="Arial" w:cs="Arial" w:eastAsia="Arial" w:hAnsi="Arial"/>
                <w:sz w:val="18"/>
                <w:szCs w:val="18"/>
                <w:color w:val="0000FF"/>
              </w:rPr>
              <w:t>Part II. Other Information</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00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740" w:type="dxa"/>
            <w:vAlign w:val="bottom"/>
            <w:gridSpan w:val="3"/>
          </w:tcPr>
          <w:p>
            <w:pPr>
              <w:ind w:left="560"/>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7"/>
              </w:rPr>
              <w:t>Legal Proceedings</w:t>
            </w:r>
          </w:p>
        </w:tc>
        <w:tc>
          <w:tcPr>
            <w:tcW w:w="7360" w:type="dxa"/>
            <w:vAlign w:val="bottom"/>
            <w:gridSpan w:val="1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740" w:type="dxa"/>
            <w:vAlign w:val="bottom"/>
            <w:gridSpan w:val="3"/>
          </w:tcPr>
          <w:p>
            <w:pPr>
              <w:ind w:left="560"/>
              <w:spacing w:after="0"/>
              <w:rPr>
                <w:sz w:val="20"/>
                <w:szCs w:val="20"/>
                <w:color w:val="auto"/>
              </w:rPr>
            </w:pPr>
            <w:r>
              <w:rPr>
                <w:rFonts w:ascii="Arial" w:cs="Arial" w:eastAsia="Arial" w:hAnsi="Arial"/>
                <w:sz w:val="18"/>
                <w:szCs w:val="18"/>
                <w:color w:val="auto"/>
              </w:rPr>
              <w:t>Item 1A.</w:t>
            </w:r>
          </w:p>
        </w:tc>
        <w:tc>
          <w:tcPr>
            <w:tcW w:w="8840" w:type="dxa"/>
            <w:vAlign w:val="bottom"/>
            <w:gridSpan w:val="26"/>
          </w:tcPr>
          <w:p>
            <w:pPr>
              <w:spacing w:after="0"/>
              <w:rPr>
                <w:sz w:val="20"/>
                <w:szCs w:val="20"/>
                <w:color w:val="auto"/>
              </w:rPr>
            </w:pPr>
            <w:r>
              <w:rPr>
                <w:rFonts w:ascii="Arial" w:cs="Arial" w:eastAsia="Arial" w:hAnsi="Arial"/>
                <w:sz w:val="18"/>
                <w:szCs w:val="18"/>
                <w:color w:val="0000FF"/>
              </w:rPr>
              <w:t>Risk Factors</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Borders>
              <w:right w:val="single" w:sz="8" w:color="0000FF"/>
            </w:tcBorders>
            <w:gridSpan w:val="2"/>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00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740" w:type="dxa"/>
            <w:vAlign w:val="bottom"/>
            <w:gridSpan w:val="3"/>
          </w:tcPr>
          <w:p>
            <w:pPr>
              <w:ind w:left="560"/>
              <w:spacing w:after="0"/>
              <w:rPr>
                <w:sz w:val="20"/>
                <w:szCs w:val="20"/>
                <w:color w:val="auto"/>
              </w:rPr>
            </w:pPr>
            <w:r>
              <w:rPr>
                <w:rFonts w:ascii="Arial" w:cs="Arial" w:eastAsia="Arial" w:hAnsi="Arial"/>
                <w:sz w:val="18"/>
                <w:szCs w:val="18"/>
                <w:color w:val="auto"/>
              </w:rPr>
              <w:t>Item 2.</w:t>
            </w:r>
          </w:p>
        </w:tc>
        <w:tc>
          <w:tcPr>
            <w:tcW w:w="48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00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740" w:type="dxa"/>
            <w:vAlign w:val="bottom"/>
            <w:gridSpan w:val="3"/>
          </w:tcPr>
          <w:p>
            <w:pPr>
              <w:ind w:left="560"/>
              <w:spacing w:after="0"/>
              <w:rPr>
                <w:sz w:val="20"/>
                <w:szCs w:val="20"/>
                <w:color w:val="auto"/>
              </w:rPr>
            </w:pPr>
            <w:r>
              <w:rPr>
                <w:rFonts w:ascii="Arial" w:cs="Arial" w:eastAsia="Arial" w:hAnsi="Arial"/>
                <w:sz w:val="18"/>
                <w:szCs w:val="18"/>
                <w:color w:val="auto"/>
              </w:rPr>
              <w:t>Item 3.</w:t>
            </w:r>
          </w:p>
        </w:tc>
        <w:tc>
          <w:tcPr>
            <w:tcW w:w="25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8"/>
              </w:rPr>
              <w:t>Defaults Upon Senior Securities</w:t>
            </w:r>
          </w:p>
        </w:tc>
        <w:tc>
          <w:tcPr>
            <w:tcW w:w="6300" w:type="dxa"/>
            <w:vAlign w:val="bottom"/>
            <w:gridSpan w:val="1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740" w:type="dxa"/>
            <w:vAlign w:val="bottom"/>
            <w:gridSpan w:val="3"/>
          </w:tcPr>
          <w:p>
            <w:pPr>
              <w:ind w:left="560"/>
              <w:spacing w:after="0"/>
              <w:rPr>
                <w:sz w:val="20"/>
                <w:szCs w:val="20"/>
                <w:color w:val="auto"/>
              </w:rPr>
            </w:pPr>
            <w:r>
              <w:rPr>
                <w:rFonts w:ascii="Arial" w:cs="Arial" w:eastAsia="Arial" w:hAnsi="Arial"/>
                <w:sz w:val="18"/>
                <w:szCs w:val="18"/>
                <w:color w:val="auto"/>
              </w:rPr>
              <w:t>Item 5.</w:t>
            </w:r>
          </w:p>
        </w:tc>
        <w:tc>
          <w:tcPr>
            <w:tcW w:w="8840" w:type="dxa"/>
            <w:vAlign w:val="bottom"/>
            <w:gridSpan w:val="26"/>
          </w:tcPr>
          <w:p>
            <w:pPr>
              <w:spacing w:after="0"/>
              <w:rPr>
                <w:sz w:val="20"/>
                <w:szCs w:val="20"/>
                <w:color w:val="auto"/>
              </w:rPr>
            </w:pPr>
            <w:r>
              <w:rPr>
                <w:rFonts w:ascii="Arial" w:cs="Arial" w:eastAsia="Arial" w:hAnsi="Arial"/>
                <w:sz w:val="18"/>
                <w:szCs w:val="18"/>
                <w:color w:val="0000FF"/>
              </w:rPr>
              <w:t>Other Information</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740" w:type="dxa"/>
            <w:vAlign w:val="bottom"/>
            <w:gridSpan w:val="3"/>
          </w:tcPr>
          <w:p>
            <w:pPr>
              <w:ind w:left="560"/>
              <w:spacing w:after="0"/>
              <w:rPr>
                <w:sz w:val="20"/>
                <w:szCs w:val="20"/>
                <w:color w:val="auto"/>
              </w:rPr>
            </w:pPr>
            <w:r>
              <w:rPr>
                <w:rFonts w:ascii="Arial" w:cs="Arial" w:eastAsia="Arial" w:hAnsi="Arial"/>
                <w:sz w:val="18"/>
                <w:szCs w:val="18"/>
                <w:color w:val="auto"/>
              </w:rPr>
              <w:t>Item 6.</w:t>
            </w:r>
          </w:p>
        </w:tc>
        <w:tc>
          <w:tcPr>
            <w:tcW w:w="13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Exhibits</w:t>
            </w:r>
          </w:p>
        </w:tc>
        <w:tc>
          <w:tcPr>
            <w:tcW w:w="7460" w:type="dxa"/>
            <w:vAlign w:val="bottom"/>
            <w:gridSpan w:val="19"/>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0000FF"/>
              </w:rPr>
              <w:t>Signatures</w:t>
            </w: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-3942715</wp:posOffset>
            </wp:positionV>
            <wp:extent cx="31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140" w:type="dxa"/>
            <w:vAlign w:val="bottom"/>
          </w:tcPr>
          <w:p>
            <w:pPr>
              <w:jc w:val="center"/>
              <w:ind w:left="3010"/>
              <w:spacing w:after="0"/>
              <w:rPr>
                <w:sz w:val="20"/>
                <w:szCs w:val="20"/>
                <w:color w:val="auto"/>
              </w:rPr>
            </w:pPr>
            <w:r>
              <w:rPr>
                <w:rFonts w:ascii="Arial" w:cs="Arial" w:eastAsia="Arial" w:hAnsi="Arial"/>
                <w:sz w:val="18"/>
                <w:szCs w:val="18"/>
                <w:b w:val="1"/>
                <w:bCs w:val="1"/>
                <w:color w:val="auto"/>
                <w:w w:val="99"/>
              </w:rPr>
              <w:t>PART I—FINANCIAL INFORMATION</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8140" w:type="dxa"/>
            <w:vAlign w:val="bottom"/>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140" w:type="dxa"/>
            <w:vAlign w:val="bottom"/>
          </w:tcPr>
          <w:p>
            <w:pPr>
              <w:jc w:val="center"/>
              <w:ind w:left="303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40" w:type="dxa"/>
            <w:vAlign w:val="bottom"/>
          </w:tcPr>
          <w:p>
            <w:pPr>
              <w:jc w:val="center"/>
              <w:ind w:left="30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jc w:val="center"/>
              <w:ind w:left="3010"/>
              <w:spacing w:after="0"/>
              <w:rPr>
                <w:sz w:val="20"/>
                <w:szCs w:val="20"/>
                <w:color w:val="auto"/>
              </w:rPr>
            </w:pPr>
            <w:r>
              <w:rPr>
                <w:rFonts w:ascii="Arial" w:cs="Arial" w:eastAsia="Arial" w:hAnsi="Arial"/>
                <w:sz w:val="18"/>
                <w:szCs w:val="18"/>
                <w:color w:val="auto"/>
                <w:w w:val="99"/>
              </w:rPr>
              <w:t>(in millions, except par value and share amounts)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140" w:type="dxa"/>
            <w:vAlign w:val="bottom"/>
          </w:tcPr>
          <w:p>
            <w:pPr>
              <w:jc w:val="center"/>
              <w:ind w:left="301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8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2026</w:t>
            </w:r>
          </w:p>
        </w:tc>
        <w:tc>
          <w:tcPr>
            <w:tcW w:w="22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June 2025</w:t>
            </w:r>
          </w:p>
        </w:tc>
        <w:tc>
          <w:tcPr>
            <w:tcW w:w="0" w:type="dxa"/>
            <w:vAlign w:val="bottom"/>
          </w:tcPr>
          <w:p>
            <w:pPr>
              <w:spacing w:after="0"/>
              <w:rPr>
                <w:sz w:val="1"/>
                <w:szCs w:val="1"/>
                <w:color w:val="auto"/>
              </w:rPr>
            </w:pPr>
          </w:p>
        </w:tc>
      </w:tr>
      <w:tr>
        <w:trPr>
          <w:trHeight w:val="237"/>
        </w:trPr>
        <w:tc>
          <w:tcPr>
            <w:tcW w:w="8140" w:type="dxa"/>
            <w:vAlign w:val="bottom"/>
            <w:tcBorders>
              <w:top w:val="single" w:sz="8" w:color="CCEEFF"/>
            </w:tcBorders>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5"/>
        </w:trPr>
        <w:tc>
          <w:tcPr>
            <w:tcW w:w="814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intangible assets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5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other assets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55"/>
        </w:trPr>
        <w:tc>
          <w:tcPr>
            <w:tcW w:w="814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2,584.4</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shd w:val="clear" w:color="auto" w:fill="CCEEFF"/>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52"/>
        </w:trPr>
        <w:tc>
          <w:tcPr>
            <w:tcW w:w="8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55"/>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45"/>
        </w:trPr>
        <w:tc>
          <w:tcPr>
            <w:tcW w:w="8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1,189.5</w:t>
            </w:r>
          </w:p>
        </w:tc>
        <w:tc>
          <w:tcPr>
            <w:tcW w:w="0" w:type="dxa"/>
            <w:vAlign w:val="bottom"/>
          </w:tcPr>
          <w:p>
            <w:pPr>
              <w:spacing w:after="0"/>
              <w:rPr>
                <w:sz w:val="1"/>
                <w:szCs w:val="1"/>
                <w:color w:val="auto"/>
              </w:rPr>
            </w:pPr>
          </w:p>
        </w:tc>
      </w:tr>
      <w:tr>
        <w:trPr>
          <w:trHeight w:val="24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14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$0.001 par value; 10,000,000 shares authorized; no shares issued and outstanding</w:t>
            </w: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814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$0.001 par value; 120,000,000 shares authorized, 71,878,081 and 70,611,845 shares issued,</w:t>
            </w: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5"/>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38,735,446 and 38,642,761 shares outstanding, at March 2026 and June 2025, respectively</w:t>
            </w:r>
          </w:p>
        </w:tc>
        <w:tc>
          <w:tcPr>
            <w:tcW w:w="2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14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1,211.8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33,142,635 and 31,969,084 common shares at March 2026 and June 2025,</w:t>
            </w: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0" w:type="dxa"/>
            <w:vAlign w:val="bottom"/>
          </w:tcPr>
          <w:p>
            <w:pPr>
              <w:spacing w:after="0"/>
              <w:rPr>
                <w:sz w:val="1"/>
                <w:szCs w:val="1"/>
                <w:color w:val="auto"/>
              </w:rPr>
            </w:pPr>
          </w:p>
        </w:tc>
      </w:tr>
      <w:tr>
        <w:trPr>
          <w:trHeight w:val="235"/>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 at cost</w:t>
            </w:r>
          </w:p>
        </w:tc>
        <w:tc>
          <w:tcPr>
            <w:tcW w:w="2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w:t>
            </w:r>
          </w:p>
        </w:tc>
        <w:tc>
          <w:tcPr>
            <w:tcW w:w="0" w:type="dxa"/>
            <w:vAlign w:val="bottom"/>
          </w:tcPr>
          <w:p>
            <w:pPr>
              <w:spacing w:after="0"/>
              <w:rPr>
                <w:sz w:val="1"/>
                <w:szCs w:val="1"/>
                <w:color w:val="auto"/>
              </w:rPr>
            </w:pPr>
          </w:p>
        </w:tc>
      </w:tr>
      <w:tr>
        <w:trPr>
          <w:trHeight w:val="25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0" w:type="dxa"/>
            <w:vAlign w:val="bottom"/>
          </w:tcPr>
          <w:p>
            <w:pPr>
              <w:spacing w:after="0"/>
              <w:rPr>
                <w:sz w:val="1"/>
                <w:szCs w:val="1"/>
                <w:color w:val="auto"/>
              </w:rPr>
            </w:pPr>
          </w:p>
        </w:tc>
      </w:tr>
      <w:tr>
        <w:trPr>
          <w:trHeight w:val="255"/>
        </w:trPr>
        <w:tc>
          <w:tcPr>
            <w:tcW w:w="814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2,584.4</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191260" cy="299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1260" cy="2997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40" w:type="dxa"/>
            <w:vAlign w:val="bottom"/>
          </w:tcPr>
          <w:p>
            <w:pPr>
              <w:spacing w:after="0"/>
              <w:rPr>
                <w:sz w:val="21"/>
                <w:szCs w:val="21"/>
                <w:color w:val="auto"/>
              </w:rPr>
            </w:pPr>
          </w:p>
        </w:tc>
        <w:tc>
          <w:tcPr>
            <w:tcW w:w="25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8"/>
        </w:trPr>
        <w:tc>
          <w:tcPr>
            <w:tcW w:w="48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March</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March</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51"/>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294.2</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160.9</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150.8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133.3</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32"/>
        </w:trPr>
        <w:tc>
          <w:tcPr>
            <w:tcW w:w="4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57"/>
        </w:trPr>
        <w:tc>
          <w:tcPr>
            <w:tcW w:w="484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Acquired intangibles amortization</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7"/>
        </w:trPr>
        <w:tc>
          <w:tcPr>
            <w:tcW w:w="4840" w:type="dxa"/>
            <w:vAlign w:val="bottom"/>
          </w:tcPr>
          <w:p>
            <w:pPr>
              <w:ind w:left="100"/>
              <w:spacing w:after="0"/>
              <w:rPr>
                <w:sz w:val="20"/>
                <w:szCs w:val="20"/>
                <w:color w:val="auto"/>
              </w:rPr>
            </w:pPr>
            <w:r>
              <w:rPr>
                <w:rFonts w:ascii="Arial" w:cs="Arial" w:eastAsia="Arial" w:hAnsi="Arial"/>
                <w:sz w:val="18"/>
                <w:szCs w:val="18"/>
                <w:color w:val="auto"/>
              </w:rPr>
              <w:t>Intangible asset impairment charges</w:t>
            </w:r>
          </w:p>
        </w:tc>
        <w:tc>
          <w:tcPr>
            <w:tcW w:w="96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Restructuring costs</w:t>
            </w:r>
          </w:p>
        </w:tc>
        <w:tc>
          <w:tcPr>
            <w:tcW w:w="9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146.0</w:t>
            </w:r>
          </w:p>
        </w:tc>
        <w:tc>
          <w:tcPr>
            <w:tcW w:w="1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142.1</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440.6</w:t>
            </w:r>
          </w:p>
        </w:tc>
        <w:tc>
          <w:tcPr>
            <w:tcW w:w="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55"/>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57"/>
        </w:trPr>
        <w:tc>
          <w:tcPr>
            <w:tcW w:w="4840" w:type="dxa"/>
            <w:vAlign w:val="bottom"/>
          </w:tcPr>
          <w:p>
            <w:pPr>
              <w:ind w:left="20"/>
              <w:spacing w:after="0"/>
              <w:rPr>
                <w:sz w:val="20"/>
                <w:szCs w:val="20"/>
                <w:color w:val="auto"/>
              </w:rPr>
            </w:pPr>
            <w:r>
              <w:rPr>
                <w:rFonts w:ascii="Arial" w:cs="Arial" w:eastAsia="Arial" w:hAnsi="Arial"/>
                <w:sz w:val="18"/>
                <w:szCs w:val="18"/>
                <w:color w:val="auto"/>
              </w:rPr>
              <w:t>Interest expense and other, net</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9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5"/>
        </w:trPr>
        <w:tc>
          <w:tcPr>
            <w:tcW w:w="4840" w:type="dxa"/>
            <w:vAlign w:val="bottom"/>
          </w:tcPr>
          <w:p>
            <w:pPr>
              <w:ind w:left="20"/>
              <w:spacing w:after="0"/>
              <w:rPr>
                <w:sz w:val="20"/>
                <w:szCs w:val="20"/>
                <w:color w:val="auto"/>
              </w:rPr>
            </w:pPr>
            <w:r>
              <w:rPr>
                <w:rFonts w:ascii="Arial" w:cs="Arial" w:eastAsia="Arial" w:hAnsi="Arial"/>
                <w:sz w:val="18"/>
                <w:szCs w:val="18"/>
                <w:color w:val="auto"/>
              </w:rPr>
              <w:t>Loss before benefit from income taxes</w:t>
            </w:r>
          </w:p>
        </w:tc>
        <w:tc>
          <w:tcPr>
            <w:tcW w:w="9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5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55"/>
        </w:trPr>
        <w:tc>
          <w:tcPr>
            <w:tcW w:w="4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40" w:type="dxa"/>
            <w:vAlign w:val="bottom"/>
          </w:tcPr>
          <w:p>
            <w:pPr>
              <w:ind w:left="10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in computing net loss per share: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4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40" w:type="dxa"/>
            <w:vAlign w:val="bottom"/>
          </w:tcPr>
          <w:p>
            <w:pPr>
              <w:ind w:left="10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191260" cy="299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91260" cy="2997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480" w:type="dxa"/>
            <w:vAlign w:val="bottom"/>
          </w:tcPr>
          <w:p>
            <w:pPr>
              <w:spacing w:after="0"/>
              <w:rPr>
                <w:sz w:val="21"/>
                <w:szCs w:val="21"/>
                <w:color w:val="auto"/>
              </w:rPr>
            </w:pPr>
          </w:p>
        </w:tc>
        <w:tc>
          <w:tcPr>
            <w:tcW w:w="2500" w:type="dxa"/>
            <w:vAlign w:val="bottom"/>
            <w:gridSpan w:val="5"/>
          </w:tcPr>
          <w:p>
            <w:pPr>
              <w:ind w:left="5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4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line="206" w:lineRule="exact"/>
              <w:rPr>
                <w:sz w:val="20"/>
                <w:szCs w:val="20"/>
                <w:color w:val="auto"/>
              </w:rPr>
            </w:pPr>
            <w:r>
              <w:rPr>
                <w:rFonts w:ascii="Arial" w:cs="Arial" w:eastAsia="Arial" w:hAnsi="Arial"/>
                <w:sz w:val="18"/>
                <w:szCs w:val="18"/>
                <w:b w:val="1"/>
                <w:bCs w:val="1"/>
                <w:color w:val="auto"/>
                <w:w w:val="99"/>
              </w:rPr>
              <w:t>Additional</w:t>
            </w:r>
          </w:p>
        </w:tc>
        <w:tc>
          <w:tcPr>
            <w:tcW w:w="160" w:type="dxa"/>
            <w:vAlign w:val="bottom"/>
          </w:tcPr>
          <w:p>
            <w:pPr>
              <w:spacing w:after="0"/>
              <w:rPr>
                <w:sz w:val="17"/>
                <w:szCs w:val="17"/>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Treasury</w:t>
            </w:r>
          </w:p>
        </w:tc>
        <w:tc>
          <w:tcPr>
            <w:tcW w:w="160" w:type="dxa"/>
            <w:vAlign w:val="bottom"/>
          </w:tcPr>
          <w:p>
            <w:pPr>
              <w:spacing w:after="0"/>
              <w:rPr>
                <w:sz w:val="17"/>
                <w:szCs w:val="17"/>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7"/>
                <w:szCs w:val="17"/>
                <w:color w:val="auto"/>
              </w:rPr>
            </w:pPr>
          </w:p>
        </w:tc>
        <w:tc>
          <w:tcPr>
            <w:tcW w:w="1360" w:type="dxa"/>
            <w:vAlign w:val="bottom"/>
          </w:tcPr>
          <w:p>
            <w:pPr>
              <w:jc w:val="center"/>
              <w:ind w:right="50"/>
              <w:spacing w:after="0" w:line="206"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Paid-In</w:t>
            </w: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48"/>
        </w:trPr>
        <w:tc>
          <w:tcPr>
            <w:tcW w:w="3480" w:type="dxa"/>
            <w:vAlign w:val="bottom"/>
          </w:tcPr>
          <w:p>
            <w:pPr>
              <w:spacing w:after="0"/>
              <w:rPr>
                <w:sz w:val="21"/>
                <w:szCs w:val="21"/>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Capital</w:t>
            </w:r>
          </w:p>
        </w:tc>
        <w:tc>
          <w:tcPr>
            <w:tcW w:w="16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51"/>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70,611,845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0" w:type="dxa"/>
            <w:vAlign w:val="bottom"/>
          </w:tcPr>
          <w:p>
            <w:pPr>
              <w:spacing w:after="0"/>
              <w:rPr>
                <w:sz w:val="1"/>
                <w:szCs w:val="1"/>
                <w:color w:val="auto"/>
              </w:rPr>
            </w:pPr>
          </w:p>
        </w:tc>
      </w:tr>
      <w:tr>
        <w:trPr>
          <w:trHeight w:val="252"/>
        </w:trPr>
        <w:tc>
          <w:tcPr>
            <w:tcW w:w="34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 for share-</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555,322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5"/>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based award compensation plans</w:t>
            </w: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80" w:type="dxa"/>
            <w:vAlign w:val="bottom"/>
          </w:tcPr>
          <w:p>
            <w:pPr>
              <w:ind w:left="140"/>
              <w:spacing w:after="0"/>
              <w:rPr>
                <w:sz w:val="20"/>
                <w:szCs w:val="20"/>
                <w:color w:val="auto"/>
              </w:rPr>
            </w:pPr>
            <w:r>
              <w:rPr>
                <w:rFonts w:ascii="Arial" w:cs="Arial" w:eastAsia="Arial" w:hAnsi="Arial"/>
                <w:sz w:val="18"/>
                <w:szCs w:val="18"/>
                <w:color w:val="auto"/>
              </w:rPr>
              <w:t>Payroll taxes related to net share</w:t>
            </w: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5"/>
        </w:trPr>
        <w:tc>
          <w:tcPr>
            <w:tcW w:w="3480" w:type="dxa"/>
            <w:vAlign w:val="bottom"/>
          </w:tcPr>
          <w:p>
            <w:pPr>
              <w:ind w:left="140"/>
              <w:spacing w:after="0"/>
              <w:rPr>
                <w:sz w:val="20"/>
                <w:szCs w:val="20"/>
                <w:color w:val="auto"/>
              </w:rPr>
            </w:pPr>
            <w:r>
              <w:rPr>
                <w:rFonts w:ascii="Arial" w:cs="Arial" w:eastAsia="Arial" w:hAnsi="Arial"/>
                <w:sz w:val="18"/>
                <w:szCs w:val="18"/>
                <w:color w:val="auto"/>
              </w:rPr>
              <w:t>settlement of share-based awards</w:t>
            </w:r>
          </w:p>
        </w:tc>
        <w:tc>
          <w:tcPr>
            <w:tcW w:w="12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repurchased, inclusive of</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5"/>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excise taxes</w:t>
            </w:r>
          </w:p>
        </w:tc>
        <w:tc>
          <w:tcPr>
            <w:tcW w:w="12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48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55"/>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71,167,167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1,400.6</w:t>
            </w:r>
          </w:p>
        </w:tc>
        <w:tc>
          <w:tcPr>
            <w:tcW w:w="0" w:type="dxa"/>
            <w:vAlign w:val="bottom"/>
          </w:tcPr>
          <w:p>
            <w:pPr>
              <w:spacing w:after="0"/>
              <w:rPr>
                <w:sz w:val="1"/>
                <w:szCs w:val="1"/>
                <w:color w:val="auto"/>
              </w:rPr>
            </w:pPr>
          </w:p>
        </w:tc>
      </w:tr>
      <w:tr>
        <w:trPr>
          <w:trHeight w:val="252"/>
        </w:trPr>
        <w:tc>
          <w:tcPr>
            <w:tcW w:w="34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 for share-</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based award compensation plans</w:t>
            </w: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80" w:type="dxa"/>
            <w:vAlign w:val="bottom"/>
          </w:tcPr>
          <w:p>
            <w:pPr>
              <w:ind w:left="120"/>
              <w:spacing w:after="0"/>
              <w:rPr>
                <w:sz w:val="20"/>
                <w:szCs w:val="20"/>
                <w:color w:val="auto"/>
              </w:rPr>
            </w:pPr>
            <w:r>
              <w:rPr>
                <w:rFonts w:ascii="Arial" w:cs="Arial" w:eastAsia="Arial" w:hAnsi="Arial"/>
                <w:sz w:val="18"/>
                <w:szCs w:val="18"/>
                <w:color w:val="auto"/>
              </w:rPr>
              <w:t>Payroll taxes related to net share</w:t>
            </w: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5"/>
        </w:trPr>
        <w:tc>
          <w:tcPr>
            <w:tcW w:w="3480" w:type="dxa"/>
            <w:vAlign w:val="bottom"/>
          </w:tcPr>
          <w:p>
            <w:pPr>
              <w:ind w:left="120"/>
              <w:spacing w:after="0"/>
              <w:rPr>
                <w:sz w:val="20"/>
                <w:szCs w:val="20"/>
                <w:color w:val="auto"/>
              </w:rPr>
            </w:pPr>
            <w:r>
              <w:rPr>
                <w:rFonts w:ascii="Arial" w:cs="Arial" w:eastAsia="Arial" w:hAnsi="Arial"/>
                <w:sz w:val="18"/>
                <w:szCs w:val="18"/>
                <w:color w:val="auto"/>
              </w:rPr>
              <w:t>settlement of share-based awards</w:t>
            </w:r>
          </w:p>
        </w:tc>
        <w:tc>
          <w:tcPr>
            <w:tcW w:w="12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repurchased, inclusive of</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5"/>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excise taxes</w:t>
            </w:r>
          </w:p>
        </w:tc>
        <w:tc>
          <w:tcPr>
            <w:tcW w:w="12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48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55"/>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71,333,767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1,383.8</w:t>
            </w:r>
          </w:p>
        </w:tc>
        <w:tc>
          <w:tcPr>
            <w:tcW w:w="0" w:type="dxa"/>
            <w:vAlign w:val="bottom"/>
          </w:tcPr>
          <w:p>
            <w:pPr>
              <w:spacing w:after="0"/>
              <w:rPr>
                <w:sz w:val="1"/>
                <w:szCs w:val="1"/>
                <w:color w:val="auto"/>
              </w:rPr>
            </w:pPr>
          </w:p>
        </w:tc>
      </w:tr>
      <w:tr>
        <w:trPr>
          <w:trHeight w:val="252"/>
        </w:trPr>
        <w:tc>
          <w:tcPr>
            <w:tcW w:w="34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 for share-</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544,314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based award compensation plans</w:t>
            </w: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80" w:type="dxa"/>
            <w:vAlign w:val="bottom"/>
          </w:tcPr>
          <w:p>
            <w:pPr>
              <w:ind w:left="120"/>
              <w:spacing w:after="0"/>
              <w:rPr>
                <w:sz w:val="20"/>
                <w:szCs w:val="20"/>
                <w:color w:val="auto"/>
              </w:rPr>
            </w:pPr>
            <w:r>
              <w:rPr>
                <w:rFonts w:ascii="Arial" w:cs="Arial" w:eastAsia="Arial" w:hAnsi="Arial"/>
                <w:sz w:val="18"/>
                <w:szCs w:val="18"/>
                <w:color w:val="auto"/>
              </w:rPr>
              <w:t>Payroll taxes related to net share</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5"/>
        </w:trPr>
        <w:tc>
          <w:tcPr>
            <w:tcW w:w="3480" w:type="dxa"/>
            <w:vAlign w:val="bottom"/>
          </w:tcPr>
          <w:p>
            <w:pPr>
              <w:ind w:left="120"/>
              <w:spacing w:after="0"/>
              <w:rPr>
                <w:sz w:val="20"/>
                <w:szCs w:val="20"/>
                <w:color w:val="auto"/>
              </w:rPr>
            </w:pPr>
            <w:r>
              <w:rPr>
                <w:rFonts w:ascii="Arial" w:cs="Arial" w:eastAsia="Arial" w:hAnsi="Arial"/>
                <w:sz w:val="18"/>
                <w:szCs w:val="18"/>
                <w:color w:val="auto"/>
              </w:rPr>
              <w:t>settlement of share-based awards</w:t>
            </w:r>
          </w:p>
        </w:tc>
        <w:tc>
          <w:tcPr>
            <w:tcW w:w="12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repurchased, inclusive of</w:t>
            </w: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5"/>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excise taxes</w:t>
            </w:r>
          </w:p>
        </w:tc>
        <w:tc>
          <w:tcPr>
            <w:tcW w:w="12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48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80"/>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2026</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71,878,081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-205105</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-205105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-2948305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-2948305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-4319905</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-4319905</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342265</wp:posOffset>
            </wp:positionV>
            <wp:extent cx="119126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3300" w:type="dxa"/>
        <w:tblCellMar>
          <w:top w:w="0" w:type="dxa"/>
          <w:left w:w="0" w:type="dxa"/>
          <w:bottom w:w="0" w:type="dxa"/>
          <w:right w:w="0" w:type="dxa"/>
        </w:tblCellMar>
      </w:tblPr>
      <w:tr>
        <w:trPr>
          <w:trHeight w:val="247"/>
        </w:trPr>
        <w:tc>
          <w:tcPr>
            <w:tcW w:w="232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Common Stock</w:t>
            </w: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9"/>
              </w:rPr>
              <w:t>Additional</w:t>
            </w:r>
          </w:p>
        </w:tc>
        <w:tc>
          <w:tcPr>
            <w:tcW w:w="12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7"/>
              </w:rPr>
              <w:t>Treasury</w:t>
            </w:r>
          </w:p>
        </w:tc>
        <w:tc>
          <w:tcPr>
            <w:tcW w:w="1380" w:type="dxa"/>
            <w:vAlign w:val="bottom"/>
          </w:tcPr>
          <w:p>
            <w:pPr>
              <w:spacing w:after="0"/>
              <w:rPr>
                <w:sz w:val="17"/>
                <w:szCs w:val="17"/>
                <w:color w:val="auto"/>
              </w:rPr>
            </w:pPr>
          </w:p>
        </w:tc>
        <w:tc>
          <w:tcPr>
            <w:tcW w:w="1500" w:type="dxa"/>
            <w:vAlign w:val="bottom"/>
          </w:tcPr>
          <w:p>
            <w:pPr>
              <w:jc w:val="center"/>
              <w:ind w:left="230"/>
              <w:spacing w:after="0" w:line="206"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Paid-In</w:t>
            </w:r>
          </w:p>
        </w:tc>
        <w:tc>
          <w:tcPr>
            <w:tcW w:w="1240" w:type="dxa"/>
            <w:vAlign w:val="bottom"/>
            <w:vMerge w:val="continue"/>
          </w:tcPr>
          <w:p>
            <w:pPr>
              <w:spacing w:after="0"/>
              <w:rPr>
                <w:sz w:val="17"/>
                <w:szCs w:val="17"/>
                <w:color w:val="auto"/>
              </w:rPr>
            </w:pPr>
          </w:p>
        </w:tc>
        <w:tc>
          <w:tcPr>
            <w:tcW w:w="138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Retained</w:t>
            </w:r>
          </w:p>
        </w:tc>
        <w:tc>
          <w:tcPr>
            <w:tcW w:w="1500" w:type="dxa"/>
            <w:vAlign w:val="bottom"/>
          </w:tcPr>
          <w:p>
            <w:pPr>
              <w:jc w:val="center"/>
              <w:ind w:left="230"/>
              <w:spacing w:after="0" w:line="202"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60"/>
        </w:trPr>
        <w:tc>
          <w:tcPr>
            <w:tcW w:w="1140" w:type="dxa"/>
            <w:vAlign w:val="bottom"/>
          </w:tcPr>
          <w:p>
            <w:pPr>
              <w:ind w:left="260"/>
              <w:spacing w:after="0"/>
              <w:rPr>
                <w:sz w:val="20"/>
                <w:szCs w:val="20"/>
                <w:color w:val="auto"/>
              </w:rPr>
            </w:pPr>
            <w:r>
              <w:rPr>
                <w:rFonts w:ascii="Arial" w:cs="Arial" w:eastAsia="Arial" w:hAnsi="Arial"/>
                <w:sz w:val="18"/>
                <w:szCs w:val="18"/>
                <w:b w:val="1"/>
                <w:bCs w:val="1"/>
                <w:color w:val="auto"/>
              </w:rPr>
              <w:t>Shares</w:t>
            </w:r>
          </w:p>
        </w:tc>
        <w:tc>
          <w:tcPr>
            <w:tcW w:w="1180" w:type="dxa"/>
            <w:vAlign w:val="bottom"/>
          </w:tcPr>
          <w:p>
            <w:pPr>
              <w:ind w:left="280"/>
              <w:spacing w:after="0"/>
              <w:rPr>
                <w:sz w:val="20"/>
                <w:szCs w:val="20"/>
                <w:color w:val="auto"/>
              </w:rPr>
            </w:pPr>
            <w:r>
              <w:rPr>
                <w:rFonts w:ascii="Arial" w:cs="Arial" w:eastAsia="Arial" w:hAnsi="Arial"/>
                <w:sz w:val="18"/>
                <w:szCs w:val="18"/>
                <w:b w:val="1"/>
                <w:bCs w:val="1"/>
                <w:color w:val="auto"/>
              </w:rPr>
              <w:t>Amount</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rPr>
              <w:t>Stock</w:t>
            </w:r>
          </w:p>
        </w:tc>
        <w:tc>
          <w:tcPr>
            <w:tcW w:w="1380" w:type="dxa"/>
            <w:vAlign w:val="bottom"/>
          </w:tcPr>
          <w:p>
            <w:pPr>
              <w:ind w:left="300"/>
              <w:spacing w:after="0"/>
              <w:rPr>
                <w:sz w:val="20"/>
                <w:szCs w:val="20"/>
                <w:color w:val="auto"/>
              </w:rPr>
            </w:pPr>
            <w:r>
              <w:rPr>
                <w:rFonts w:ascii="Arial" w:cs="Arial" w:eastAsia="Arial" w:hAnsi="Arial"/>
                <w:sz w:val="18"/>
                <w:szCs w:val="18"/>
                <w:b w:val="1"/>
                <w:bCs w:val="1"/>
                <w:color w:val="auto"/>
              </w:rPr>
              <w:t>Earnings</w:t>
            </w:r>
          </w:p>
        </w:tc>
        <w:tc>
          <w:tcPr>
            <w:tcW w:w="1500" w:type="dxa"/>
            <w:vAlign w:val="bottom"/>
          </w:tcPr>
          <w:p>
            <w:pPr>
              <w:jc w:val="center"/>
              <w:ind w:left="2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280" w:type="dxa"/>
            <w:vAlign w:val="bottom"/>
          </w:tcPr>
          <w:p>
            <w:pPr>
              <w:spacing w:after="0"/>
              <w:rPr>
                <w:sz w:val="20"/>
                <w:szCs w:val="20"/>
                <w:color w:val="auto"/>
              </w:rPr>
            </w:pPr>
            <w:r>
              <w:rPr>
                <w:rFonts w:ascii="Arial" w:cs="Arial" w:eastAsia="Arial" w:hAnsi="Arial"/>
                <w:sz w:val="18"/>
                <w:szCs w:val="18"/>
                <w:color w:val="auto"/>
              </w:rPr>
              <w:t>Balance at June 2024</w:t>
            </w:r>
          </w:p>
        </w:tc>
        <w:tc>
          <w:tcPr>
            <w:tcW w:w="1100" w:type="dxa"/>
            <w:vAlign w:val="bottom"/>
          </w:tcPr>
          <w:p>
            <w:pPr>
              <w:jc w:val="right"/>
              <w:spacing w:after="0"/>
              <w:rPr>
                <w:sz w:val="20"/>
                <w:szCs w:val="20"/>
                <w:color w:val="auto"/>
              </w:rPr>
            </w:pPr>
            <w:r>
              <w:rPr>
                <w:rFonts w:ascii="Arial" w:cs="Arial" w:eastAsia="Arial" w:hAnsi="Arial"/>
                <w:sz w:val="18"/>
                <w:szCs w:val="18"/>
                <w:color w:val="auto"/>
              </w:rPr>
              <w:t>69,683,991</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20"/>
              <w:spacing w:after="0"/>
              <w:rPr>
                <w:sz w:val="20"/>
                <w:szCs w:val="20"/>
                <w:color w:val="auto"/>
              </w:rPr>
            </w:pPr>
            <w:r>
              <w:rPr>
                <w:rFonts w:ascii="Arial" w:cs="Arial" w:eastAsia="Arial" w:hAnsi="Arial"/>
                <w:sz w:val="18"/>
                <w:szCs w:val="18"/>
                <w:color w:val="auto"/>
              </w:rPr>
              <w:t>Issuance of common stock for share-</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481,580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120"/>
              <w:spacing w:after="0"/>
              <w:rPr>
                <w:sz w:val="20"/>
                <w:szCs w:val="20"/>
                <w:color w:val="auto"/>
              </w:rPr>
            </w:pPr>
            <w:r>
              <w:rPr>
                <w:rFonts w:ascii="Arial" w:cs="Arial" w:eastAsia="Arial" w:hAnsi="Arial"/>
                <w:sz w:val="18"/>
                <w:szCs w:val="18"/>
                <w:color w:val="auto"/>
              </w:rPr>
              <w:t>based award compensation plans</w:t>
            </w: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20"/>
              <w:spacing w:after="0"/>
              <w:rPr>
                <w:sz w:val="20"/>
                <w:szCs w:val="20"/>
                <w:color w:val="auto"/>
              </w:rPr>
            </w:pPr>
            <w:r>
              <w:rPr>
                <w:rFonts w:ascii="Arial" w:cs="Arial" w:eastAsia="Arial" w:hAnsi="Arial"/>
                <w:sz w:val="18"/>
                <w:szCs w:val="18"/>
                <w:color w:val="auto"/>
              </w:rPr>
              <w:t>Payroll taxes related to net share</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120"/>
              <w:spacing w:after="0"/>
              <w:rPr>
                <w:sz w:val="20"/>
                <w:szCs w:val="20"/>
                <w:color w:val="auto"/>
              </w:rPr>
            </w:pPr>
            <w:r>
              <w:rPr>
                <w:rFonts w:ascii="Arial" w:cs="Arial" w:eastAsia="Arial" w:hAnsi="Arial"/>
                <w:sz w:val="18"/>
                <w:szCs w:val="18"/>
                <w:color w:val="auto"/>
              </w:rPr>
              <w:t>settlement of share-based awards</w:t>
            </w:r>
          </w:p>
        </w:tc>
        <w:tc>
          <w:tcPr>
            <w:tcW w:w="120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28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280" w:type="dxa"/>
            <w:vAlign w:val="bottom"/>
          </w:tcPr>
          <w:p>
            <w:pPr>
              <w:spacing w:after="0"/>
              <w:rPr>
                <w:sz w:val="20"/>
                <w:szCs w:val="20"/>
                <w:color w:val="auto"/>
              </w:rPr>
            </w:pPr>
            <w:r>
              <w:rPr>
                <w:rFonts w:ascii="Arial" w:cs="Arial" w:eastAsia="Arial" w:hAnsi="Arial"/>
                <w:sz w:val="18"/>
                <w:szCs w:val="18"/>
                <w:color w:val="auto"/>
              </w:rPr>
              <w:t>Balance at September 2024</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70,165,571</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40"/>
              <w:spacing w:after="0"/>
              <w:rPr>
                <w:sz w:val="20"/>
                <w:szCs w:val="20"/>
                <w:color w:val="auto"/>
              </w:rPr>
            </w:pPr>
            <w:r>
              <w:rPr>
                <w:rFonts w:ascii="Arial" w:cs="Arial" w:eastAsia="Arial" w:hAnsi="Arial"/>
                <w:sz w:val="18"/>
                <w:szCs w:val="18"/>
                <w:color w:val="auto"/>
              </w:rPr>
              <w:t>Issuance of common stock for share-</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115,729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40"/>
              <w:spacing w:after="0"/>
              <w:rPr>
                <w:sz w:val="20"/>
                <w:szCs w:val="20"/>
                <w:color w:val="auto"/>
              </w:rPr>
            </w:pPr>
            <w:r>
              <w:rPr>
                <w:rFonts w:ascii="Arial" w:cs="Arial" w:eastAsia="Arial" w:hAnsi="Arial"/>
                <w:sz w:val="18"/>
                <w:szCs w:val="18"/>
                <w:color w:val="auto"/>
              </w:rPr>
              <w:t>based award compensation plans</w:t>
            </w: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40"/>
              <w:spacing w:after="0"/>
              <w:rPr>
                <w:sz w:val="20"/>
                <w:szCs w:val="20"/>
                <w:color w:val="auto"/>
              </w:rPr>
            </w:pPr>
            <w:r>
              <w:rPr>
                <w:rFonts w:ascii="Arial" w:cs="Arial" w:eastAsia="Arial" w:hAnsi="Arial"/>
                <w:sz w:val="18"/>
                <w:szCs w:val="18"/>
                <w:color w:val="auto"/>
              </w:rPr>
              <w:t>Payroll taxes related to net share</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40"/>
              <w:spacing w:after="0"/>
              <w:rPr>
                <w:sz w:val="20"/>
                <w:szCs w:val="20"/>
                <w:color w:val="auto"/>
              </w:rPr>
            </w:pPr>
            <w:r>
              <w:rPr>
                <w:rFonts w:ascii="Arial" w:cs="Arial" w:eastAsia="Arial" w:hAnsi="Arial"/>
                <w:sz w:val="18"/>
                <w:szCs w:val="18"/>
                <w:color w:val="auto"/>
              </w:rPr>
              <w:t>settlement of share-based awards</w:t>
            </w:r>
          </w:p>
        </w:tc>
        <w:tc>
          <w:tcPr>
            <w:tcW w:w="120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40"/>
              <w:spacing w:after="0"/>
              <w:rPr>
                <w:sz w:val="20"/>
                <w:szCs w:val="20"/>
                <w:color w:val="auto"/>
              </w:rPr>
            </w:pPr>
            <w:r>
              <w:rPr>
                <w:rFonts w:ascii="Arial" w:cs="Arial" w:eastAsia="Arial" w:hAnsi="Arial"/>
                <w:sz w:val="18"/>
                <w:szCs w:val="18"/>
                <w:color w:val="auto"/>
              </w:rPr>
              <w:t>Common stock repurchased, inclusive</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40"/>
              <w:spacing w:after="0"/>
              <w:rPr>
                <w:sz w:val="20"/>
                <w:szCs w:val="20"/>
                <w:color w:val="auto"/>
              </w:rPr>
            </w:pPr>
            <w:r>
              <w:rPr>
                <w:rFonts w:ascii="Arial" w:cs="Arial" w:eastAsia="Arial" w:hAnsi="Arial"/>
                <w:sz w:val="18"/>
                <w:szCs w:val="18"/>
                <w:color w:val="auto"/>
              </w:rPr>
              <w:t>of excise taxes</w:t>
            </w:r>
          </w:p>
        </w:tc>
        <w:tc>
          <w:tcPr>
            <w:tcW w:w="120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00"/>
              <w:spacing w:after="0"/>
              <w:rPr>
                <w:sz w:val="20"/>
                <w:szCs w:val="20"/>
                <w:color w:val="auto"/>
              </w:rPr>
            </w:pPr>
            <w:r>
              <w:rPr>
                <w:rFonts w:ascii="Arial" w:cs="Arial" w:eastAsia="Arial" w:hAnsi="Arial"/>
                <w:sz w:val="18"/>
                <w:szCs w:val="18"/>
                <w:color w:val="auto"/>
              </w:rPr>
              <w:t>Purchase of capped calls related to the</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100"/>
              <w:spacing w:after="0"/>
              <w:rPr>
                <w:sz w:val="20"/>
                <w:szCs w:val="20"/>
                <w:color w:val="auto"/>
              </w:rPr>
            </w:pPr>
            <w:r>
              <w:rPr>
                <w:rFonts w:ascii="Arial" w:cs="Arial" w:eastAsia="Arial" w:hAnsi="Arial"/>
                <w:sz w:val="18"/>
                <w:szCs w:val="18"/>
                <w:color w:val="auto"/>
              </w:rPr>
              <w:t>convertible senior notes</w:t>
            </w:r>
          </w:p>
        </w:tc>
        <w:tc>
          <w:tcPr>
            <w:tcW w:w="120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28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280" w:type="dxa"/>
            <w:vAlign w:val="bottom"/>
          </w:tcPr>
          <w:p>
            <w:pPr>
              <w:spacing w:after="0"/>
              <w:rPr>
                <w:sz w:val="20"/>
                <w:szCs w:val="20"/>
                <w:color w:val="auto"/>
              </w:rPr>
            </w:pPr>
            <w:r>
              <w:rPr>
                <w:rFonts w:ascii="Arial" w:cs="Arial" w:eastAsia="Arial" w:hAnsi="Arial"/>
                <w:sz w:val="18"/>
                <w:szCs w:val="18"/>
                <w:color w:val="auto"/>
              </w:rPr>
              <w:t>Balance at December 2024</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70,281,300</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8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00"/>
              <w:spacing w:after="0"/>
              <w:rPr>
                <w:sz w:val="20"/>
                <w:szCs w:val="20"/>
                <w:color w:val="auto"/>
              </w:rPr>
            </w:pPr>
            <w:r>
              <w:rPr>
                <w:rFonts w:ascii="Arial" w:cs="Arial" w:eastAsia="Arial" w:hAnsi="Arial"/>
                <w:sz w:val="18"/>
                <w:szCs w:val="18"/>
                <w:color w:val="auto"/>
              </w:rPr>
              <w:t>Issuance of common stock for share-</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222,890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100"/>
              <w:spacing w:after="0"/>
              <w:rPr>
                <w:sz w:val="20"/>
                <w:szCs w:val="20"/>
                <w:color w:val="auto"/>
              </w:rPr>
            </w:pPr>
            <w:r>
              <w:rPr>
                <w:rFonts w:ascii="Arial" w:cs="Arial" w:eastAsia="Arial" w:hAnsi="Arial"/>
                <w:sz w:val="18"/>
                <w:szCs w:val="18"/>
                <w:color w:val="auto"/>
              </w:rPr>
              <w:t>based award compensation plans</w:t>
            </w: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00"/>
              <w:spacing w:after="0"/>
              <w:rPr>
                <w:sz w:val="20"/>
                <w:szCs w:val="20"/>
                <w:color w:val="auto"/>
              </w:rPr>
            </w:pPr>
            <w:r>
              <w:rPr>
                <w:rFonts w:ascii="Arial" w:cs="Arial" w:eastAsia="Arial" w:hAnsi="Arial"/>
                <w:sz w:val="18"/>
                <w:szCs w:val="18"/>
                <w:color w:val="auto"/>
              </w:rPr>
              <w:t>Payroll taxes related to net share</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100"/>
              <w:spacing w:after="0"/>
              <w:rPr>
                <w:sz w:val="20"/>
                <w:szCs w:val="20"/>
                <w:color w:val="auto"/>
              </w:rPr>
            </w:pPr>
            <w:r>
              <w:rPr>
                <w:rFonts w:ascii="Arial" w:cs="Arial" w:eastAsia="Arial" w:hAnsi="Arial"/>
                <w:sz w:val="18"/>
                <w:szCs w:val="18"/>
                <w:color w:val="auto"/>
              </w:rPr>
              <w:t>settlement of share-based awards</w:t>
            </w:r>
          </w:p>
        </w:tc>
        <w:tc>
          <w:tcPr>
            <w:tcW w:w="120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00"/>
              <w:spacing w:after="0"/>
              <w:rPr>
                <w:sz w:val="20"/>
                <w:szCs w:val="20"/>
                <w:color w:val="auto"/>
              </w:rPr>
            </w:pPr>
            <w:r>
              <w:rPr>
                <w:rFonts w:ascii="Arial" w:cs="Arial" w:eastAsia="Arial" w:hAnsi="Arial"/>
                <w:sz w:val="18"/>
                <w:szCs w:val="18"/>
                <w:color w:val="auto"/>
              </w:rPr>
              <w:t>Common stock repurchased, inclusive</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100"/>
              <w:spacing w:after="0"/>
              <w:rPr>
                <w:sz w:val="20"/>
                <w:szCs w:val="20"/>
                <w:color w:val="auto"/>
              </w:rPr>
            </w:pPr>
            <w:r>
              <w:rPr>
                <w:rFonts w:ascii="Arial" w:cs="Arial" w:eastAsia="Arial" w:hAnsi="Arial"/>
                <w:sz w:val="18"/>
                <w:szCs w:val="18"/>
                <w:color w:val="auto"/>
              </w:rPr>
              <w:t>of excise tax</w:t>
            </w:r>
          </w:p>
        </w:tc>
        <w:tc>
          <w:tcPr>
            <w:tcW w:w="120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00"/>
              <w:spacing w:after="0"/>
              <w:rPr>
                <w:sz w:val="20"/>
                <w:szCs w:val="20"/>
                <w:color w:val="auto"/>
              </w:rPr>
            </w:pPr>
            <w:r>
              <w:rPr>
                <w:rFonts w:ascii="Arial" w:cs="Arial" w:eastAsia="Arial" w:hAnsi="Arial"/>
                <w:sz w:val="18"/>
                <w:szCs w:val="18"/>
                <w:color w:val="auto"/>
              </w:rPr>
              <w:t>Share-based compensation attributable</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100"/>
              <w:spacing w:after="0"/>
              <w:rPr>
                <w:sz w:val="20"/>
                <w:szCs w:val="20"/>
                <w:color w:val="auto"/>
              </w:rPr>
            </w:pPr>
            <w:r>
              <w:rPr>
                <w:rFonts w:ascii="Arial" w:cs="Arial" w:eastAsia="Arial" w:hAnsi="Arial"/>
                <w:sz w:val="18"/>
                <w:szCs w:val="18"/>
                <w:color w:val="auto"/>
              </w:rPr>
              <w:t>to acquisition</w:t>
            </w:r>
          </w:p>
        </w:tc>
        <w:tc>
          <w:tcPr>
            <w:tcW w:w="120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0"/>
                <w:szCs w:val="20"/>
                <w:color w:val="auto"/>
              </w:rPr>
            </w:pPr>
            <w:r>
              <w:rPr>
                <w:rFonts w:ascii="Arial" w:cs="Arial" w:eastAsia="Arial" w:hAnsi="Arial"/>
                <w:sz w:val="18"/>
                <w:szCs w:val="18"/>
                <w:color w:val="auto"/>
              </w:rPr>
              <w:t>Balance at March 2025</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70,504,190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-4276725</wp:posOffset>
            </wp:positionV>
            <wp:extent cx="713232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-3693795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-3359785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-2905125</wp:posOffset>
            </wp:positionV>
            <wp:extent cx="713232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-2322195</wp:posOffset>
            </wp:positionV>
            <wp:extent cx="7132320"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-1533525</wp:posOffset>
            </wp:positionV>
            <wp:extent cx="713232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780" w:type="dxa"/>
            <w:vAlign w:val="bottom"/>
          </w:tcPr>
          <w:p>
            <w:pPr>
              <w:jc w:val="right"/>
              <w:ind w:right="90"/>
              <w:spacing w:after="0"/>
              <w:rPr>
                <w:sz w:val="20"/>
                <w:szCs w:val="20"/>
                <w:color w:val="auto"/>
              </w:rPr>
            </w:pPr>
            <w:r>
              <w:rPr>
                <w:rFonts w:ascii="Arial" w:cs="Arial" w:eastAsia="Arial" w:hAnsi="Arial"/>
                <w:sz w:val="18"/>
                <w:szCs w:val="18"/>
                <w:color w:val="auto"/>
                <w:w w:val="96"/>
              </w:rPr>
              <w:t>1,107.0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1,237.7</w:t>
            </w:r>
          </w:p>
        </w:tc>
        <w:tc>
          <w:tcPr>
            <w:tcW w:w="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1,466.8</w:t>
            </w:r>
          </w:p>
        </w:tc>
      </w:tr>
      <w:tr>
        <w:trPr>
          <w:trHeight w:val="257"/>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459"/>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59"/>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59"/>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47"/>
        </w:trPr>
        <w:tc>
          <w:tcPr>
            <w:tcW w:w="780" w:type="dxa"/>
            <w:vAlign w:val="bottom"/>
          </w:tcPr>
          <w:p>
            <w:pPr>
              <w:jc w:val="right"/>
              <w:ind w:right="90"/>
              <w:spacing w:after="0"/>
              <w:rPr>
                <w:sz w:val="20"/>
                <w:szCs w:val="20"/>
                <w:color w:val="auto"/>
              </w:rPr>
            </w:pPr>
            <w:r>
              <w:rPr>
                <w:rFonts w:ascii="Arial" w:cs="Arial" w:eastAsia="Arial" w:hAnsi="Arial"/>
                <w:sz w:val="18"/>
                <w:szCs w:val="18"/>
                <w:color w:val="auto"/>
                <w:w w:val="96"/>
              </w:rPr>
              <w:t>1,130.6</w:t>
            </w:r>
          </w:p>
        </w:tc>
        <w:tc>
          <w:tcPr>
            <w:tcW w:w="3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1,214.6</w:t>
            </w:r>
          </w:p>
        </w:tc>
        <w:tc>
          <w:tcPr>
            <w:tcW w:w="8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1,467.3</w:t>
            </w:r>
          </w:p>
        </w:tc>
      </w:tr>
      <w:tr>
        <w:trPr>
          <w:trHeight w:val="257"/>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59"/>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9"/>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459"/>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(49.9)</w:t>
            </w:r>
          </w:p>
        </w:tc>
        <w:tc>
          <w:tcPr>
            <w:tcW w:w="320" w:type="dxa"/>
            <w:vAlign w:val="bottom"/>
          </w:tcPr>
          <w:p>
            <w:pPr>
              <w:spacing w:after="0"/>
              <w:rPr>
                <w:sz w:val="24"/>
                <w:szCs w:val="24"/>
                <w:color w:val="auto"/>
              </w:rPr>
            </w:pP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60"/>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47"/>
        </w:trPr>
        <w:tc>
          <w:tcPr>
            <w:tcW w:w="780" w:type="dxa"/>
            <w:vAlign w:val="bottom"/>
          </w:tcPr>
          <w:p>
            <w:pPr>
              <w:jc w:val="right"/>
              <w:ind w:right="90"/>
              <w:spacing w:after="0"/>
              <w:rPr>
                <w:sz w:val="20"/>
                <w:szCs w:val="20"/>
                <w:color w:val="auto"/>
              </w:rPr>
            </w:pPr>
            <w:r>
              <w:rPr>
                <w:rFonts w:ascii="Arial" w:cs="Arial" w:eastAsia="Arial" w:hAnsi="Arial"/>
                <w:sz w:val="18"/>
                <w:szCs w:val="18"/>
                <w:color w:val="auto"/>
                <w:w w:val="96"/>
              </w:rPr>
              <w:t>1,112.3</w:t>
            </w:r>
          </w:p>
        </w:tc>
        <w:tc>
          <w:tcPr>
            <w:tcW w:w="3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1,216.4</w:t>
            </w:r>
          </w:p>
        </w:tc>
        <w:tc>
          <w:tcPr>
            <w:tcW w:w="8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1,376.1</w:t>
            </w:r>
          </w:p>
        </w:tc>
      </w:tr>
      <w:tr>
        <w:trPr>
          <w:trHeight w:val="256"/>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459"/>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59"/>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59"/>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459"/>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47.6</w:t>
            </w:r>
          </w:p>
        </w:tc>
        <w:tc>
          <w:tcPr>
            <w:tcW w:w="32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60"/>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52"/>
        </w:trPr>
        <w:tc>
          <w:tcPr>
            <w:tcW w:w="780" w:type="dxa"/>
            <w:vAlign w:val="bottom"/>
          </w:tcPr>
          <w:p>
            <w:pPr>
              <w:jc w:val="right"/>
              <w:ind w:right="90"/>
              <w:spacing w:after="0"/>
              <w:rPr>
                <w:sz w:val="20"/>
                <w:szCs w:val="20"/>
                <w:color w:val="auto"/>
              </w:rPr>
            </w:pPr>
            <w:r>
              <w:rPr>
                <w:rFonts w:ascii="Arial" w:cs="Arial" w:eastAsia="Arial" w:hAnsi="Arial"/>
                <w:sz w:val="18"/>
                <w:szCs w:val="18"/>
                <w:color w:val="auto"/>
                <w:w w:val="96"/>
              </w:rPr>
              <w:t>1,183.1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(990.8)</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1,194.6</w:t>
            </w:r>
          </w:p>
        </w:tc>
        <w:tc>
          <w:tcPr>
            <w:tcW w:w="8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1,387.0</w:t>
            </w:r>
          </w:p>
        </w:tc>
      </w:tr>
      <w:tr>
        <w:trPr>
          <w:trHeight w:val="25"/>
        </w:trPr>
        <w:tc>
          <w:tcPr>
            <w:tcW w:w="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-33655</wp:posOffset>
            </wp:positionV>
            <wp:extent cx="7112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-7620</wp:posOffset>
            </wp:positionV>
            <wp:extent cx="7112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-205105</wp:posOffset>
            </wp:positionV>
            <wp:extent cx="7112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-3531235</wp:posOffset>
            </wp:positionV>
            <wp:extent cx="711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320"/>
            <w:col w:w="5100"/>
          </w:cols>
          <w:pgMar w:left="320" w:top="108" w:right="339" w:bottom="1440" w:gutter="0" w:footer="0" w:header="0"/>
          <w:type w:val="continuous"/>
        </w:sectPr>
      </w:pP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67945</wp:posOffset>
            </wp:positionV>
            <wp:extent cx="119126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325"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254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Pr>
          <w:p>
            <w:pPr>
              <w:spacing w:after="0"/>
              <w:rPr>
                <w:sz w:val="18"/>
                <w:szCs w:val="18"/>
                <w:color w:val="auto"/>
              </w:rPr>
            </w:pPr>
          </w:p>
        </w:tc>
      </w:tr>
      <w:tr>
        <w:trPr>
          <w:trHeight w:val="217"/>
        </w:trPr>
        <w:tc>
          <w:tcPr>
            <w:tcW w:w="81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March</w:t>
            </w:r>
          </w:p>
        </w:tc>
        <w:tc>
          <w:tcPr>
            <w:tcW w:w="560" w:type="dxa"/>
            <w:vAlign w:val="bottom"/>
            <w:tcBorders>
              <w:bottom w:val="single" w:sz="8" w:color="auto"/>
            </w:tcBorders>
          </w:tcPr>
          <w:p>
            <w:pPr>
              <w:spacing w:after="0"/>
              <w:rPr>
                <w:sz w:val="18"/>
                <w:szCs w:val="18"/>
                <w:color w:val="auto"/>
              </w:rPr>
            </w:pPr>
          </w:p>
        </w:tc>
      </w:tr>
      <w:tr>
        <w:trPr>
          <w:trHeight w:val="216"/>
        </w:trPr>
        <w:tc>
          <w:tcPr>
            <w:tcW w:w="8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8"/>
                <w:szCs w:val="18"/>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(43.1)</w:t>
            </w: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215"/>
        </w:trPr>
        <w:tc>
          <w:tcPr>
            <w:tcW w:w="8140" w:type="dxa"/>
            <w:vAlign w:val="bottom"/>
          </w:tcPr>
          <w:p>
            <w:pPr>
              <w:ind w:left="26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81.7</w:t>
            </w: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Depreciation</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5"/>
        </w:trPr>
        <w:tc>
          <w:tcPr>
            <w:tcW w:w="8140" w:type="dxa"/>
            <w:vAlign w:val="bottom"/>
          </w:tcPr>
          <w:p>
            <w:pPr>
              <w:ind w:left="260"/>
              <w:spacing w:after="0"/>
              <w:rPr>
                <w:sz w:val="20"/>
                <w:szCs w:val="20"/>
                <w:color w:val="auto"/>
              </w:rPr>
            </w:pPr>
            <w:r>
              <w:rPr>
                <w:rFonts w:ascii="Arial" w:cs="Arial" w:eastAsia="Arial" w:hAnsi="Arial"/>
                <w:sz w:val="16"/>
                <w:szCs w:val="16"/>
                <w:color w:val="auto"/>
              </w:rPr>
              <w:t>Acquired intangible assets amortization</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80.2</w:t>
            </w: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Deferred taxes</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15"/>
        </w:trPr>
        <w:tc>
          <w:tcPr>
            <w:tcW w:w="8140" w:type="dxa"/>
            <w:vAlign w:val="bottom"/>
          </w:tcPr>
          <w:p>
            <w:pPr>
              <w:ind w:left="26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Intangible asset impairment charges</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5"/>
        </w:trPr>
        <w:tc>
          <w:tcPr>
            <w:tcW w:w="814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 net of acquisitions: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5"/>
        </w:trPr>
        <w:tc>
          <w:tcPr>
            <w:tcW w:w="8140" w:type="dxa"/>
            <w:vAlign w:val="bottom"/>
          </w:tcPr>
          <w:p>
            <w:pPr>
              <w:ind w:left="380"/>
              <w:spacing w:after="0"/>
              <w:rPr>
                <w:sz w:val="20"/>
                <w:szCs w:val="20"/>
                <w:color w:val="auto"/>
              </w:rPr>
            </w:pPr>
            <w:r>
              <w:rPr>
                <w:rFonts w:ascii="Arial" w:cs="Arial" w:eastAsia="Arial" w:hAnsi="Arial"/>
                <w:sz w:val="16"/>
                <w:szCs w:val="16"/>
                <w:color w:val="auto"/>
              </w:rPr>
              <w:t>Inventories, net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and non-current assets</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15"/>
        </w:trPr>
        <w:tc>
          <w:tcPr>
            <w:tcW w:w="81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08"/>
        </w:trPr>
        <w:tc>
          <w:tcPr>
            <w:tcW w:w="81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84.8</w:t>
            </w:r>
          </w:p>
        </w:tc>
      </w:tr>
      <w:tr>
        <w:trPr>
          <w:trHeight w:val="28"/>
        </w:trPr>
        <w:tc>
          <w:tcPr>
            <w:tcW w:w="8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215"/>
        </w:trPr>
        <w:tc>
          <w:tcPr>
            <w:tcW w:w="8140" w:type="dxa"/>
            <w:vAlign w:val="bottom"/>
          </w:tcPr>
          <w:p>
            <w:pPr>
              <w:ind w:left="100"/>
              <w:spacing w:after="0"/>
              <w:rPr>
                <w:sz w:val="20"/>
                <w:szCs w:val="20"/>
                <w:color w:val="auto"/>
              </w:rPr>
            </w:pPr>
            <w:r>
              <w:rPr>
                <w:rFonts w:ascii="Arial" w:cs="Arial" w:eastAsia="Arial" w:hAnsi="Arial"/>
                <w:sz w:val="16"/>
                <w:szCs w:val="16"/>
                <w:color w:val="auto"/>
              </w:rPr>
              <w:t>Acquisition of business, net of cash and cash equivalents acquired</w:t>
            </w: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(198.8)</w:t>
            </w: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Purchases of short-term investments</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w:t>
            </w: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maturities of investments</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Purchase of intangible assets</w:t>
            </w: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8"/>
        </w:trPr>
        <w:tc>
          <w:tcPr>
            <w:tcW w:w="8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(289.0)</w:t>
            </w:r>
          </w:p>
        </w:tc>
      </w:tr>
      <w:tr>
        <w:trPr>
          <w:trHeight w:val="20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r>
      <w:tr>
        <w:trPr>
          <w:trHeight w:val="20"/>
        </w:trPr>
        <w:tc>
          <w:tcPr>
            <w:tcW w:w="8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from issuance of convertible senior notes, net of issuance costs</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439.5</w:t>
            </w: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Payment of debt issuance costs on convertible senior notes and revolving credit facility</w:t>
            </w: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Payments for capped call transactions related to the convertible senior notes</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Repurchases of common stock, excluding excise taxes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(112.3)</w:t>
            </w: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from issuance of shares</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Payroll taxes related to net share settlement of share-based awards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Repayment of debt</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(583.5)</w:t>
            </w: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Return of deposit received from vendor</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8"/>
        </w:trPr>
        <w:tc>
          <w:tcPr>
            <w:tcW w:w="814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(313.0)</w:t>
            </w:r>
          </w:p>
        </w:tc>
      </w:tr>
      <w:tr>
        <w:trPr>
          <w:trHeight w:val="28"/>
        </w:trPr>
        <w:tc>
          <w:tcPr>
            <w:tcW w:w="8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8"/>
        </w:trPr>
        <w:tc>
          <w:tcPr>
            <w:tcW w:w="81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(516.5)</w:t>
            </w:r>
          </w:p>
        </w:tc>
      </w:tr>
      <w:tr>
        <w:trPr>
          <w:trHeight w:val="28"/>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876.9</w:t>
            </w:r>
          </w:p>
        </w:tc>
      </w:tr>
      <w:tr>
        <w:trPr>
          <w:trHeight w:val="236"/>
        </w:trPr>
        <w:tc>
          <w:tcPr>
            <w:tcW w:w="814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404.4</w:t>
            </w:r>
          </w:p>
        </w:tc>
        <w:tc>
          <w:tcPr>
            <w:tcW w:w="1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360.4</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transactions</w:t>
            </w:r>
          </w:p>
        </w:tc>
        <w:tc>
          <w:tcPr>
            <w:tcW w:w="9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r>
      <w:tr>
        <w:trPr>
          <w:trHeight w:val="242"/>
        </w:trPr>
        <w:tc>
          <w:tcPr>
            <w:tcW w:w="8140" w:type="dxa"/>
            <w:vAlign w:val="bottom"/>
          </w:tcPr>
          <w:p>
            <w:pPr>
              <w:ind w:left="20"/>
              <w:spacing w:after="0"/>
              <w:rPr>
                <w:sz w:val="20"/>
                <w:szCs w:val="20"/>
                <w:color w:val="auto"/>
              </w:rPr>
            </w:pPr>
            <w:r>
              <w:rPr>
                <w:rFonts w:ascii="Arial" w:cs="Arial" w:eastAsia="Arial" w:hAnsi="Arial"/>
                <w:sz w:val="16"/>
                <w:szCs w:val="16"/>
                <w:color w:val="auto"/>
              </w:rPr>
              <w:t>Deferred payment of purchase consideration</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62"/>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Receipt of intangible assets from advance payments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179070</wp:posOffset>
            </wp:positionV>
            <wp:extent cx="119126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Business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leading worldwide developer and fabless supplier of premium mixed signal semiconductor solutions designed to enable people to engage with connected devices and data, and create exceptional experiences throughout the home, at work, in the car and on the go. We provide our customers with sensing, processing and connecting solutions, which represent the three foundational elements of the Internet of Things (“IoT”). We supply connectivity, sensors and AI-enhanced processor solutions to original equipment manufacturers (“OEMs”) that design IoT products and devices for automobiles, enterprise workspace devices, virtual reality, smartphones, tablets and notebook computers.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Basis of Presentation and Principles of Consolidation</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pursuant to the rules and regulations of the Securities and Exchange Commission, the "SEC", and United States generally accepted accounting principles,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28, 2025.</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condensed consolidated financial statements include our financial statements and those of our wholly owned subsidiaries. All significant intercompany balances and transactions have been eliminated upon consolidation. Certain reclassifications have been made to the amounts for prior years in order to conform to the current year’s presentation.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fiscal year is the 52- or 53-week period ending on the last Saturday in June. Our fiscal 2026 and 2025 are 52-week periods ending June 27, 2026, and June 28, 2025, respectively. The fiscal periods presented in this report are 13-week periods and 39-week periods for the three and nine months periods ended March 28, 2026, and March 29, 2025, respectively. For simplicity, the accompanying condensed consolidated financial statements have been shown as ending on calendar quarter end dates as of and for all periods presented, unless otherwise indicated.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material changes to our significant accounting policies in Note 2 - Basis of Presentation and Significant Accounting Policies, of the Notes to Consolidated Financial Statements included in our Annual Report on Form 10-K for the fiscal year ended June 28,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Recently Issued</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December 2023, the FASB issued ASU No. 2023-09, “Income Taxes: Improvements to Income Tax Disclosures.” This guidance requires consistent categories and greater disaggregation of information in the rate reconciliation and disclosures of income taxes paid by jurisdiction. We will adopt ASU 2023-09 on a prospective basis in the fourth quarter of fiscal 2026. The adoption of ASU 2023-09 is not expected to have a material effect on our consolidated financial statements.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2024, the FASB issued ASU No. 2024-03, “Income Statement - Reporting Comprehensive Income - Disaggregation of Income Statement Expenses.” This guidance requires disclosures about specific types of expenses included in the expense captions presented on the face of the income statement as well as disclosures about selling expenses. This amendment is effective for our fiscal year ending June 2028 and our interim periods within the fiscal year ending June 2029. We are currently assessing the impact of this guidance on our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142875</wp:posOffset>
            </wp:positionV>
            <wp:extent cx="1191260"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2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Supplemental Financial Statement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March</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June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2026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Inventories</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81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March</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rPr>
              <w:t>June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FF0FC"/>
            </w:tcBorders>
          </w:tcPr>
          <w:p>
            <w:pPr>
              <w:spacing w:after="0"/>
              <w:rPr>
                <w:sz w:val="22"/>
                <w:szCs w:val="22"/>
                <w:color w:val="auto"/>
              </w:rPr>
            </w:pPr>
          </w:p>
        </w:tc>
        <w:tc>
          <w:tcPr>
            <w:tcW w:w="81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2026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shd w:val="clear" w:color="auto" w:fill="CFF0FC"/>
          </w:tcPr>
          <w:p>
            <w:pPr>
              <w:spacing w:after="0"/>
              <w:rPr>
                <w:sz w:val="22"/>
                <w:szCs w:val="22"/>
                <w:color w:val="auto"/>
              </w:rPr>
            </w:pPr>
          </w:p>
        </w:tc>
        <w:tc>
          <w:tcPr>
            <w:tcW w:w="8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CFF0FC"/>
            </w:tcBorders>
          </w:tcPr>
          <w:p>
            <w:pPr>
              <w:spacing w:after="0"/>
              <w:rPr>
                <w:sz w:val="21"/>
                <w:szCs w:val="21"/>
                <w:color w:val="auto"/>
              </w:rPr>
            </w:pPr>
          </w:p>
        </w:tc>
        <w:tc>
          <w:tcPr>
            <w:tcW w:w="81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81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14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8"/>
                <w:szCs w:val="18"/>
                <w:i w:val="1"/>
                <w:iCs w:val="1"/>
                <w:color w:val="auto"/>
              </w:rPr>
              <w:t>Non-current other assets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81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March</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8"/>
                <w:szCs w:val="18"/>
                <w:color w:val="auto"/>
              </w:rPr>
              <w:t>June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tcPr>
          <w:p>
            <w:pPr>
              <w:spacing w:after="0"/>
              <w:rPr>
                <w:sz w:val="22"/>
                <w:szCs w:val="22"/>
                <w:color w:val="auto"/>
              </w:rPr>
            </w:pPr>
          </w:p>
        </w:tc>
        <w:tc>
          <w:tcPr>
            <w:tcW w:w="8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2026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 of intangible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81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8140" w:type="dxa"/>
            <w:vAlign w:val="bottom"/>
            <w:gridSpan w:val="3"/>
          </w:tcPr>
          <w:p>
            <w:pPr>
              <w:spacing w:after="0"/>
              <w:rPr>
                <w:sz w:val="20"/>
                <w:szCs w:val="20"/>
                <w:color w:val="auto"/>
              </w:rPr>
            </w:pPr>
            <w:r>
              <w:rPr>
                <w:rFonts w:ascii="Arial" w:cs="Arial" w:eastAsia="Arial" w:hAnsi="Arial"/>
                <w:sz w:val="18"/>
                <w:szCs w:val="18"/>
                <w:i w:val="1"/>
                <w:iCs w:val="1"/>
                <w:color w:val="auto"/>
              </w:rPr>
              <w:t>Accrued liabilities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March</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8"/>
                <w:szCs w:val="18"/>
                <w:color w:val="auto"/>
              </w:rPr>
              <w:t>June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tcPr>
          <w:p>
            <w:pPr>
              <w:spacing w:after="0"/>
              <w:rPr>
                <w:sz w:val="22"/>
                <w:szCs w:val="22"/>
                <w:color w:val="auto"/>
              </w:rPr>
            </w:pPr>
          </w:p>
        </w:tc>
        <w:tc>
          <w:tcPr>
            <w:tcW w:w="8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2026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rebate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Other customer-related obligations (1)</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Other (2)</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10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include deferred revenue, price discounts and stock rotation rights.</w:t>
      </w:r>
    </w:p>
    <w:p>
      <w:pPr>
        <w:spacing w:after="0" w:line="117" w:lineRule="exact"/>
        <w:rPr>
          <w:rFonts w:ascii="Arial" w:cs="Arial" w:eastAsia="Arial" w:hAnsi="Arial"/>
          <w:sz w:val="18"/>
          <w:szCs w:val="18"/>
          <w:color w:val="auto"/>
        </w:rPr>
      </w:pPr>
    </w:p>
    <w:p>
      <w:pPr>
        <w:ind w:firstLine="8"/>
        <w:spacing w:after="0" w:line="287" w:lineRule="auto"/>
        <w:tabs>
          <w:tab w:leader="none" w:pos="28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March 2026, other accrued liabilities include a $25.0 million license fee payable to a third party. No such amount was payable at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126365</wp:posOffset>
            </wp:positionV>
            <wp:extent cx="119126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Net Loss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net loss per share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p>
        </w:tc>
        <w:tc>
          <w:tcPr>
            <w:tcW w:w="2540" w:type="dxa"/>
            <w:vAlign w:val="bottom"/>
            <w:gridSpan w:val="4"/>
          </w:tcPr>
          <w:p>
            <w:pPr>
              <w:jc w:val="right"/>
              <w:ind w:right="16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4"/>
          </w:tcPr>
          <w:p>
            <w:pPr>
              <w:jc w:val="right"/>
              <w:ind w:right="870"/>
              <w:spacing w:after="0"/>
              <w:rPr>
                <w:sz w:val="20"/>
                <w:szCs w:val="20"/>
                <w:color w:val="auto"/>
              </w:rPr>
            </w:pPr>
            <w:r>
              <w:rPr>
                <w:rFonts w:ascii="Arial" w:cs="Arial" w:eastAsia="Arial" w:hAnsi="Arial"/>
                <w:sz w:val="18"/>
                <w:szCs w:val="18"/>
                <w:color w:val="auto"/>
              </w:rPr>
              <w:t>Nine Months Ended</w:t>
            </w:r>
          </w:p>
        </w:tc>
      </w:tr>
      <w:tr>
        <w:trPr>
          <w:trHeight w:val="261"/>
        </w:trPr>
        <w:tc>
          <w:tcPr>
            <w:tcW w:w="45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8"/>
                <w:szCs w:val="18"/>
                <w:color w:val="auto"/>
              </w:rPr>
              <w:t>March</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March</w:t>
            </w:r>
          </w:p>
        </w:tc>
        <w:tc>
          <w:tcPr>
            <w:tcW w:w="1280" w:type="dxa"/>
            <w:vAlign w:val="bottom"/>
            <w:tcBorders>
              <w:bottom w:val="single" w:sz="8" w:color="auto"/>
            </w:tcBorders>
          </w:tcPr>
          <w:p>
            <w:pPr>
              <w:spacing w:after="0"/>
              <w:rPr>
                <w:sz w:val="22"/>
                <w:szCs w:val="22"/>
                <w:color w:val="auto"/>
              </w:rPr>
            </w:pPr>
          </w:p>
        </w:tc>
      </w:tr>
      <w:tr>
        <w:trPr>
          <w:trHeight w:val="250"/>
        </w:trPr>
        <w:tc>
          <w:tcPr>
            <w:tcW w:w="4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2025</w:t>
            </w:r>
          </w:p>
        </w:tc>
      </w:tr>
      <w:tr>
        <w:trPr>
          <w:trHeight w:val="241"/>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6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r>
      <w:tr>
        <w:trPr>
          <w:trHeight w:val="257"/>
        </w:trPr>
        <w:tc>
          <w:tcPr>
            <w:tcW w:w="45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10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(43.4)</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2"/>
        </w:trPr>
        <w:tc>
          <w:tcPr>
            <w:tcW w:w="4580" w:type="dxa"/>
            <w:vAlign w:val="bottom"/>
          </w:tcPr>
          <w:p>
            <w:pPr>
              <w:ind w:left="200"/>
              <w:spacing w:after="0"/>
              <w:rPr>
                <w:sz w:val="20"/>
                <w:szCs w:val="20"/>
                <w:color w:val="auto"/>
              </w:rPr>
            </w:pPr>
            <w:r>
              <w:rPr>
                <w:rFonts w:ascii="Arial" w:cs="Arial" w:eastAsia="Arial" w:hAnsi="Arial"/>
                <w:sz w:val="18"/>
                <w:szCs w:val="18"/>
                <w:color w:val="auto"/>
              </w:rPr>
              <w:t>Weighted-average shares - basic</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57"/>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share-based awards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4580" w:type="dxa"/>
            <w:vAlign w:val="bottom"/>
          </w:tcPr>
          <w:p>
            <w:pPr>
              <w:ind w:left="200"/>
              <w:spacing w:after="0"/>
              <w:rPr>
                <w:sz w:val="20"/>
                <w:szCs w:val="20"/>
                <w:color w:val="auto"/>
              </w:rPr>
            </w:pPr>
            <w:r>
              <w:rPr>
                <w:rFonts w:ascii="Arial" w:cs="Arial" w:eastAsia="Arial" w:hAnsi="Arial"/>
                <w:sz w:val="18"/>
                <w:szCs w:val="18"/>
                <w:color w:val="auto"/>
              </w:rPr>
              <w:t>Weighted-average shares - diluted</w:t>
            </w:r>
          </w:p>
        </w:tc>
        <w:tc>
          <w:tcPr>
            <w:tcW w:w="9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4580" w:type="dxa"/>
            <w:vAlign w:val="bottom"/>
          </w:tcPr>
          <w:p>
            <w:pPr>
              <w:ind w:left="20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(0.21)</w:t>
            </w:r>
          </w:p>
        </w:tc>
        <w:tc>
          <w:tcPr>
            <w:tcW w:w="10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(1.12)</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as their effect would have been antidilutive: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20" w:type="dxa"/>
            <w:vAlign w:val="bottom"/>
          </w:tcPr>
          <w:p>
            <w:pPr>
              <w:spacing w:after="0"/>
              <w:rPr>
                <w:sz w:val="20"/>
                <w:szCs w:val="20"/>
                <w:color w:val="auto"/>
              </w:rPr>
            </w:pPr>
          </w:p>
        </w:tc>
        <w:tc>
          <w:tcPr>
            <w:tcW w:w="2640" w:type="dxa"/>
            <w:vAlign w:val="bottom"/>
            <w:gridSpan w:val="4"/>
          </w:tcPr>
          <w:p>
            <w:pPr>
              <w:jc w:val="center"/>
              <w:ind w:left="310"/>
              <w:spacing w:after="0"/>
              <w:rPr>
                <w:sz w:val="20"/>
                <w:szCs w:val="20"/>
                <w:color w:val="auto"/>
              </w:rPr>
            </w:pPr>
            <w:r>
              <w:rPr>
                <w:rFonts w:ascii="Arial" w:cs="Arial" w:eastAsia="Arial" w:hAnsi="Arial"/>
                <w:sz w:val="18"/>
                <w:szCs w:val="18"/>
                <w:color w:val="auto"/>
                <w:w w:val="99"/>
              </w:rPr>
              <w:t>Three Months Ended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4"/>
          </w:tcPr>
          <w:p>
            <w:pPr>
              <w:jc w:val="center"/>
              <w:spacing w:after="0"/>
              <w:rPr>
                <w:sz w:val="20"/>
                <w:szCs w:val="20"/>
                <w:color w:val="auto"/>
              </w:rPr>
            </w:pPr>
            <w:r>
              <w:rPr>
                <w:rFonts w:ascii="Arial" w:cs="Arial" w:eastAsia="Arial" w:hAnsi="Arial"/>
                <w:sz w:val="18"/>
                <w:szCs w:val="18"/>
                <w:color w:val="auto"/>
              </w:rPr>
              <w:t>Nine Months Ended</w:t>
            </w:r>
          </w:p>
        </w:tc>
      </w:tr>
      <w:tr>
        <w:trPr>
          <w:trHeight w:val="261"/>
        </w:trPr>
        <w:tc>
          <w:tcPr>
            <w:tcW w:w="482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8"/>
                <w:szCs w:val="18"/>
                <w:color w:val="auto"/>
                <w:w w:val="99"/>
              </w:rPr>
              <w:t>March</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color w:val="auto"/>
                <w:w w:val="99"/>
              </w:rPr>
              <w:t>March</w:t>
            </w:r>
          </w:p>
        </w:tc>
        <w:tc>
          <w:tcPr>
            <w:tcW w:w="1220" w:type="dxa"/>
            <w:vAlign w:val="bottom"/>
            <w:tcBorders>
              <w:bottom w:val="single" w:sz="8" w:color="auto"/>
            </w:tcBorders>
          </w:tcPr>
          <w:p>
            <w:pPr>
              <w:spacing w:after="0"/>
              <w:rPr>
                <w:sz w:val="22"/>
                <w:szCs w:val="22"/>
                <w:color w:val="auto"/>
              </w:rPr>
            </w:pPr>
          </w:p>
        </w:tc>
      </w:tr>
      <w:tr>
        <w:trPr>
          <w:trHeight w:val="250"/>
        </w:trPr>
        <w:tc>
          <w:tcPr>
            <w:tcW w:w="48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2026</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2025</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r>
      <w:tr>
        <w:trPr>
          <w:trHeight w:val="255"/>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awards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2"/>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Convertible senior notes</w:t>
            </w: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Prepayment of Intangible Assets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2025, we entered into definitive asset purchase agreements with Broadcom Inc. ("Broadcom") to acquire certain assets and obtain non-exclusive licenses relating to Broadcom’s Wi-Fi Business in the IoT market for aggregate consideration of $200.3 million. As of March 2026, we have not received six roadmap technology intangible assets, which are expected to be delivered at various dates through May 2028. Accordingly, the balance of $96.8 million, which represents the value of those technology intangible assets not yet received, is presented within non-current other assets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142875</wp:posOffset>
            </wp:positionV>
            <wp:extent cx="119126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Cash and Cash Equivalents and Short-Term Investments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and cash equivalents by category at March 2026 and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154940</wp:posOffset>
            </wp:positionV>
            <wp:extent cx="59690" cy="608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60833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8"/>
              </w:rPr>
              <w:t>March 2026</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June 2025</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Gross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Gross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Unrealized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Unrealized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Amortized Cost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8"/>
              </w:rPr>
              <w:t>(Gain) Loss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Fair Value</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Amortized Cost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8"/>
              </w:rPr>
              <w:t>(Gain) Loss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55"/>
        </w:trPr>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52"/>
        </w:trPr>
        <w:tc>
          <w:tcPr>
            <w:tcW w:w="3100" w:type="dxa"/>
            <w:vAlign w:val="bottom"/>
          </w:tcPr>
          <w:p>
            <w:pPr>
              <w:ind w:left="160"/>
              <w:spacing w:after="0"/>
              <w:rPr>
                <w:sz w:val="20"/>
                <w:szCs w:val="20"/>
                <w:color w:val="auto"/>
              </w:rPr>
            </w:pPr>
            <w:r>
              <w:rPr>
                <w:rFonts w:ascii="Arial" w:cs="Arial" w:eastAsia="Arial" w:hAnsi="Arial"/>
                <w:sz w:val="18"/>
                <w:szCs w:val="18"/>
                <w:color w:val="auto"/>
              </w:rPr>
              <w:t>Cash equivalents:</w:t>
            </w: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52"/>
        </w:trPr>
        <w:tc>
          <w:tcPr>
            <w:tcW w:w="3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Certificates of deposit</w:t>
            </w: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5"/>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Short-term investments: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1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-376555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-376555</wp:posOffset>
            </wp:positionV>
            <wp:extent cx="59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-376555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-376555</wp:posOffset>
            </wp:positionV>
            <wp:extent cx="59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-548005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-548005</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-548005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-548005</wp:posOffset>
            </wp:positionV>
            <wp:extent cx="59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-1207770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-1207770</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-1207770</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March 2026 and June 2025, financial assets measured at fair value on a recurring basis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6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8"/>
              </w:rPr>
              <w:t>March 2026</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June 2025</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Level 2</w:t>
            </w:r>
          </w:p>
        </w:tc>
        <w:tc>
          <w:tcPr>
            <w:tcW w:w="300" w:type="dxa"/>
            <w:vAlign w:val="bottom"/>
          </w:tcPr>
          <w:p>
            <w:pPr>
              <w:spacing w:after="0"/>
              <w:rPr>
                <w:sz w:val="21"/>
                <w:szCs w:val="21"/>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1"/>
                <w:szCs w:val="21"/>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Level 2</w:t>
            </w:r>
          </w:p>
        </w:tc>
        <w:tc>
          <w:tcPr>
            <w:tcW w:w="32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1"/>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6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57"/>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5"/>
        </w:trPr>
        <w:tc>
          <w:tcPr>
            <w:tcW w:w="266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6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160"/>
        </w:trPr>
        <w:tc>
          <w:tcPr>
            <w:tcW w:w="2660" w:type="dxa"/>
            <w:vAlign w:val="bottom"/>
            <w:tcBorders>
              <w:top w:val="single" w:sz="8" w:color="CCEEFF"/>
            </w:tcBorders>
            <w:shd w:val="clear" w:color="auto" w:fill="CCEEFF"/>
          </w:tcPr>
          <w:p>
            <w:pPr>
              <w:ind w:left="20"/>
              <w:spacing w:after="0" w:line="160" w:lineRule="exact"/>
              <w:rPr>
                <w:sz w:val="20"/>
                <w:szCs w:val="20"/>
                <w:color w:val="auto"/>
              </w:rPr>
            </w:pPr>
            <w:r>
              <w:rPr>
                <w:rFonts w:ascii="Arial" w:cs="Arial" w:eastAsia="Arial" w:hAnsi="Arial"/>
                <w:sz w:val="18"/>
                <w:szCs w:val="18"/>
                <w:color w:val="auto"/>
              </w:rPr>
              <w:t>Total assets measured at fair</w:t>
            </w: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value</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Level 1 financial instruments are traded in active markets, and the fair value is based on quoted market prices for identical instruments. The fair value of our Level 2 fixed income securities is obtained from an independent pricing service, which may use quoted market prices for identical or comparable instruments or model driven valuations using observable market data or inputs corroborated by observable market data. Our marketable securities are held by custodians who obtain investment prices from a third-party pricing provider that incorporates standard inputs in various asset price models. We did not have any financial assets requiring Level 3 measurement in the periods presented.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report our financial instruments at fair value with the exception of the 2029 Notes and the 2031 Notes (or collectively with the 2029 Notes, the "Notes," each as defined in Note 9. Debt and Revolving Credit Facility). The estimated fair value of the Notes was determined based on the trading prices of the Notes as of the last day of trading for the periods presented. We use Level 2 measurement criteria to determine the fair value of our Notes as they are not actively traded in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149860</wp:posOffset>
            </wp:positionV>
            <wp:extent cx="1191260" cy="299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91260" cy="2997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estimated fair values of the Notes were as follows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103505</wp:posOffset>
            </wp:positionV>
            <wp:extent cx="60325" cy="4718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47180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4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color w:val="auto"/>
              </w:rPr>
              <w:t>March 2026</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color w:val="auto"/>
              </w:rPr>
              <w:t>June 2025</w:t>
            </w:r>
          </w:p>
        </w:tc>
      </w:tr>
      <w:tr>
        <w:trPr>
          <w:trHeight w:val="209"/>
        </w:trPr>
        <w:tc>
          <w:tcPr>
            <w:tcW w:w="4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Estimated Fair</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w w:val="99"/>
              </w:rPr>
              <w:t>Estimated Fair</w:t>
            </w:r>
          </w:p>
        </w:tc>
      </w:tr>
      <w:tr>
        <w:trPr>
          <w:trHeight w:val="244"/>
        </w:trPr>
        <w:tc>
          <w:tcPr>
            <w:tcW w:w="4940" w:type="dxa"/>
            <w:vAlign w:val="bottom"/>
          </w:tcPr>
          <w:p>
            <w:pPr>
              <w:spacing w:after="0"/>
              <w:rPr>
                <w:sz w:val="21"/>
                <w:szCs w:val="21"/>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color w:val="auto"/>
              </w:rPr>
              <w:t>Carrying Amount</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Value</w:t>
            </w:r>
          </w:p>
        </w:tc>
        <w:tc>
          <w:tcPr>
            <w:tcW w:w="1580" w:type="dxa"/>
            <w:vAlign w:val="bottom"/>
            <w:gridSpan w:val="3"/>
          </w:tcPr>
          <w:p>
            <w:pPr>
              <w:ind w:left="60"/>
              <w:spacing w:after="0"/>
              <w:rPr>
                <w:sz w:val="20"/>
                <w:szCs w:val="20"/>
                <w:color w:val="auto"/>
              </w:rPr>
            </w:pPr>
            <w:r>
              <w:rPr>
                <w:rFonts w:ascii="Arial" w:cs="Arial" w:eastAsia="Arial" w:hAnsi="Arial"/>
                <w:sz w:val="18"/>
                <w:szCs w:val="18"/>
                <w:color w:val="auto"/>
              </w:rPr>
              <w:t>Carrying Amount</w:t>
            </w:r>
          </w:p>
        </w:tc>
        <w:tc>
          <w:tcPr>
            <w:tcW w:w="140" w:type="dxa"/>
            <w:vAlign w:val="bottom"/>
          </w:tcPr>
          <w:p>
            <w:pPr>
              <w:spacing w:after="0"/>
              <w:rPr>
                <w:sz w:val="21"/>
                <w:szCs w:val="21"/>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Value</w:t>
            </w:r>
          </w:p>
        </w:tc>
      </w:tr>
      <w:tr>
        <w:trPr>
          <w:trHeight w:val="255"/>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 Notes</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r>
      <w:tr>
        <w:trPr>
          <w:trHeight w:val="252"/>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2031 Notes</w:t>
            </w: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r>
      <w:tr>
        <w:trPr>
          <w:trHeight w:val="275"/>
        </w:trPr>
        <w:tc>
          <w:tcPr>
            <w:tcW w:w="4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-33655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-33655</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-33655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-539115</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-539115</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Goodwill and Acquired Intangibles, Net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represents the change in our goodwill balance for the nine and twelve month periods ended March 2026 and June 2025, respectively: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March</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June</w:t>
            </w:r>
          </w:p>
        </w:tc>
      </w:tr>
      <w:tr>
        <w:trPr>
          <w:trHeight w:val="261"/>
        </w:trPr>
        <w:tc>
          <w:tcPr>
            <w:tcW w:w="8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r>
      <w:tr>
        <w:trPr>
          <w:trHeight w:val="255"/>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w:t>
            </w: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Acquisition activity</w:t>
            </w: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80"/>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carrying amounts, excluding fully amortized intangible assets: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8"/>
              </w:rPr>
              <w:t>March 2026</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June 2025</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20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Weighted</w:t>
            </w:r>
          </w:p>
        </w:tc>
        <w:tc>
          <w:tcPr>
            <w:tcW w:w="200" w:type="dxa"/>
            <w:vAlign w:val="bottom"/>
          </w:tcPr>
          <w:p>
            <w:pPr>
              <w:spacing w:after="0"/>
              <w:rPr>
                <w:sz w:val="18"/>
                <w:szCs w:val="18"/>
                <w:color w:val="auto"/>
              </w:rPr>
            </w:pPr>
          </w:p>
        </w:tc>
        <w:tc>
          <w:tcPr>
            <w:tcW w:w="1020" w:type="dxa"/>
            <w:vAlign w:val="bottom"/>
            <w:vMerge w:val="restart"/>
          </w:tcPr>
          <w:p>
            <w:pPr>
              <w:jc w:val="center"/>
              <w:ind w:right="90"/>
              <w:spacing w:after="0"/>
              <w:rPr>
                <w:sz w:val="20"/>
                <w:szCs w:val="20"/>
                <w:color w:val="auto"/>
              </w:rPr>
            </w:pPr>
            <w:r>
              <w:rPr>
                <w:rFonts w:ascii="Arial" w:cs="Arial" w:eastAsia="Arial" w:hAnsi="Arial"/>
                <w:sz w:val="18"/>
                <w:szCs w:val="18"/>
                <w:color w:val="auto"/>
                <w:w w:val="99"/>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9"/>
              </w:rPr>
              <w:t>Gross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0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0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Life in</w:t>
            </w:r>
          </w:p>
        </w:tc>
        <w:tc>
          <w:tcPr>
            <w:tcW w:w="200" w:type="dxa"/>
            <w:vAlign w:val="bottom"/>
          </w:tcPr>
          <w:p>
            <w:pPr>
              <w:spacing w:after="0"/>
              <w:rPr>
                <w:sz w:val="17"/>
                <w:szCs w:val="17"/>
                <w:color w:val="auto"/>
              </w:rPr>
            </w:pPr>
          </w:p>
        </w:tc>
        <w:tc>
          <w:tcPr>
            <w:tcW w:w="102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9"/>
              </w:rPr>
              <w:t>Carrying</w:t>
            </w:r>
          </w:p>
        </w:tc>
        <w:tc>
          <w:tcPr>
            <w:tcW w:w="100" w:type="dxa"/>
            <w:vAlign w:val="bottom"/>
          </w:tcPr>
          <w:p>
            <w:pPr>
              <w:spacing w:after="0"/>
              <w:rPr>
                <w:sz w:val="17"/>
                <w:szCs w:val="17"/>
                <w:color w:val="auto"/>
              </w:rPr>
            </w:pPr>
          </w:p>
        </w:tc>
        <w:tc>
          <w:tcPr>
            <w:tcW w:w="134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9"/>
              </w:rPr>
              <w:t>Accumulated</w:t>
            </w:r>
          </w:p>
        </w:tc>
        <w:tc>
          <w:tcPr>
            <w:tcW w:w="134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8"/>
              </w:rPr>
              <w:t>Net Carrying</w:t>
            </w:r>
          </w:p>
        </w:tc>
        <w:tc>
          <w:tcPr>
            <w:tcW w:w="180" w:type="dxa"/>
            <w:vAlign w:val="bottom"/>
          </w:tcPr>
          <w:p>
            <w:pPr>
              <w:spacing w:after="0"/>
              <w:rPr>
                <w:sz w:val="17"/>
                <w:szCs w:val="17"/>
                <w:color w:val="auto"/>
              </w:rPr>
            </w:pPr>
          </w:p>
        </w:tc>
        <w:tc>
          <w:tcPr>
            <w:tcW w:w="114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9"/>
              </w:rPr>
              <w:t>Carrying</w:t>
            </w:r>
          </w:p>
        </w:tc>
        <w:tc>
          <w:tcPr>
            <w:tcW w:w="13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17"/>
                <w:szCs w:val="17"/>
                <w:color w:val="auto"/>
              </w:rPr>
            </w:pP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8"/>
              </w:rPr>
              <w:t>Net Carrying</w:t>
            </w:r>
          </w:p>
        </w:tc>
        <w:tc>
          <w:tcPr>
            <w:tcW w:w="0" w:type="dxa"/>
            <w:vAlign w:val="bottom"/>
          </w:tcPr>
          <w:p>
            <w:pPr>
              <w:spacing w:after="0"/>
              <w:rPr>
                <w:sz w:val="1"/>
                <w:szCs w:val="1"/>
                <w:color w:val="auto"/>
              </w:rPr>
            </w:pPr>
          </w:p>
        </w:tc>
      </w:tr>
      <w:tr>
        <w:trPr>
          <w:trHeight w:val="248"/>
        </w:trPr>
        <w:tc>
          <w:tcPr>
            <w:tcW w:w="2200" w:type="dxa"/>
            <w:vAlign w:val="bottom"/>
          </w:tcPr>
          <w:p>
            <w:pPr>
              <w:spacing w:after="0"/>
              <w:rPr>
                <w:sz w:val="21"/>
                <w:szCs w:val="21"/>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Years</w:t>
            </w:r>
          </w:p>
        </w:tc>
        <w:tc>
          <w:tcPr>
            <w:tcW w:w="200" w:type="dxa"/>
            <w:vAlign w:val="bottom"/>
          </w:tcPr>
          <w:p>
            <w:pPr>
              <w:spacing w:after="0"/>
              <w:rPr>
                <w:sz w:val="21"/>
                <w:szCs w:val="21"/>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95"/>
              </w:rPr>
              <w:t>Value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Amortization</w:t>
            </w:r>
          </w:p>
        </w:tc>
        <w:tc>
          <w:tcPr>
            <w:tcW w:w="260" w:type="dxa"/>
            <w:vAlign w:val="bottom"/>
          </w:tcPr>
          <w:p>
            <w:pPr>
              <w:spacing w:after="0"/>
              <w:rPr>
                <w:sz w:val="21"/>
                <w:szCs w:val="21"/>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Value</w:t>
            </w:r>
          </w:p>
        </w:tc>
        <w:tc>
          <w:tcPr>
            <w:tcW w:w="18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Value</w:t>
            </w:r>
          </w:p>
        </w:tc>
        <w:tc>
          <w:tcPr>
            <w:tcW w:w="12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1"/>
                <w:szCs w:val="21"/>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3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assets:</w:t>
            </w:r>
          </w:p>
        </w:tc>
        <w:tc>
          <w:tcPr>
            <w:tcW w:w="10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200" w:type="dxa"/>
            <w:vAlign w:val="bottom"/>
          </w:tcPr>
          <w:p>
            <w:pPr>
              <w:ind w:left="140"/>
              <w:spacing w:after="0"/>
              <w:rPr>
                <w:sz w:val="20"/>
                <w:szCs w:val="20"/>
                <w:color w:val="auto"/>
              </w:rPr>
            </w:pPr>
            <w:r>
              <w:rPr>
                <w:rFonts w:ascii="Arial" w:cs="Arial" w:eastAsia="Arial" w:hAnsi="Arial"/>
                <w:sz w:val="18"/>
                <w:szCs w:val="18"/>
                <w:color w:val="auto"/>
              </w:rPr>
              <w:t>Audio and video</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5"/>
              </w:rPr>
              <w:t>5.6</w:t>
            </w:r>
          </w:p>
        </w:tc>
        <w:tc>
          <w:tcPr>
            <w:tcW w:w="8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231.9</w:t>
            </w:r>
          </w:p>
        </w:tc>
        <w:tc>
          <w:tcPr>
            <w:tcW w:w="22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(211.8)</w:t>
            </w:r>
          </w:p>
        </w:tc>
        <w:tc>
          <w:tcPr>
            <w:tcW w:w="8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5"/>
        </w:trPr>
        <w:tc>
          <w:tcPr>
            <w:tcW w:w="220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4"/>
        </w:trPr>
        <w:tc>
          <w:tcPr>
            <w:tcW w:w="2200" w:type="dxa"/>
            <w:vAlign w:val="bottom"/>
          </w:tcPr>
          <w:p>
            <w:pPr>
              <w:ind w:left="140"/>
              <w:spacing w:after="0"/>
              <w:rPr>
                <w:sz w:val="20"/>
                <w:szCs w:val="20"/>
                <w:color w:val="auto"/>
              </w:rPr>
            </w:pPr>
            <w:r>
              <w:rPr>
                <w:rFonts w:ascii="Arial" w:cs="Arial" w:eastAsia="Arial" w:hAnsi="Arial"/>
                <w:sz w:val="18"/>
                <w:szCs w:val="18"/>
                <w:color w:val="auto"/>
              </w:rPr>
              <w:t>Wireless connectivity</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5"/>
              </w:rPr>
              <w:t>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35"/>
        </w:trPr>
        <w:tc>
          <w:tcPr>
            <w:tcW w:w="220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Video interface</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5"/>
        </w:trPr>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2.4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5"/>
        </w:trPr>
        <w:tc>
          <w:tcPr>
            <w:tcW w:w="2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finite-lived assets</w:t>
            </w: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24"/>
        </w:trPr>
        <w:tc>
          <w:tcPr>
            <w:tcW w:w="2200" w:type="dxa"/>
            <w:vAlign w:val="bottom"/>
          </w:tcPr>
          <w:p>
            <w:pPr>
              <w:ind w:left="60"/>
              <w:spacing w:after="0"/>
              <w:rPr>
                <w:sz w:val="20"/>
                <w:szCs w:val="20"/>
                <w:color w:val="auto"/>
              </w:rPr>
            </w:pPr>
            <w:r>
              <w:rPr>
                <w:rFonts w:ascii="Arial" w:cs="Arial" w:eastAsia="Arial" w:hAnsi="Arial"/>
                <w:sz w:val="18"/>
                <w:szCs w:val="18"/>
                <w:color w:val="auto"/>
              </w:rPr>
              <w:t>Indefinite-lived assets: In-</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60"/>
              <w:spacing w:after="0" w:line="202" w:lineRule="exact"/>
              <w:rPr>
                <w:sz w:val="20"/>
                <w:szCs w:val="20"/>
                <w:color w:val="auto"/>
              </w:rPr>
            </w:pPr>
            <w:r>
              <w:rPr>
                <w:rFonts w:ascii="Arial" w:cs="Arial" w:eastAsia="Arial" w:hAnsi="Arial"/>
                <w:sz w:val="18"/>
                <w:szCs w:val="18"/>
                <w:color w:val="auto"/>
              </w:rPr>
              <w:t>process research and</w:t>
            </w:r>
          </w:p>
        </w:tc>
        <w:tc>
          <w:tcPr>
            <w:tcW w:w="10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Not</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2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development</w:t>
            </w:r>
          </w:p>
        </w:tc>
        <w:tc>
          <w:tcPr>
            <w:tcW w:w="10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8"/>
              </w:rPr>
              <w:t>applicable</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2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intangible assets</w:t>
            </w: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gridSpan w:val="3"/>
          </w:tcPr>
          <w:p>
            <w:pPr>
              <w:jc w:val="center"/>
              <w:ind w:right="910"/>
              <w:spacing w:after="0"/>
              <w:rPr>
                <w:sz w:val="20"/>
                <w:szCs w:val="20"/>
                <w:color w:val="auto"/>
              </w:rPr>
            </w:pPr>
            <w:r>
              <w:rPr>
                <w:rFonts w:ascii="Arial" w:cs="Arial" w:eastAsia="Arial" w:hAnsi="Arial"/>
                <w:sz w:val="18"/>
                <w:szCs w:val="18"/>
                <w:color w:val="auto"/>
                <w:w w:val="99"/>
              </w:rPr>
              <w:t>12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191260"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details of amortization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80" w:type="dxa"/>
            <w:vAlign w:val="bottom"/>
          </w:tcPr>
          <w:p>
            <w:pPr>
              <w:spacing w:after="0"/>
              <w:rPr>
                <w:sz w:val="20"/>
                <w:szCs w:val="20"/>
                <w:color w:val="auto"/>
              </w:rPr>
            </w:pPr>
          </w:p>
        </w:tc>
        <w:tc>
          <w:tcPr>
            <w:tcW w:w="238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8"/>
                <w:szCs w:val="18"/>
                <w:color w:val="auto"/>
              </w:rPr>
              <w:t>Nine Months Ended</w:t>
            </w:r>
          </w:p>
        </w:tc>
      </w:tr>
      <w:tr>
        <w:trPr>
          <w:trHeight w:val="261"/>
        </w:trPr>
        <w:tc>
          <w:tcPr>
            <w:tcW w:w="54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March</w:t>
            </w:r>
          </w:p>
        </w:tc>
        <w:tc>
          <w:tcPr>
            <w:tcW w:w="4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March</w:t>
            </w:r>
          </w:p>
        </w:tc>
        <w:tc>
          <w:tcPr>
            <w:tcW w:w="1020" w:type="dxa"/>
            <w:vAlign w:val="bottom"/>
            <w:tcBorders>
              <w:bottom w:val="single" w:sz="8" w:color="auto"/>
            </w:tcBorders>
          </w:tcPr>
          <w:p>
            <w:pPr>
              <w:spacing w:after="0"/>
              <w:rPr>
                <w:sz w:val="22"/>
                <w:szCs w:val="22"/>
                <w:color w:val="auto"/>
              </w:rPr>
            </w:pPr>
          </w:p>
        </w:tc>
      </w:tr>
      <w:tr>
        <w:trPr>
          <w:trHeight w:val="250"/>
        </w:trPr>
        <w:tc>
          <w:tcPr>
            <w:tcW w:w="54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2025</w:t>
            </w:r>
          </w:p>
        </w:tc>
      </w:tr>
      <w:tr>
        <w:trPr>
          <w:trHeight w:val="255"/>
        </w:trPr>
        <w:tc>
          <w:tcPr>
            <w:tcW w:w="5480" w:type="dxa"/>
            <w:vAlign w:val="bottom"/>
            <w:shd w:val="clear" w:color="auto" w:fill="CCEEFF"/>
          </w:tcPr>
          <w:p>
            <w:pPr>
              <w:jc w:val="right"/>
              <w:ind w:right="4090"/>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52"/>
        </w:trPr>
        <w:tc>
          <w:tcPr>
            <w:tcW w:w="5480" w:type="dxa"/>
            <w:vAlign w:val="bottom"/>
            <w:tcBorders>
              <w:bottom w:val="single" w:sz="8" w:color="CCEEFF"/>
            </w:tcBorders>
          </w:tcPr>
          <w:p>
            <w:pPr>
              <w:jc w:val="right"/>
              <w:ind w:right="2710"/>
              <w:spacing w:after="0"/>
              <w:rPr>
                <w:sz w:val="20"/>
                <w:szCs w:val="20"/>
                <w:color w:val="auto"/>
              </w:rPr>
            </w:pPr>
            <w:r>
              <w:rPr>
                <w:rFonts w:ascii="Arial" w:cs="Arial" w:eastAsia="Arial" w:hAnsi="Arial"/>
                <w:sz w:val="18"/>
                <w:szCs w:val="18"/>
                <w:color w:val="auto"/>
              </w:rPr>
              <w:t>Acquired intangibles amortization</w:t>
            </w: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80"/>
        </w:trPr>
        <w:tc>
          <w:tcPr>
            <w:tcW w:w="5480" w:type="dxa"/>
            <w:vAlign w:val="bottom"/>
            <w:tcBorders>
              <w:bottom w:val="single" w:sz="8" w:color="CCEEFF"/>
            </w:tcBorders>
            <w:shd w:val="clear" w:color="auto" w:fill="CCEEFF"/>
          </w:tcPr>
          <w:p>
            <w:pPr>
              <w:jc w:val="right"/>
              <w:ind w:right="2710"/>
              <w:spacing w:after="0"/>
              <w:rPr>
                <w:sz w:val="20"/>
                <w:szCs w:val="20"/>
                <w:color w:val="auto"/>
              </w:rPr>
            </w:pPr>
            <w:r>
              <w:rPr>
                <w:rFonts w:ascii="Arial" w:cs="Arial" w:eastAsia="Arial" w:hAnsi="Arial"/>
                <w:sz w:val="18"/>
                <w:szCs w:val="18"/>
                <w:color w:val="auto"/>
              </w:rPr>
              <w:t>Total amortization of intangibles</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future amortization expense associated with our finite-lived intangible assets as of March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55"/>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52"/>
        </w:trPr>
        <w:tc>
          <w:tcPr>
            <w:tcW w:w="964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61"/>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52"/>
        </w:trPr>
        <w:tc>
          <w:tcPr>
            <w:tcW w:w="9640" w:type="dxa"/>
            <w:vAlign w:val="bottom"/>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61"/>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52"/>
        </w:trPr>
        <w:tc>
          <w:tcPr>
            <w:tcW w:w="9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80"/>
        </w:trPr>
        <w:tc>
          <w:tcPr>
            <w:tcW w:w="9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Future amortization</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-1191260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Debt and Revolving Credit Facility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total debt outstanding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rPr>
              <w:t>March 2026</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June 2025</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Net 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Net Carrying</w:t>
            </w:r>
          </w:p>
        </w:tc>
        <w:tc>
          <w:tcPr>
            <w:tcW w:w="0" w:type="dxa"/>
            <w:vAlign w:val="bottom"/>
          </w:tcPr>
          <w:p>
            <w:pPr>
              <w:spacing w:after="0"/>
              <w:rPr>
                <w:sz w:val="1"/>
                <w:szCs w:val="1"/>
                <w:color w:val="auto"/>
              </w:rPr>
            </w:pPr>
          </w:p>
        </w:tc>
      </w:tr>
      <w:tr>
        <w:trPr>
          <w:trHeight w:val="235"/>
        </w:trPr>
        <w:tc>
          <w:tcPr>
            <w:tcW w:w="4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Amount</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4"/>
        </w:trPr>
        <w:tc>
          <w:tcPr>
            <w:tcW w:w="404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rPr>
              <w:t>Stated Rate</w:t>
            </w:r>
          </w:p>
        </w:tc>
        <w:tc>
          <w:tcPr>
            <w:tcW w:w="1080" w:type="dxa"/>
            <w:vAlign w:val="bottom"/>
          </w:tcPr>
          <w:p>
            <w:pPr>
              <w:jc w:val="center"/>
              <w:spacing w:after="0" w:line="204" w:lineRule="exact"/>
              <w:rPr>
                <w:sz w:val="20"/>
                <w:szCs w:val="20"/>
                <w:color w:val="auto"/>
              </w:rPr>
            </w:pPr>
            <w:r>
              <w:rPr>
                <w:rFonts w:ascii="Arial" w:cs="Arial" w:eastAsia="Arial" w:hAnsi="Arial"/>
                <w:sz w:val="18"/>
                <w:szCs w:val="18"/>
                <w:color w:val="auto"/>
                <w:w w:val="98"/>
              </w:rPr>
              <w:t>Effective</w:t>
            </w:r>
          </w:p>
        </w:tc>
        <w:tc>
          <w:tcPr>
            <w:tcW w:w="160" w:type="dxa"/>
            <w:vAlign w:val="bottom"/>
          </w:tcPr>
          <w:p>
            <w:pPr>
              <w:spacing w:after="0"/>
              <w:rPr>
                <w:sz w:val="17"/>
                <w:szCs w:val="17"/>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color w:val="auto"/>
              </w:rPr>
              <w:t>Principal</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color w:val="auto"/>
              </w:rPr>
              <w:t>Principal</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9"/>
              </w:rPr>
              <w:t>Rate</w:t>
            </w: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Long-term</w:t>
            </w:r>
          </w:p>
        </w:tc>
        <w:tc>
          <w:tcPr>
            <w:tcW w:w="1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w w:val="99"/>
              </w:rPr>
              <w:t>Long-term</w:t>
            </w:r>
          </w:p>
        </w:tc>
        <w:tc>
          <w:tcPr>
            <w:tcW w:w="0" w:type="dxa"/>
            <w:vAlign w:val="bottom"/>
          </w:tcPr>
          <w:p>
            <w:pPr>
              <w:spacing w:after="0"/>
              <w:rPr>
                <w:sz w:val="1"/>
                <w:szCs w:val="1"/>
                <w:color w:val="auto"/>
              </w:rPr>
            </w:pPr>
          </w:p>
        </w:tc>
      </w:tr>
      <w:tr>
        <w:trPr>
          <w:trHeight w:val="25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2031 Notes</w:t>
            </w:r>
          </w:p>
        </w:tc>
        <w:tc>
          <w:tcPr>
            <w:tcW w:w="12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0.75%</w:t>
            </w:r>
          </w:p>
        </w:tc>
        <w:tc>
          <w:tcPr>
            <w:tcW w:w="10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1.19%</w:t>
            </w: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52"/>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 Notes</w:t>
            </w: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4.00%</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4.17%</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5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borrowings</w:t>
            </w:r>
          </w:p>
        </w:tc>
        <w:tc>
          <w:tcPr>
            <w:tcW w:w="1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5"/>
        </w:trPr>
        <w:tc>
          <w:tcPr>
            <w:tcW w:w="4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debt</w:t>
            </w:r>
          </w:p>
        </w:tc>
        <w:tc>
          <w:tcPr>
            <w:tcW w:w="1200" w:type="dxa"/>
            <w:vAlign w:val="bottom"/>
            <w:tcBorders>
              <w:top w:val="single" w:sz="8" w:color="CCEEFF"/>
              <w:bottom w:val="single" w:sz="8" w:color="CCEEFF"/>
            </w:tcBorders>
            <w:shd w:val="clear" w:color="auto" w:fill="CCEEFF"/>
          </w:tcPr>
          <w:p>
            <w:pPr>
              <w:spacing w:after="0"/>
              <w:rPr>
                <w:sz w:val="23"/>
                <w:szCs w:val="23"/>
                <w:color w:val="auto"/>
              </w:rPr>
            </w:pPr>
          </w:p>
        </w:tc>
        <w:tc>
          <w:tcPr>
            <w:tcW w:w="10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-33655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2031 Convertible Senior Notes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November 19, 2024, and November 26, 2024, we issued and sold $400.0 million and $50.0 million, respectively, in aggregate principal amounts of unsecured 0.75% Convertible Senior Notes due 2031 (“2031 Notes”) in a private placement.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Contractual interest expense and amortization of debt issuance costs on the 2031 Notes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tcPr>
          <w:p>
            <w:pPr>
              <w:spacing w:after="0"/>
              <w:rPr>
                <w:sz w:val="20"/>
                <w:szCs w:val="20"/>
                <w:color w:val="auto"/>
              </w:rPr>
            </w:pPr>
          </w:p>
        </w:tc>
        <w:tc>
          <w:tcPr>
            <w:tcW w:w="300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4"/>
          </w:tcPr>
          <w:p>
            <w:pPr>
              <w:jc w:val="right"/>
              <w:ind w:right="870"/>
              <w:spacing w:after="0"/>
              <w:rPr>
                <w:sz w:val="20"/>
                <w:szCs w:val="20"/>
                <w:color w:val="auto"/>
              </w:rPr>
            </w:pPr>
            <w:r>
              <w:rPr>
                <w:rFonts w:ascii="Arial" w:cs="Arial" w:eastAsia="Arial" w:hAnsi="Arial"/>
                <w:sz w:val="18"/>
                <w:szCs w:val="18"/>
                <w:color w:val="auto"/>
              </w:rPr>
              <w:t>Nine Months Ended</w:t>
            </w:r>
          </w:p>
        </w:tc>
      </w:tr>
      <w:tr>
        <w:trPr>
          <w:trHeight w:val="248"/>
        </w:trPr>
        <w:tc>
          <w:tcPr>
            <w:tcW w:w="416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color w:val="auto"/>
              </w:rPr>
              <w:t>March</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March</w:t>
            </w:r>
          </w:p>
        </w:tc>
        <w:tc>
          <w:tcPr>
            <w:tcW w:w="1280" w:type="dxa"/>
            <w:vAlign w:val="bottom"/>
            <w:tcBorders>
              <w:bottom w:val="single" w:sz="8" w:color="auto"/>
            </w:tcBorders>
          </w:tcPr>
          <w:p>
            <w:pPr>
              <w:spacing w:after="0"/>
              <w:rPr>
                <w:sz w:val="21"/>
                <w:szCs w:val="21"/>
                <w:color w:val="auto"/>
              </w:rPr>
            </w:pPr>
          </w:p>
        </w:tc>
      </w:tr>
      <w:tr>
        <w:trPr>
          <w:trHeight w:val="250"/>
        </w:trPr>
        <w:tc>
          <w:tcPr>
            <w:tcW w:w="4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21"/>
                <w:szCs w:val="21"/>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2025</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2025</w:t>
            </w:r>
          </w:p>
        </w:tc>
      </w:tr>
      <w:tr>
        <w:trPr>
          <w:trHeight w:val="255"/>
        </w:trPr>
        <w:tc>
          <w:tcPr>
            <w:tcW w:w="4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200" w:type="dxa"/>
            <w:vAlign w:val="bottom"/>
            <w:tcBorders>
              <w:top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52"/>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issuance costs</w:t>
            </w:r>
          </w:p>
        </w:tc>
        <w:tc>
          <w:tcPr>
            <w:tcW w:w="1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8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r>
      <w:tr>
        <w:trPr>
          <w:trHeight w:val="788"/>
        </w:trPr>
        <w:tc>
          <w:tcPr>
            <w:tcW w:w="416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6"/>
        </w:trPr>
        <w:tc>
          <w:tcPr>
            <w:tcW w:w="416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191260" cy="300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line="199" w:lineRule="auto"/>
        <w:framePr w:w="1660" w:h="163" w:wrap="auto" w:vAnchor="page" w:hAnchor="page" w:x="8980" w:y="2758"/>
        <w:rPr>
          <w:rFonts w:ascii="Arial" w:cs="Arial" w:eastAsia="Arial" w:hAnsi="Arial"/>
          <w:sz w:val="17"/>
          <w:szCs w:val="17"/>
          <w:color w:val="auto"/>
        </w:rPr>
      </w:pPr>
      <w:r>
        <w:rPr>
          <w:rFonts w:ascii="Arial" w:cs="Arial" w:eastAsia="Arial" w:hAnsi="Arial"/>
          <w:sz w:val="17"/>
          <w:szCs w:val="17"/>
          <w:color w:val="auto"/>
        </w:rPr>
        <w:t>Nine Months Ended</w:t>
      </w:r>
    </w:p>
    <w:p>
      <w:pPr>
        <w:spacing w:after="0" w:line="199" w:lineRule="auto"/>
        <w:framePr w:w="580" w:h="163" w:wrap="auto" w:vAnchor="page" w:hAnchor="page" w:x="9520" w:y="3001"/>
        <w:rPr>
          <w:rFonts w:ascii="Arial" w:cs="Arial" w:eastAsia="Arial" w:hAnsi="Arial"/>
          <w:sz w:val="17"/>
          <w:szCs w:val="17"/>
          <w:color w:val="auto"/>
        </w:rPr>
      </w:pPr>
      <w:r>
        <w:rPr>
          <w:rFonts w:ascii="Arial" w:cs="Arial" w:eastAsia="Arial" w:hAnsi="Arial"/>
          <w:sz w:val="17"/>
          <w:szCs w:val="17"/>
          <w:color w:val="auto"/>
        </w:rPr>
        <w:t>March</w:t>
      </w:r>
    </w:p>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rFonts w:ascii="Arial" w:cs="Arial" w:eastAsia="Arial" w:hAnsi="Arial"/>
          <w:sz w:val="17"/>
          <w:szCs w:val="17"/>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rFonts w:ascii="Arial" w:cs="Arial" w:eastAsia="Arial" w:hAnsi="Arial"/>
          <w:sz w:val="17"/>
          <w:szCs w:val="17"/>
          <w:color w:val="auto"/>
        </w:rPr>
      </w:pPr>
    </w:p>
    <w:p>
      <w:pPr>
        <w:spacing w:after="0" w:line="32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2029 Notes</w:t>
      </w:r>
    </w:p>
    <w:p>
      <w:pPr>
        <w:spacing w:after="0" w:line="11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In March 2021, we issued $400.0 million in aggregate principal amount of senior notes due June 15, 2029 (“2029 Notes”).</w:t>
      </w:r>
    </w:p>
    <w:p>
      <w:pPr>
        <w:spacing w:after="0" w:line="11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Contractual interest expense and amortization of debt issuance costs on the 2029 Notes were as follows:</w:t>
      </w:r>
    </w:p>
    <w:p>
      <w:pPr>
        <w:spacing w:after="0" w:line="158" w:lineRule="exact"/>
        <w:rPr>
          <w:rFonts w:ascii="Arial" w:cs="Arial" w:eastAsia="Arial" w:hAnsi="Arial"/>
          <w:sz w:val="17"/>
          <w:szCs w:val="17"/>
          <w:color w:val="auto"/>
        </w:rPr>
      </w:pPr>
    </w:p>
    <w:p>
      <w:pPr>
        <w:jc w:val="center"/>
        <w:ind w:left="540"/>
        <w:spacing w:after="0"/>
        <w:rPr>
          <w:sz w:val="20"/>
          <w:szCs w:val="20"/>
          <w:color w:val="auto"/>
        </w:rPr>
      </w:pPr>
      <w:r>
        <w:rPr>
          <w:rFonts w:ascii="Arial" w:cs="Arial" w:eastAsia="Arial" w:hAnsi="Arial"/>
          <w:sz w:val="18"/>
          <w:szCs w:val="18"/>
          <w:color w:val="auto"/>
        </w:rPr>
        <w:t>Three Months Ended</w:t>
      </w:r>
    </w:p>
    <w:p>
      <w:pPr>
        <w:spacing w:after="0" w:line="36" w:lineRule="exact"/>
        <w:rPr>
          <w:rFonts w:ascii="Arial" w:cs="Arial" w:eastAsia="Arial" w:hAnsi="Arial"/>
          <w:sz w:val="17"/>
          <w:szCs w:val="17"/>
          <w:color w:val="auto"/>
        </w:rPr>
      </w:pPr>
    </w:p>
    <w:p>
      <w:pPr>
        <w:jc w:val="center"/>
        <w:ind w:left="540"/>
        <w:spacing w:after="0"/>
        <w:rPr>
          <w:sz w:val="20"/>
          <w:szCs w:val="20"/>
          <w:color w:val="auto"/>
        </w:rPr>
      </w:pPr>
      <w:r>
        <w:rPr>
          <w:rFonts w:ascii="Arial" w:cs="Arial" w:eastAsia="Arial" w:hAnsi="Arial"/>
          <w:sz w:val="18"/>
          <w:szCs w:val="18"/>
          <w:color w:val="auto"/>
        </w:rPr>
        <w:t>March</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2636520</wp:posOffset>
            </wp:positionH>
            <wp:positionV relativeFrom="paragraph">
              <wp:posOffset>26035</wp:posOffset>
            </wp:positionV>
            <wp:extent cx="45002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43"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244"/>
        </w:trPr>
        <w:tc>
          <w:tcPr>
            <w:tcW w:w="416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2026</w:t>
            </w: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2025</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2026</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r>
      <w:tr>
        <w:trPr>
          <w:trHeight w:val="228"/>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41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Amortization of debt issuance costs</w:t>
            </w: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interest expense</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Term Loan Facility</w:t>
      </w:r>
    </w:p>
    <w:p>
      <w:pPr>
        <w:spacing w:after="0" w:line="117" w:lineRule="exact"/>
        <w:rPr>
          <w:rFonts w:ascii="Arial" w:cs="Arial" w:eastAsia="Arial" w:hAnsi="Arial"/>
          <w:sz w:val="17"/>
          <w:szCs w:val="17"/>
          <w:color w:val="auto"/>
        </w:rPr>
      </w:pPr>
    </w:p>
    <w:p>
      <w:pPr>
        <w:jc w:val="both"/>
        <w:spacing w:after="0" w:line="259" w:lineRule="auto"/>
        <w:rPr>
          <w:sz w:val="20"/>
          <w:szCs w:val="20"/>
          <w:color w:val="auto"/>
        </w:rPr>
      </w:pPr>
      <w:r>
        <w:rPr>
          <w:rFonts w:ascii="Arial" w:cs="Arial" w:eastAsia="Arial" w:hAnsi="Arial"/>
          <w:sz w:val="18"/>
          <w:szCs w:val="18"/>
          <w:color w:val="auto"/>
        </w:rPr>
        <w:t>In December 2021, we entered into a first amendment and lender joinder agreement to our credit agreement, to, among other things, establish a new $600.0 million incremental term loan facility (“Term Loan Facility”). The Term Loan Facility was repaid entirely in the second quarter of fiscal 2025 and, accordingly, there was no interest expense and amortization of debt issuance costs thereon during the three months ended March 2025. For the nine months ended March 2025, contractual interest expense and amortization of debt issuance costs on the Term Loan Facility was $19.2 million.</w:t>
      </w:r>
    </w:p>
    <w:p>
      <w:pPr>
        <w:spacing w:after="0" w:line="7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17" w:lineRule="exact"/>
        <w:rPr>
          <w:rFonts w:ascii="Arial" w:cs="Arial" w:eastAsia="Arial" w:hAnsi="Arial"/>
          <w:sz w:val="17"/>
          <w:szCs w:val="17"/>
          <w:color w:val="auto"/>
        </w:rPr>
      </w:pPr>
    </w:p>
    <w:p>
      <w:pPr>
        <w:jc w:val="both"/>
        <w:spacing w:after="0" w:line="262" w:lineRule="auto"/>
        <w:rPr>
          <w:sz w:val="20"/>
          <w:szCs w:val="20"/>
          <w:color w:val="auto"/>
        </w:rPr>
      </w:pPr>
      <w:r>
        <w:rPr>
          <w:rFonts w:ascii="Arial" w:cs="Arial" w:eastAsia="Arial" w:hAnsi="Arial"/>
          <w:sz w:val="18"/>
          <w:szCs w:val="18"/>
          <w:color w:val="auto"/>
        </w:rPr>
        <w:t>We have $350.0 million available under a revolving credit agreement, as amended (“Revolving Credit Facility”), with a maturity date to be the earlier of (i) November 21, 2029, and (ii) ninety-one (91) days prior to any maturity of the 2029 Notes. Additionally, the Revolving Credit Facility provides a $ 25.0 million sublimit for letters of credit and a $25.0 million sublimit for swingline loans. As of March 2026, there was no balance outstanding under the Revolving Credit Facility.</w:t>
      </w:r>
    </w:p>
    <w:p>
      <w:pPr>
        <w:spacing w:after="0" w:line="68" w:lineRule="exact"/>
        <w:rPr>
          <w:rFonts w:ascii="Arial" w:cs="Arial" w:eastAsia="Arial" w:hAnsi="Arial"/>
          <w:sz w:val="17"/>
          <w:szCs w:val="17"/>
          <w:color w:val="auto"/>
        </w:rPr>
      </w:pPr>
    </w:p>
    <w:p>
      <w:pPr>
        <w:jc w:val="both"/>
        <w:spacing w:after="0" w:line="259" w:lineRule="auto"/>
        <w:rPr>
          <w:sz w:val="20"/>
          <w:szCs w:val="20"/>
          <w:color w:val="auto"/>
        </w:rPr>
      </w:pPr>
      <w:r>
        <w:rPr>
          <w:rFonts w:ascii="Arial" w:cs="Arial" w:eastAsia="Arial" w:hAnsi="Arial"/>
          <w:sz w:val="18"/>
          <w:szCs w:val="18"/>
          <w:color w:val="auto"/>
        </w:rPr>
        <w:t>The Revolving Credit Facility bears interest, at our election, at a Base Rate plus an Applicable Margin or Adjusted Term SOFR, as defined in the Revolving Credit Facility agreement. We are required to pay a commitment fee on any unused commitments which is determined on a leverage-based sliding scale ranging from 0.175% to 0.25% per annum. The unused commitment fees on the Revolving Credit Facility and amortization of issuance costs thereon were $0.3 million for each of the three months ended March 2026 and March 2025, and were $1.2 million and $0.7 million for the nine months ended March 2026 and March 2025, respectively.</w:t>
      </w:r>
    </w:p>
    <w:p>
      <w:pPr>
        <w:spacing w:after="0" w:line="71" w:lineRule="exact"/>
        <w:rPr>
          <w:rFonts w:ascii="Arial" w:cs="Arial" w:eastAsia="Arial" w:hAnsi="Arial"/>
          <w:sz w:val="17"/>
          <w:szCs w:val="17"/>
          <w:color w:val="auto"/>
        </w:rPr>
      </w:pPr>
    </w:p>
    <w:p>
      <w:pPr>
        <w:jc w:val="both"/>
        <w:spacing w:after="0" w:line="287" w:lineRule="auto"/>
        <w:rPr>
          <w:sz w:val="20"/>
          <w:szCs w:val="20"/>
          <w:color w:val="auto"/>
        </w:rPr>
      </w:pPr>
      <w:r>
        <w:rPr>
          <w:rFonts w:ascii="Arial" w:cs="Arial" w:eastAsia="Arial" w:hAnsi="Arial"/>
          <w:sz w:val="18"/>
          <w:szCs w:val="18"/>
          <w:color w:val="auto"/>
        </w:rPr>
        <w:t>The Revolving Credit Facility contains various restrictive covenants, including two financial covenants which limit the consolidated total net leverage ratio and the consolidated net interest coverage ratio. As of March 2026, we remain in compliance with the restrictive covenants.</w:t>
      </w:r>
    </w:p>
    <w:p>
      <w:pPr>
        <w:spacing w:after="0" w:line="45"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1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As of March 2026, principal maturities of our Notes were as follows:</w:t>
      </w:r>
    </w:p>
    <w:p>
      <w:pPr>
        <w:spacing w:after="0" w:line="171"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244"/>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Fiscal Year</w:t>
            </w:r>
          </w:p>
        </w:tc>
        <w:tc>
          <w:tcPr>
            <w:tcW w:w="3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2029 Notes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2031 Notes</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1"/>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2026 - 2028</w:t>
            </w:r>
          </w:p>
        </w:tc>
        <w:tc>
          <w:tcPr>
            <w:tcW w:w="3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080" w:type="dxa"/>
            <w:vAlign w:val="bottom"/>
          </w:tcPr>
          <w:p>
            <w:pPr>
              <w:ind w:left="20"/>
              <w:spacing w:after="0"/>
              <w:rPr>
                <w:sz w:val="20"/>
                <w:szCs w:val="20"/>
                <w:color w:val="auto"/>
              </w:rPr>
            </w:pPr>
            <w:r>
              <w:rPr>
                <w:rFonts w:ascii="Arial" w:cs="Arial" w:eastAsia="Arial" w:hAnsi="Arial"/>
                <w:sz w:val="18"/>
                <w:szCs w:val="18"/>
                <w:color w:val="auto"/>
              </w:rPr>
              <w:t>2029</w:t>
            </w:r>
          </w:p>
        </w:tc>
        <w:tc>
          <w:tcPr>
            <w:tcW w:w="3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 and thereafter</w:t>
            </w:r>
          </w:p>
        </w:tc>
        <w:tc>
          <w:tcPr>
            <w:tcW w:w="3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160" w:type="dxa"/>
            <w:vAlign w:val="bottom"/>
            <w:vMerge w:val="restart"/>
          </w:tcPr>
          <w:p>
            <w:pPr>
              <w:jc w:val="right"/>
              <w:ind w:right="137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8"/>
        </w:trPr>
        <w:tc>
          <w:tcPr>
            <w:tcW w:w="30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80" w:type="dxa"/>
            <w:vAlign w:val="bottom"/>
            <w:tcBorders>
              <w:bottom w:val="single" w:sz="8" w:color="9A9A9A"/>
            </w:tcBorders>
          </w:tcPr>
          <w:p>
            <w:pPr>
              <w:spacing w:after="0"/>
              <w:rPr>
                <w:sz w:val="17"/>
                <w:szCs w:val="17"/>
                <w:color w:val="auto"/>
              </w:rPr>
            </w:pPr>
          </w:p>
        </w:tc>
        <w:tc>
          <w:tcPr>
            <w:tcW w:w="31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191260" cy="3003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Leases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of March 2026 and June 2025, the components of leases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March</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June</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0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4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gridSpan w:val="2"/>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gridSpan w:val="2"/>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ind w:left="20"/>
              <w:spacing w:after="0"/>
              <w:rPr>
                <w:sz w:val="20"/>
                <w:szCs w:val="20"/>
                <w:color w:val="auto"/>
              </w:rPr>
            </w:pPr>
            <w:r>
              <w:rPr>
                <w:rFonts w:ascii="Arial" w:cs="Arial" w:eastAsia="Arial" w:hAnsi="Arial"/>
                <w:sz w:val="18"/>
                <w:szCs w:val="18"/>
                <w:color w:val="auto"/>
              </w:rPr>
              <w:t>Operating lease liabilities</w:t>
            </w: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020" w:type="dxa"/>
            <w:vAlign w:val="bottom"/>
            <w:vMerge w:val="continue"/>
          </w:tcPr>
          <w:p>
            <w:pPr>
              <w:spacing w:after="0"/>
              <w:rPr>
                <w:sz w:val="19"/>
                <w:szCs w:val="19"/>
                <w:color w:val="auto"/>
              </w:rPr>
            </w:pPr>
          </w:p>
        </w:tc>
        <w:tc>
          <w:tcPr>
            <w:tcW w:w="10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1100" w:type="dxa"/>
            <w:vAlign w:val="bottom"/>
            <w:gridSpan w:val="3"/>
          </w:tcPr>
          <w:p>
            <w:pPr>
              <w:jc w:val="right"/>
              <w:ind w:right="79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long-term</w:t>
            </w:r>
          </w:p>
        </w:tc>
        <w:tc>
          <w:tcPr>
            <w:tcW w:w="4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0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0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42.7</w:t>
            </w:r>
          </w:p>
        </w:tc>
        <w:tc>
          <w:tcPr>
            <w:tcW w:w="40" w:type="dxa"/>
            <w:vAlign w:val="bottom"/>
          </w:tcPr>
          <w:p>
            <w:pPr>
              <w:spacing w:after="0"/>
              <w:rPr>
                <w:sz w:val="22"/>
                <w:szCs w:val="22"/>
                <w:color w:val="auto"/>
              </w:rPr>
            </w:pPr>
          </w:p>
        </w:tc>
        <w:tc>
          <w:tcPr>
            <w:tcW w:w="1100" w:type="dxa"/>
            <w:vAlign w:val="bottom"/>
            <w:gridSpan w:val="3"/>
          </w:tcPr>
          <w:p>
            <w:pPr>
              <w:jc w:val="right"/>
              <w:ind w:right="79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48.1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80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6"/>
          </w:tcPr>
          <w:p>
            <w:pPr>
              <w:jc w:val="right"/>
              <w:ind w:right="210"/>
              <w:spacing w:after="0"/>
              <w:rPr>
                <w:sz w:val="20"/>
                <w:szCs w:val="20"/>
                <w:color w:val="auto"/>
              </w:rPr>
            </w:pPr>
            <w:r>
              <w:rPr>
                <w:rFonts w:ascii="Arial" w:cs="Arial" w:eastAsia="Arial" w:hAnsi="Arial"/>
                <w:sz w:val="18"/>
                <w:szCs w:val="18"/>
                <w:color w:val="auto"/>
              </w:rPr>
              <w:t>Nine Months Ended</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0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jc w:val="right"/>
              <w:ind w:right="750"/>
              <w:spacing w:after="0"/>
              <w:rPr>
                <w:sz w:val="20"/>
                <w:szCs w:val="20"/>
                <w:color w:val="auto"/>
              </w:rPr>
            </w:pPr>
            <w:r>
              <w:rPr>
                <w:rFonts w:ascii="Arial" w:cs="Arial" w:eastAsia="Arial" w:hAnsi="Arial"/>
                <w:sz w:val="18"/>
                <w:szCs w:val="18"/>
                <w:color w:val="auto"/>
              </w:rPr>
              <w:t>March</w:t>
            </w:r>
          </w:p>
        </w:tc>
        <w:tc>
          <w:tcPr>
            <w:tcW w:w="4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2026</w:t>
            </w:r>
          </w:p>
        </w:tc>
        <w:tc>
          <w:tcPr>
            <w:tcW w:w="44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leases included in operating cash flows</w:t>
            </w:r>
          </w:p>
        </w:tc>
        <w:tc>
          <w:tcPr>
            <w:tcW w:w="106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w:t>
            </w:r>
          </w:p>
        </w:tc>
        <w:tc>
          <w:tcPr>
            <w:tcW w:w="4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020" w:type="dxa"/>
            <w:vAlign w:val="bottom"/>
          </w:tcPr>
          <w:p>
            <w:pPr>
              <w:ind w:left="20"/>
              <w:spacing w:after="0"/>
              <w:rPr>
                <w:sz w:val="20"/>
                <w:szCs w:val="20"/>
                <w:color w:val="auto"/>
              </w:rPr>
            </w:pPr>
            <w:r>
              <w:rPr>
                <w:rFonts w:ascii="Arial" w:cs="Arial" w:eastAsia="Arial" w:hAnsi="Arial"/>
                <w:sz w:val="18"/>
                <w:szCs w:val="18"/>
                <w:color w:val="auto"/>
              </w:rPr>
              <w:t>Lease liabilities arising from obtaining right-of-use assets</w:t>
            </w:r>
          </w:p>
        </w:tc>
        <w:tc>
          <w:tcPr>
            <w:tcW w:w="1060" w:type="dxa"/>
            <w:vAlign w:val="bottom"/>
            <w:gridSpan w:val="2"/>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1"/>
                <w:szCs w:val="21"/>
                <w:color w:val="auto"/>
              </w:rPr>
            </w:pPr>
          </w:p>
        </w:tc>
        <w:tc>
          <w:tcPr>
            <w:tcW w:w="1100" w:type="dxa"/>
            <w:vAlign w:val="bottom"/>
            <w:gridSpan w:val="3"/>
          </w:tcPr>
          <w:p>
            <w:pPr>
              <w:jc w:val="right"/>
              <w:ind w:right="8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of March 2026, the weighted average remaining lease term was 5.43 years, and the weighted average discount rate was 5.21%.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2026 and March 2025, we recorded operating lease expense of $3.3 million and $3.1 million,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March 2026 and March 2025, we recorded operating lease expense of $9.6 million and $9.6 million,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short-term leases are immaterial, and we do not have finance leases.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for the operating lease liabilities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Operating</w:t>
            </w:r>
          </w:p>
        </w:tc>
        <w:tc>
          <w:tcPr>
            <w:tcW w:w="0" w:type="dxa"/>
            <w:vAlign w:val="bottom"/>
          </w:tcPr>
          <w:p>
            <w:pPr>
              <w:spacing w:after="0"/>
              <w:rPr>
                <w:sz w:val="1"/>
                <w:szCs w:val="1"/>
                <w:color w:val="auto"/>
              </w:rPr>
            </w:pPr>
          </w:p>
        </w:tc>
      </w:tr>
      <w:tr>
        <w:trPr>
          <w:trHeight w:val="202"/>
        </w:trPr>
        <w:tc>
          <w:tcPr>
            <w:tcW w:w="420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44"/>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w:t>
            </w:r>
          </w:p>
        </w:tc>
        <w:tc>
          <w:tcPr>
            <w:tcW w:w="5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Payments</w:t>
            </w:r>
          </w:p>
        </w:tc>
        <w:tc>
          <w:tcPr>
            <w:tcW w:w="0" w:type="dxa"/>
            <w:vAlign w:val="bottom"/>
          </w:tcPr>
          <w:p>
            <w:pPr>
              <w:spacing w:after="0"/>
              <w:rPr>
                <w:sz w:val="1"/>
                <w:szCs w:val="1"/>
                <w:color w:val="auto"/>
              </w:rPr>
            </w:pPr>
          </w:p>
        </w:tc>
      </w:tr>
      <w:tr>
        <w:trPr>
          <w:trHeight w:val="25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5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2"/>
        </w:trPr>
        <w:tc>
          <w:tcPr>
            <w:tcW w:w="4200" w:type="dxa"/>
            <w:vAlign w:val="bottom"/>
          </w:tcPr>
          <w:p>
            <w:pPr>
              <w:ind w:left="20"/>
              <w:spacing w:after="0"/>
              <w:rPr>
                <w:sz w:val="20"/>
                <w:szCs w:val="20"/>
                <w:color w:val="auto"/>
              </w:rPr>
            </w:pPr>
            <w:r>
              <w:rPr>
                <w:rFonts w:ascii="Arial" w:cs="Arial" w:eastAsia="Arial" w:hAnsi="Arial"/>
                <w:sz w:val="18"/>
                <w:szCs w:val="18"/>
                <w:color w:val="auto"/>
              </w:rPr>
              <w:t>2027</w:t>
            </w:r>
          </w:p>
        </w:tc>
        <w:tc>
          <w:tcPr>
            <w:tcW w:w="5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6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2"/>
        </w:trPr>
        <w:tc>
          <w:tcPr>
            <w:tcW w:w="4200" w:type="dxa"/>
            <w:vAlign w:val="bottom"/>
          </w:tcPr>
          <w:p>
            <w:pPr>
              <w:ind w:left="20"/>
              <w:spacing w:after="0"/>
              <w:rPr>
                <w:sz w:val="20"/>
                <w:szCs w:val="20"/>
                <w:color w:val="auto"/>
              </w:rPr>
            </w:pPr>
            <w:r>
              <w:rPr>
                <w:rFonts w:ascii="Arial" w:cs="Arial" w:eastAsia="Arial" w:hAnsi="Arial"/>
                <w:sz w:val="18"/>
                <w:szCs w:val="18"/>
                <w:color w:val="auto"/>
              </w:rPr>
              <w:t>2029</w:t>
            </w:r>
          </w:p>
        </w:tc>
        <w:tc>
          <w:tcPr>
            <w:tcW w:w="5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6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5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2"/>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operating lease payments</w:t>
            </w:r>
          </w:p>
        </w:tc>
        <w:tc>
          <w:tcPr>
            <w:tcW w:w="5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2"/>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5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5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jc w:val="right"/>
              <w:ind w:right="477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420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00" w:type="dxa"/>
            <w:vAlign w:val="bottom"/>
            <w:tcBorders>
              <w:bottom w:val="single" w:sz="8" w:color="9A9A9A"/>
            </w:tcBorders>
          </w:tcPr>
          <w:p>
            <w:pPr>
              <w:spacing w:after="0"/>
              <w:rPr>
                <w:sz w:val="17"/>
                <w:szCs w:val="17"/>
                <w:color w:val="auto"/>
              </w:rPr>
            </w:pPr>
          </w:p>
        </w:tc>
        <w:tc>
          <w:tcPr>
            <w:tcW w:w="54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-2185035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191260" cy="3003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Indemnifications and Contingencies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We have received in the past, and may receive in the future, notices from third parties that claim our products infringe their intellectual property rights. We cannot be certain that our technologies and products do not, and will not, infringe issued patents or other proprietary rights of third parties. 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 We accrue for liabilities arising from indemnifications when it is both probable that we will incur the loss and we can reasonably estimate the amount of the loss or range of loss.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subject to various claims and legal proceedings, either asserted or unasserted, that arise in the ordinary course of business. We accrue for loss contingencies when it is both probable that we will incur the loss and we can reasonably estimate the amount of the loss or range of loss. While we currently believe that resolving claims against us, individually or in the aggregate, will not have a material adverse impact on our business, financial condition or results of operations, these matters are subject to inherent uncertainties, and our view of these matters may change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Common Stock Share-Based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 Board-approved stock repurchase program authorizing repurchases of up to $150.0 million of our common stock. This program does not have an expiration date; however, we will periodically review the authorization to assess its continued appropriateness in light of our capital allocation priorities and market conditions. The number of shares repurchased and the timing of repurchases depend on the level of our cash balances, general business and market conditions and other factors, including alternative investment opportunities.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and nine months ended March 2026, we repurchased $39.0 million and $82.6 million of our common stock, respectively, and $67.4 million remains available for future stock repurchases under the stock repurchase program.</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recognized in our condensed consolidated statements of operations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61"/>
        </w:trPr>
        <w:tc>
          <w:tcPr>
            <w:tcW w:w="3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March</w:t>
            </w:r>
          </w:p>
        </w:tc>
        <w:tc>
          <w:tcPr>
            <w:tcW w:w="5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March</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55"/>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5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2"/>
        </w:trPr>
        <w:tc>
          <w:tcPr>
            <w:tcW w:w="3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55"/>
        </w:trPr>
        <w:tc>
          <w:tcPr>
            <w:tcW w:w="3700" w:type="dxa"/>
            <w:vAlign w:val="bottom"/>
          </w:tcPr>
          <w:p>
            <w:pPr>
              <w:ind w:left="160"/>
              <w:spacing w:after="0"/>
              <w:rPr>
                <w:sz w:val="20"/>
                <w:szCs w:val="20"/>
                <w:color w:val="auto"/>
              </w:rPr>
            </w:pPr>
            <w:r>
              <w:rPr>
                <w:rFonts w:ascii="Arial" w:cs="Arial" w:eastAsia="Arial" w:hAnsi="Arial"/>
                <w:sz w:val="18"/>
                <w:szCs w:val="18"/>
                <w:color w:val="auto"/>
              </w:rPr>
              <w:t>Total</w:t>
            </w:r>
          </w:p>
        </w:tc>
        <w:tc>
          <w:tcPr>
            <w:tcW w:w="25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2"/>
                <w:szCs w:val="22"/>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540" w:type="dxa"/>
            <w:vAlign w:val="bottom"/>
            <w:vMerge w:val="restart"/>
          </w:tcPr>
          <w:p>
            <w:pPr>
              <w:jc w:val="right"/>
              <w:ind w:right="370"/>
              <w:spacing w:after="0"/>
              <w:rPr>
                <w:sz w:val="20"/>
                <w:szCs w:val="20"/>
                <w:color w:val="auto"/>
              </w:rPr>
            </w:pPr>
            <w:r>
              <w:rPr>
                <w:rFonts w:ascii="Arial" w:cs="Arial" w:eastAsia="Arial" w:hAnsi="Arial"/>
                <w:sz w:val="18"/>
                <w:szCs w:val="18"/>
                <w:color w:val="auto"/>
              </w:rPr>
              <w:t>16</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8"/>
        </w:trPr>
        <w:tc>
          <w:tcPr>
            <w:tcW w:w="37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70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-436880</wp:posOffset>
            </wp:positionV>
            <wp:extent cx="1191260" cy="2997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91260" cy="29972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RSUs granted generally vest ratably over two to three years from the vesting commencement date. RSU activity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9"/>
              </w:rPr>
              <w:t>Weighted-</w:t>
            </w:r>
          </w:p>
        </w:tc>
      </w:tr>
      <w:tr>
        <w:trPr>
          <w:trHeight w:val="229"/>
        </w:trPr>
        <w:tc>
          <w:tcPr>
            <w:tcW w:w="8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RSU</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rPr>
              <w:t>Average Grant</w:t>
            </w:r>
          </w:p>
        </w:tc>
      </w:tr>
      <w:tr>
        <w:trPr>
          <w:trHeight w:val="230"/>
        </w:trPr>
        <w:tc>
          <w:tcPr>
            <w:tcW w:w="8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Awards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7"/>
              </w:rPr>
              <w:t>Date Fair Value</w:t>
            </w:r>
          </w:p>
        </w:tc>
      </w:tr>
      <w:tr>
        <w:trPr>
          <w:trHeight w:val="252"/>
        </w:trPr>
        <w:tc>
          <w:tcPr>
            <w:tcW w:w="81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Outstanding</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8"/>
              </w:rPr>
              <w:t>per Share</w:t>
            </w:r>
          </w:p>
        </w:tc>
      </w:tr>
      <w:tr>
        <w:trPr>
          <w:trHeight w:val="23"/>
        </w:trPr>
        <w:tc>
          <w:tcPr>
            <w:tcW w:w="81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2025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52"/>
        </w:trPr>
        <w:tc>
          <w:tcPr>
            <w:tcW w:w="81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61"/>
        </w:trPr>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52"/>
        </w:trPr>
        <w:tc>
          <w:tcPr>
            <w:tcW w:w="8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75.8</w:t>
            </w:r>
          </w:p>
        </w:tc>
      </w:tr>
      <w:tr>
        <w:trPr>
          <w:trHeight w:val="28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unrecognized share-based compensation cost of our outstanding RSUs was approximately $172.8 million as of March 2026, which will be recognized over a weighted average period of approximately 1.81 years.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40" w:type="dxa"/>
            <w:vAlign w:val="bottom"/>
            <w:gridSpan w:val="2"/>
          </w:tcPr>
          <w:p>
            <w:pPr>
              <w:spacing w:after="0"/>
              <w:rPr>
                <w:sz w:val="20"/>
                <w:szCs w:val="20"/>
                <w:color w:val="auto"/>
              </w:rPr>
            </w:pPr>
            <w:r>
              <w:rPr>
                <w:rFonts w:ascii="Arial" w:cs="Arial" w:eastAsia="Arial" w:hAnsi="Arial"/>
                <w:sz w:val="18"/>
                <w:szCs w:val="18"/>
                <w:i w:val="1"/>
                <w:iCs w:val="1"/>
                <w:color w:val="auto"/>
              </w:rPr>
              <w:t>Market Stock Units (MSUs)</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color w:val="auto"/>
              </w:rPr>
              <w:t>MSU activity was as follows: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9"/>
              </w:rPr>
              <w:t>MSU</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9"/>
              </w:rPr>
              <w:t>Weighted-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rPr>
              <w:t>Average Grant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Awards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7"/>
              </w:rPr>
              <w:t>Date Fair Value</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Outstanding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8"/>
              </w:rPr>
              <w:t>per Share</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2025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Delivered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unrecognized share-based compensation cost of our outstanding MSUs was approximately $13.8 million as of March 2026, which will be recognized over a weighted average period of approximately 1.69 years.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gridSpan w:val="2"/>
          </w:tcPr>
          <w:p>
            <w:pPr>
              <w:spacing w:after="0"/>
              <w:rPr>
                <w:sz w:val="20"/>
                <w:szCs w:val="20"/>
                <w:color w:val="auto"/>
              </w:rPr>
            </w:pPr>
            <w:r>
              <w:rPr>
                <w:rFonts w:ascii="Arial" w:cs="Arial" w:eastAsia="Arial" w:hAnsi="Arial"/>
                <w:sz w:val="18"/>
                <w:szCs w:val="18"/>
                <w:i w:val="1"/>
                <w:iCs w:val="1"/>
                <w:color w:val="auto"/>
              </w:rPr>
              <w:t>Performance Stock Units (PSUs)</w:t>
            </w:r>
          </w:p>
        </w:tc>
        <w:tc>
          <w:tcPr>
            <w:tcW w:w="4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PSU activity was as follows:</w:t>
            </w:r>
          </w:p>
        </w:tc>
        <w:tc>
          <w:tcPr>
            <w:tcW w:w="4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PSU</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Average Grant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Awards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Date Fair Value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2025</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Granted</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Delivered</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Forfeited</w:t>
            </w:r>
          </w:p>
        </w:tc>
        <w:tc>
          <w:tcPr>
            <w:tcW w:w="454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2026</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bottom w:val="single" w:sz="8" w:color="CCEEFF"/>
            </w:tcBorders>
            <w:vMerge w:val="restart"/>
          </w:tcPr>
          <w:p>
            <w:pPr>
              <w:jc w:val="right"/>
              <w:ind w:right="3270"/>
              <w:spacing w:after="0"/>
              <w:rPr>
                <w:sz w:val="20"/>
                <w:szCs w:val="20"/>
                <w:color w:val="auto"/>
              </w:rPr>
            </w:pPr>
            <w:r>
              <w:rPr>
                <w:rFonts w:ascii="Arial" w:cs="Arial" w:eastAsia="Arial" w:hAnsi="Arial"/>
                <w:sz w:val="18"/>
                <w:szCs w:val="18"/>
                <w:color w:val="auto"/>
              </w:rPr>
              <w:t>17</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9A9A9A"/>
            </w:tcBorders>
          </w:tcPr>
          <w:p>
            <w:pPr>
              <w:spacing w:after="0"/>
              <w:rPr>
                <w:sz w:val="17"/>
                <w:szCs w:val="17"/>
                <w:color w:val="auto"/>
              </w:rPr>
            </w:pPr>
          </w:p>
        </w:tc>
        <w:tc>
          <w:tcPr>
            <w:tcW w:w="3580" w:type="dxa"/>
            <w:vAlign w:val="bottom"/>
            <w:tcBorders>
              <w:bottom w:val="single" w:sz="8" w:color="9A9A9A"/>
            </w:tcBorders>
          </w:tcPr>
          <w:p>
            <w:pPr>
              <w:spacing w:after="0"/>
              <w:rPr>
                <w:sz w:val="17"/>
                <w:szCs w:val="17"/>
                <w:color w:val="auto"/>
              </w:rPr>
            </w:pPr>
          </w:p>
        </w:tc>
        <w:tc>
          <w:tcPr>
            <w:tcW w:w="454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191260" cy="300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unrecognized share-based compensation cost of our outstanding PSUs was approximately $11.8 million as of March 2026, which will be recognized over a weighted average period of approximately 0.97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Shares purchased, weighted average purchase price, cash received, and the aggregate intrinsic value for employee stock purchase plan purchases during the nine months ended March 2026, were as follows: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purchased</w:t>
            </w:r>
          </w:p>
        </w:tc>
        <w:tc>
          <w:tcPr>
            <w:tcW w:w="36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2"/>
        </w:trPr>
        <w:tc>
          <w:tcPr>
            <w:tcW w:w="6620" w:type="dxa"/>
            <w:vAlign w:val="bottom"/>
          </w:tcPr>
          <w:p>
            <w:pPr>
              <w:ind w:left="20"/>
              <w:spacing w:after="0"/>
              <w:rPr>
                <w:sz w:val="20"/>
                <w:szCs w:val="20"/>
                <w:color w:val="auto"/>
              </w:rPr>
            </w:pPr>
            <w:r>
              <w:rPr>
                <w:rFonts w:ascii="Arial" w:cs="Arial" w:eastAsia="Arial" w:hAnsi="Arial"/>
                <w:sz w:val="18"/>
                <w:szCs w:val="18"/>
                <w:color w:val="auto"/>
              </w:rPr>
              <w:t>Weighted average purchase price per share</w:t>
            </w:r>
          </w:p>
        </w:tc>
        <w:tc>
          <w:tcPr>
            <w:tcW w:w="3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61"/>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received</w:t>
            </w:r>
          </w:p>
        </w:tc>
        <w:tc>
          <w:tcPr>
            <w:tcW w:w="3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Aggregate intrinsic value</w:t>
            </w:r>
          </w:p>
        </w:tc>
        <w:tc>
          <w:tcPr>
            <w:tcW w:w="3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Income Taxes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benefit from income taxes of $7.2 million and $12.0 million for the three and nine months ended March 2026, respectively, represented estimated federal, foreign, and state income taxes. The effective tax rate for the three and nine months ended March 2026 diverged from the combined U.S. federal and state statutory tax rate primarily due to the benefits from foreign-derived deduction eligible income, research and development tax credits, and foreign income taxed at lower rates, partially offset by non-deductible share-based compensation and non-deductible officer compensation.</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effective tax rate for the three months ended March 2025 is closely aligned with the combined U.S. federal and state statutory tax rate. The slight variance primarily results from non-deductible share-based compensation, partially offset by foreign income taxed at lower rates. The effective tax rate for the nine months ended March 2025 diverged from the combined U.S. federal and state statutory tax rate primarily due to one-time tax benefits recorded during the six months ended December 2024, including a $14.1 million deferred tax benefit from a U.S. “check-the-box” election for our Israel subsidiary, and an $8.9 million benefit related to the fiscal 2018 deemed repatriation liability under the U.S. Tax Cuts and Jobs Act, or TCJA, following a U.S. Tax Court decision in Varian Medical Systems, Inc. v. Commissioner. The divergence also reflects a deferred tax benefit from an inventory transfer and foreign income taxed at lower rates. These benefits were partially offset by non-deductible share-based compensation and non-deductible officer compensation.</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liability for gross unrecognized tax benefits related to uncertain tax positions decreased $0.6 million during the nine months ended March 2026, to $44.1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March 2026 were $4.5 million; this balance increased by $0.3 million compared to June 2025. We classify interest and penalties as components of income tax expense.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major tax jurisdictions are the United States, Hong Kong SAR, Japan, Israel and the United Kingdom. From fiscal 2018 onward, we remain subject to examination by one or more of these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126365</wp:posOffset>
            </wp:positionV>
            <wp:extent cx="1191260" cy="300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Revenue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revenue is generated from product shipments to our customers. A summary of our product categories is as follows: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Core IoT: Includes products for Wireless and Processor Solutions.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Enterprise and Automotive: Includes products for PC Touch Pad, PC Fingerprint, Video Interface Solutions and Automotive Solutions.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Mobile: Includes products for Touch and Display Solutions for Mobile phone applications.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20" w:type="dxa"/>
            <w:vAlign w:val="bottom"/>
          </w:tcPr>
          <w:p>
            <w:pPr>
              <w:spacing w:after="0"/>
              <w:rPr>
                <w:sz w:val="20"/>
                <w:szCs w:val="20"/>
                <w:color w:val="auto"/>
              </w:rPr>
            </w:pPr>
            <w:r>
              <w:rPr>
                <w:rFonts w:ascii="Arial" w:cs="Arial" w:eastAsia="Arial" w:hAnsi="Arial"/>
                <w:sz w:val="18"/>
                <w:szCs w:val="18"/>
                <w:i w:val="1"/>
                <w:iCs w:val="1"/>
                <w:color w:val="auto"/>
              </w:rPr>
              <w:t>Disaggregation of revenue</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5020" w:type="dxa"/>
            <w:vAlign w:val="bottom"/>
          </w:tcPr>
          <w:p>
            <w:pPr>
              <w:spacing w:after="0"/>
              <w:rPr>
                <w:sz w:val="20"/>
                <w:szCs w:val="20"/>
                <w:color w:val="auto"/>
              </w:rPr>
            </w:pPr>
            <w:r>
              <w:rPr>
                <w:rFonts w:ascii="Arial" w:cs="Arial" w:eastAsia="Arial" w:hAnsi="Arial"/>
                <w:sz w:val="18"/>
                <w:szCs w:val="18"/>
                <w:color w:val="auto"/>
              </w:rPr>
              <w:t>Net revenue by product category was as follows: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5020" w:type="dxa"/>
            <w:vAlign w:val="bottom"/>
          </w:tcPr>
          <w:p>
            <w:pPr>
              <w:spacing w:after="0"/>
              <w:rPr>
                <w:sz w:val="24"/>
                <w:szCs w:val="24"/>
                <w:color w:val="auto"/>
              </w:rPr>
            </w:pPr>
          </w:p>
        </w:tc>
        <w:tc>
          <w:tcPr>
            <w:tcW w:w="252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4"/>
          </w:tcPr>
          <w:p>
            <w:pPr>
              <w:jc w:val="right"/>
              <w:ind w:right="650"/>
              <w:spacing w:after="0"/>
              <w:rPr>
                <w:sz w:val="20"/>
                <w:szCs w:val="20"/>
                <w:color w:val="auto"/>
              </w:rPr>
            </w:pPr>
            <w:r>
              <w:rPr>
                <w:rFonts w:ascii="Arial" w:cs="Arial" w:eastAsia="Arial" w:hAnsi="Arial"/>
                <w:sz w:val="18"/>
                <w:szCs w:val="18"/>
                <w:color w:val="auto"/>
              </w:rPr>
              <w:t>Nine Months Ended</w:t>
            </w:r>
          </w:p>
        </w:tc>
      </w:tr>
      <w:tr>
        <w:trPr>
          <w:trHeight w:val="261"/>
        </w:trPr>
        <w:tc>
          <w:tcPr>
            <w:tcW w:w="50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March</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March</w:t>
            </w:r>
          </w:p>
        </w:tc>
        <w:tc>
          <w:tcPr>
            <w:tcW w:w="1120" w:type="dxa"/>
            <w:vAlign w:val="bottom"/>
            <w:tcBorders>
              <w:bottom w:val="single" w:sz="8" w:color="auto"/>
            </w:tcBorders>
          </w:tcPr>
          <w:p>
            <w:pPr>
              <w:spacing w:after="0"/>
              <w:rPr>
                <w:sz w:val="22"/>
                <w:szCs w:val="22"/>
                <w:color w:val="auto"/>
              </w:rPr>
            </w:pPr>
          </w:p>
        </w:tc>
      </w:tr>
      <w:tr>
        <w:trPr>
          <w:trHeight w:val="250"/>
        </w:trPr>
        <w:tc>
          <w:tcPr>
            <w:tcW w:w="50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r>
      <w:tr>
        <w:trPr>
          <w:trHeight w:val="25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and Automotive product applications</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r>
      <w:tr>
        <w:trPr>
          <w:trHeight w:val="252"/>
        </w:trPr>
        <w:tc>
          <w:tcPr>
            <w:tcW w:w="5020" w:type="dxa"/>
            <w:vAlign w:val="bottom"/>
          </w:tcPr>
          <w:p>
            <w:pPr>
              <w:ind w:left="20"/>
              <w:spacing w:after="0"/>
              <w:rPr>
                <w:sz w:val="20"/>
                <w:szCs w:val="20"/>
                <w:color w:val="auto"/>
              </w:rPr>
            </w:pPr>
            <w:r>
              <w:rPr>
                <w:rFonts w:ascii="Arial" w:cs="Arial" w:eastAsia="Arial" w:hAnsi="Arial"/>
                <w:sz w:val="18"/>
                <w:szCs w:val="18"/>
                <w:color w:val="auto"/>
              </w:rPr>
              <w:t>Core IoT product applications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product applications</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r>
      <w:tr>
        <w:trPr>
          <w:trHeight w:val="250"/>
        </w:trPr>
        <w:tc>
          <w:tcPr>
            <w:tcW w:w="5020" w:type="dxa"/>
            <w:vAlign w:val="bottom"/>
          </w:tcPr>
          <w:p>
            <w:pPr>
              <w:spacing w:after="0"/>
              <w:rPr>
                <w:sz w:val="21"/>
                <w:szCs w:val="21"/>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294.2</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266.6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r>
      <w:tr>
        <w:trPr>
          <w:trHeight w:val="25"/>
        </w:trPr>
        <w:tc>
          <w:tcPr>
            <w:tcW w:w="5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revenue by geographic region, based on the billing location of our customers, for the periods presented was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940" w:type="dxa"/>
            <w:vAlign w:val="bottom"/>
          </w:tcPr>
          <w:p>
            <w:pPr>
              <w:spacing w:after="0"/>
              <w:rPr>
                <w:sz w:val="20"/>
                <w:szCs w:val="20"/>
                <w:color w:val="auto"/>
              </w:rPr>
            </w:pPr>
          </w:p>
        </w:tc>
        <w:tc>
          <w:tcPr>
            <w:tcW w:w="254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50"/>
              <w:spacing w:after="0"/>
              <w:rPr>
                <w:sz w:val="20"/>
                <w:szCs w:val="20"/>
                <w:color w:val="auto"/>
              </w:rPr>
            </w:pPr>
            <w:r>
              <w:rPr>
                <w:rFonts w:ascii="Arial" w:cs="Arial" w:eastAsia="Arial" w:hAnsi="Arial"/>
                <w:sz w:val="18"/>
                <w:szCs w:val="18"/>
                <w:color w:val="auto"/>
              </w:rPr>
              <w:t>Nine Months Ended</w:t>
            </w:r>
          </w:p>
        </w:tc>
      </w:tr>
      <w:tr>
        <w:trPr>
          <w:trHeight w:val="261"/>
        </w:trPr>
        <w:tc>
          <w:tcPr>
            <w:tcW w:w="49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March</w:t>
            </w:r>
          </w:p>
        </w:tc>
        <w:tc>
          <w:tcPr>
            <w:tcW w:w="5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March</w:t>
            </w:r>
          </w:p>
        </w:tc>
        <w:tc>
          <w:tcPr>
            <w:tcW w:w="1120" w:type="dxa"/>
            <w:vAlign w:val="bottom"/>
            <w:tcBorders>
              <w:bottom w:val="single" w:sz="8" w:color="auto"/>
            </w:tcBorders>
          </w:tcPr>
          <w:p>
            <w:pPr>
              <w:spacing w:after="0"/>
              <w:rPr>
                <w:sz w:val="22"/>
                <w:szCs w:val="22"/>
                <w:color w:val="auto"/>
              </w:rPr>
            </w:pPr>
          </w:p>
        </w:tc>
      </w:tr>
      <w:tr>
        <w:trPr>
          <w:trHeight w:val="250"/>
        </w:trPr>
        <w:tc>
          <w:tcPr>
            <w:tcW w:w="49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2026</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r>
      <w:tr>
        <w:trPr>
          <w:trHeight w:val="25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China/Hong Kong</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125.3</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r>
      <w:tr>
        <w:trPr>
          <w:trHeight w:val="252"/>
        </w:trPr>
        <w:tc>
          <w:tcPr>
            <w:tcW w:w="4940" w:type="dxa"/>
            <w:vAlign w:val="bottom"/>
          </w:tcPr>
          <w:p>
            <w:pPr>
              <w:ind w:left="20"/>
              <w:spacing w:after="0"/>
              <w:rPr>
                <w:sz w:val="20"/>
                <w:szCs w:val="20"/>
                <w:color w:val="auto"/>
              </w:rPr>
            </w:pPr>
            <w:r>
              <w:rPr>
                <w:rFonts w:ascii="Arial" w:cs="Arial" w:eastAsia="Arial" w:hAnsi="Arial"/>
                <w:sz w:val="18"/>
                <w:szCs w:val="18"/>
                <w:color w:val="auto"/>
              </w:rPr>
              <w:t>Taiwan</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227.6</w:t>
            </w:r>
          </w:p>
        </w:tc>
      </w:tr>
      <w:tr>
        <w:trPr>
          <w:trHeight w:val="261"/>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52"/>
        </w:trPr>
        <w:tc>
          <w:tcPr>
            <w:tcW w:w="4940" w:type="dxa"/>
            <w:vAlign w:val="bottom"/>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61"/>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Korea</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52"/>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75"/>
        </w:trPr>
        <w:tc>
          <w:tcPr>
            <w:tcW w:w="49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294.2</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266.6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revenue by customer whose revenue represented 10% or more of our total net revenue for the periods presented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20" w:type="dxa"/>
            <w:vAlign w:val="bottom"/>
            <w:gridSpan w:val="5"/>
          </w:tcPr>
          <w:p>
            <w:pPr>
              <w:jc w:val="center"/>
              <w:ind w:right="80"/>
              <w:spacing w:after="0"/>
              <w:rPr>
                <w:sz w:val="20"/>
                <w:szCs w:val="20"/>
                <w:color w:val="auto"/>
              </w:rPr>
            </w:pPr>
            <w:r>
              <w:rPr>
                <w:rFonts w:ascii="Arial" w:cs="Arial" w:eastAsia="Arial" w:hAnsi="Arial"/>
                <w:sz w:val="18"/>
                <w:szCs w:val="18"/>
                <w:color w:val="auto"/>
                <w:w w:val="99"/>
              </w:rPr>
              <w:t>Three Months Ended</w:t>
            </w:r>
          </w:p>
        </w:tc>
        <w:tc>
          <w:tcPr>
            <w:tcW w:w="2880" w:type="dxa"/>
            <w:vAlign w:val="bottom"/>
            <w:gridSpan w:val="5"/>
          </w:tcPr>
          <w:p>
            <w:pPr>
              <w:jc w:val="center"/>
              <w:ind w:right="60"/>
              <w:spacing w:after="0"/>
              <w:rPr>
                <w:sz w:val="20"/>
                <w:szCs w:val="20"/>
                <w:color w:val="auto"/>
              </w:rPr>
            </w:pPr>
            <w:r>
              <w:rPr>
                <w:rFonts w:ascii="Arial" w:cs="Arial" w:eastAsia="Arial" w:hAnsi="Arial"/>
                <w:sz w:val="18"/>
                <w:szCs w:val="18"/>
                <w:color w:val="auto"/>
                <w:w w:val="99"/>
              </w:rPr>
              <w:t>Nine Months Ended</w:t>
            </w:r>
          </w:p>
        </w:tc>
      </w:tr>
      <w:tr>
        <w:trPr>
          <w:trHeight w:val="261"/>
        </w:trPr>
        <w:tc>
          <w:tcPr>
            <w:tcW w:w="6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center"/>
              <w:ind w:right="1010"/>
              <w:spacing w:after="0"/>
              <w:rPr>
                <w:sz w:val="20"/>
                <w:szCs w:val="20"/>
                <w:color w:val="auto"/>
              </w:rPr>
            </w:pPr>
            <w:r>
              <w:rPr>
                <w:rFonts w:ascii="Arial" w:cs="Arial" w:eastAsia="Arial" w:hAnsi="Arial"/>
                <w:sz w:val="18"/>
                <w:szCs w:val="18"/>
                <w:color w:val="auto"/>
                <w:w w:val="99"/>
              </w:rPr>
              <w:t>March</w:t>
            </w:r>
          </w:p>
        </w:tc>
        <w:tc>
          <w:tcPr>
            <w:tcW w:w="1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center"/>
              <w:ind w:right="930"/>
              <w:spacing w:after="0"/>
              <w:rPr>
                <w:sz w:val="20"/>
                <w:szCs w:val="20"/>
                <w:color w:val="auto"/>
              </w:rPr>
            </w:pPr>
            <w:r>
              <w:rPr>
                <w:rFonts w:ascii="Arial" w:cs="Arial" w:eastAsia="Arial" w:hAnsi="Arial"/>
                <w:sz w:val="18"/>
                <w:szCs w:val="18"/>
                <w:color w:val="auto"/>
                <w:w w:val="99"/>
              </w:rPr>
              <w:t>March</w:t>
            </w:r>
          </w:p>
        </w:tc>
        <w:tc>
          <w:tcPr>
            <w:tcW w:w="60" w:type="dxa"/>
            <w:vAlign w:val="bottom"/>
          </w:tcPr>
          <w:p>
            <w:pPr>
              <w:spacing w:after="0"/>
              <w:rPr>
                <w:sz w:val="22"/>
                <w:szCs w:val="22"/>
                <w:color w:val="auto"/>
              </w:rPr>
            </w:pPr>
          </w:p>
        </w:tc>
      </w:tr>
      <w:tr>
        <w:trPr>
          <w:trHeight w:val="250"/>
        </w:trPr>
        <w:tc>
          <w:tcPr>
            <w:tcW w:w="60" w:type="dxa"/>
            <w:vAlign w:val="bottom"/>
          </w:tcPr>
          <w:p>
            <w:pPr>
              <w:spacing w:after="0"/>
              <w:rPr>
                <w:sz w:val="21"/>
                <w:szCs w:val="21"/>
                <w:color w:val="auto"/>
              </w:rPr>
            </w:pPr>
          </w:p>
        </w:tc>
        <w:tc>
          <w:tcPr>
            <w:tcW w:w="364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2026</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2025</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2026</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2025</w:t>
            </w:r>
          </w:p>
        </w:tc>
        <w:tc>
          <w:tcPr>
            <w:tcW w:w="60" w:type="dxa"/>
            <w:vAlign w:val="bottom"/>
          </w:tcPr>
          <w:p>
            <w:pPr>
              <w:spacing w:after="0"/>
              <w:rPr>
                <w:sz w:val="21"/>
                <w:szCs w:val="21"/>
                <w:color w:val="auto"/>
              </w:rPr>
            </w:pPr>
          </w:p>
        </w:tc>
      </w:tr>
      <w:tr>
        <w:trPr>
          <w:trHeight w:val="255"/>
        </w:trPr>
        <w:tc>
          <w:tcPr>
            <w:tcW w:w="60" w:type="dxa"/>
            <w:vAlign w:val="bottom"/>
          </w:tcPr>
          <w:p>
            <w:pPr>
              <w:spacing w:after="0"/>
              <w:rPr>
                <w:sz w:val="22"/>
                <w:szCs w:val="22"/>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264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99"/>
              </w:rPr>
              <w:t>18%</w:t>
            </w:r>
          </w:p>
        </w:tc>
        <w:tc>
          <w:tcPr>
            <w:tcW w:w="1920" w:type="dxa"/>
            <w:vAlign w:val="bottom"/>
            <w:gridSpan w:val="3"/>
            <w:shd w:val="clear" w:color="auto" w:fill="CCEEFF"/>
          </w:tcPr>
          <w:p>
            <w:pPr>
              <w:jc w:val="center"/>
              <w:ind w:left="390"/>
              <w:spacing w:after="0"/>
              <w:rPr>
                <w:sz w:val="20"/>
                <w:szCs w:val="20"/>
                <w:color w:val="auto"/>
              </w:rPr>
            </w:pPr>
            <w:r>
              <w:rPr>
                <w:rFonts w:ascii="Arial" w:cs="Arial" w:eastAsia="Arial" w:hAnsi="Arial"/>
                <w:sz w:val="18"/>
                <w:szCs w:val="18"/>
                <w:color w:val="auto"/>
                <w:w w:val="99"/>
              </w:rPr>
              <w:t>18%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9"/>
              </w:rPr>
              <w:t>17%</w:t>
            </w:r>
          </w:p>
        </w:tc>
        <w:tc>
          <w:tcPr>
            <w:tcW w:w="180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9"/>
              </w:rPr>
              <w:t>15%</w:t>
            </w:r>
          </w:p>
        </w:tc>
        <w:tc>
          <w:tcPr>
            <w:tcW w:w="60" w:type="dxa"/>
            <w:vAlign w:val="bottom"/>
          </w:tcPr>
          <w:p>
            <w:pPr>
              <w:spacing w:after="0"/>
              <w:rPr>
                <w:sz w:val="22"/>
                <w:szCs w:val="22"/>
                <w:color w:val="auto"/>
              </w:rPr>
            </w:pPr>
          </w:p>
        </w:tc>
      </w:tr>
      <w:tr>
        <w:trPr>
          <w:trHeight w:val="252"/>
        </w:trPr>
        <w:tc>
          <w:tcPr>
            <w:tcW w:w="6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2640" w:type="dxa"/>
            <w:vAlign w:val="bottom"/>
            <w:gridSpan w:val="2"/>
          </w:tcPr>
          <w:p>
            <w:pPr>
              <w:jc w:val="center"/>
              <w:ind w:left="1810"/>
              <w:spacing w:after="0"/>
              <w:rPr>
                <w:sz w:val="20"/>
                <w:szCs w:val="20"/>
                <w:color w:val="auto"/>
              </w:rPr>
            </w:pPr>
            <w:r>
              <w:rPr>
                <w:rFonts w:ascii="Arial" w:cs="Arial" w:eastAsia="Arial" w:hAnsi="Arial"/>
                <w:sz w:val="18"/>
                <w:szCs w:val="18"/>
                <w:color w:val="auto"/>
                <w:w w:val="84"/>
              </w:rPr>
              <w:t>*</w:t>
            </w:r>
          </w:p>
        </w:tc>
        <w:tc>
          <w:tcPr>
            <w:tcW w:w="1920" w:type="dxa"/>
            <w:vAlign w:val="bottom"/>
            <w:gridSpan w:val="3"/>
          </w:tcPr>
          <w:p>
            <w:pPr>
              <w:jc w:val="center"/>
              <w:ind w:left="370"/>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1"/>
                <w:szCs w:val="21"/>
                <w:color w:val="auto"/>
              </w:rPr>
            </w:pPr>
          </w:p>
        </w:tc>
        <w:tc>
          <w:tcPr>
            <w:tcW w:w="1020" w:type="dxa"/>
            <w:vAlign w:val="bottom"/>
          </w:tcPr>
          <w:p>
            <w:pPr>
              <w:jc w:val="center"/>
              <w:ind w:left="250"/>
              <w:spacing w:after="0"/>
              <w:rPr>
                <w:sz w:val="20"/>
                <w:szCs w:val="20"/>
                <w:color w:val="auto"/>
              </w:rPr>
            </w:pPr>
            <w:r>
              <w:rPr>
                <w:rFonts w:ascii="Arial" w:cs="Arial" w:eastAsia="Arial" w:hAnsi="Arial"/>
                <w:sz w:val="18"/>
                <w:szCs w:val="18"/>
                <w:color w:val="auto"/>
                <w:w w:val="99"/>
              </w:rPr>
              <w:t>10%</w:t>
            </w:r>
          </w:p>
        </w:tc>
        <w:tc>
          <w:tcPr>
            <w:tcW w:w="1800" w:type="dxa"/>
            <w:vAlign w:val="bottom"/>
            <w:gridSpan w:val="3"/>
          </w:tcPr>
          <w:p>
            <w:pPr>
              <w:jc w:val="center"/>
              <w:ind w:left="370"/>
              <w:spacing w:after="0"/>
              <w:rPr>
                <w:sz w:val="20"/>
                <w:szCs w:val="20"/>
                <w:color w:val="auto"/>
              </w:rPr>
            </w:pPr>
            <w:r>
              <w:rPr>
                <w:rFonts w:ascii="Arial" w:cs="Arial" w:eastAsia="Arial" w:hAnsi="Arial"/>
                <w:sz w:val="18"/>
                <w:szCs w:val="18"/>
                <w:color w:val="auto"/>
                <w:w w:val="94"/>
              </w:rPr>
              <w:t>11%</w:t>
            </w:r>
          </w:p>
        </w:tc>
        <w:tc>
          <w:tcPr>
            <w:tcW w:w="60" w:type="dxa"/>
            <w:vAlign w:val="bottom"/>
          </w:tcPr>
          <w:p>
            <w:pPr>
              <w:spacing w:after="0"/>
              <w:rPr>
                <w:sz w:val="21"/>
                <w:szCs w:val="21"/>
                <w:color w:val="auto"/>
              </w:rPr>
            </w:pPr>
          </w:p>
        </w:tc>
      </w:tr>
      <w:tr>
        <w:trPr>
          <w:trHeight w:val="261"/>
        </w:trPr>
        <w:tc>
          <w:tcPr>
            <w:tcW w:w="60" w:type="dxa"/>
            <w:vAlign w:val="bottom"/>
          </w:tcPr>
          <w:p>
            <w:pPr>
              <w:spacing w:after="0"/>
              <w:rPr>
                <w:sz w:val="22"/>
                <w:szCs w:val="22"/>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2640" w:type="dxa"/>
            <w:vAlign w:val="bottom"/>
            <w:gridSpan w:val="2"/>
            <w:shd w:val="clear" w:color="auto" w:fill="CCEEFF"/>
          </w:tcPr>
          <w:p>
            <w:pPr>
              <w:jc w:val="center"/>
              <w:ind w:left="1810"/>
              <w:spacing w:after="0"/>
              <w:rPr>
                <w:sz w:val="20"/>
                <w:szCs w:val="20"/>
                <w:color w:val="auto"/>
              </w:rPr>
            </w:pPr>
            <w:r>
              <w:rPr>
                <w:rFonts w:ascii="Arial" w:cs="Arial" w:eastAsia="Arial" w:hAnsi="Arial"/>
                <w:sz w:val="18"/>
                <w:szCs w:val="18"/>
                <w:color w:val="auto"/>
                <w:w w:val="84"/>
              </w:rPr>
              <w:t>*</w:t>
            </w:r>
          </w:p>
        </w:tc>
        <w:tc>
          <w:tcPr>
            <w:tcW w:w="1920" w:type="dxa"/>
            <w:vAlign w:val="bottom"/>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84"/>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4"/>
              </w:rPr>
              <w:t>11%</w:t>
            </w:r>
          </w:p>
        </w:tc>
        <w:tc>
          <w:tcPr>
            <w:tcW w:w="180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92"/>
        </w:trPr>
        <w:tc>
          <w:tcPr>
            <w:tcW w:w="3700" w:type="dxa"/>
            <w:vAlign w:val="bottom"/>
            <w:gridSpan w:val="2"/>
          </w:tcPr>
          <w:p>
            <w:pPr>
              <w:spacing w:after="0"/>
              <w:rPr>
                <w:sz w:val="20"/>
                <w:szCs w:val="20"/>
                <w:color w:val="auto"/>
              </w:rPr>
            </w:pPr>
            <w:r>
              <w:rPr>
                <w:rFonts w:ascii="Arial" w:cs="Arial" w:eastAsia="Arial" w:hAnsi="Arial"/>
                <w:sz w:val="18"/>
                <w:szCs w:val="18"/>
                <w:color w:val="auto"/>
              </w:rPr>
              <w:t>____________________________</w:t>
            </w: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3700" w:type="dxa"/>
            <w:vAlign w:val="bottom"/>
            <w:gridSpan w:val="2"/>
          </w:tcPr>
          <w:p>
            <w:pPr>
              <w:spacing w:after="0"/>
              <w:rPr>
                <w:sz w:val="20"/>
                <w:szCs w:val="20"/>
                <w:color w:val="auto"/>
              </w:rPr>
            </w:pPr>
            <w:r>
              <w:rPr>
                <w:rFonts w:ascii="Arial" w:cs="Arial" w:eastAsia="Arial" w:hAnsi="Arial"/>
                <w:sz w:val="18"/>
                <w:szCs w:val="18"/>
                <w:color w:val="auto"/>
              </w:rPr>
              <w:t>*   Less than 10%</w:t>
            </w: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715"/>
        </w:trPr>
        <w:tc>
          <w:tcPr>
            <w:tcW w:w="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19</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6"/>
        </w:trPr>
        <w:tc>
          <w:tcPr>
            <w:tcW w:w="60" w:type="dxa"/>
            <w:vAlign w:val="bottom"/>
            <w:tcBorders>
              <w:bottom w:val="single" w:sz="8" w:color="9A9A9A"/>
            </w:tcBorders>
          </w:tcPr>
          <w:p>
            <w:pPr>
              <w:spacing w:after="0"/>
              <w:rPr>
                <w:sz w:val="17"/>
                <w:szCs w:val="17"/>
                <w:color w:val="auto"/>
              </w:rPr>
            </w:pPr>
          </w:p>
        </w:tc>
        <w:tc>
          <w:tcPr>
            <w:tcW w:w="364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-1430655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-1430655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191260" cy="300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2026, four customers comprised a total of 48% of our accounts receivable, and three customers comprised a total of 45% of our accounts receivable at June 2025.</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contract liabilities are comprised of deferred revenue and primarily relate to our obligation to transfer goods, services or licenses of our IP to customers for which we have received consideration. Contract liabilities were $8.0 million and $ 16.2 million as of March 2026 and June 2025, respectively, and are presented as part of customer-related liabilities in accrued liabilities in the accompanying condensed consolidated balance sheets. During the three months ended March 2025, we recognized $0.2 million in revenue related to contract liabilities outstanding as of the beginning of such period. We did not recognize any such revenue during the three months ended March 2026. During the nine months ended March 2026 and March 2025, we recognized $10.1 million and $13.7 million, respectively, in revenue related to contract liabilities, which was outstanding as of the beginning of each period.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2026, we recognized an increase in net revenue of $8.9 million as a result of the change in estimated amount of variable consideration to which we were entitled based on the terms of our contracts. The significant change primarily was due to the resolution of a rebate arrangement with a customer that was under negotiation in prior periods and was formally concluded in the current period.</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Segment and Other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operate in one segment — the development, marketing and sale of semiconductor products used in electronic devices and products. This determination is based on the management approach, which designates internal information regularly available to the chief operating decision maker (“CODM”) for making decisions and assessing performance as the source of determination of our reportable segment. Our</w:t>
      </w:r>
    </w:p>
    <w:p>
      <w:pPr>
        <w:jc w:val="both"/>
        <w:spacing w:after="0" w:line="287" w:lineRule="auto"/>
        <w:rPr>
          <w:sz w:val="20"/>
          <w:szCs w:val="20"/>
          <w:color w:val="auto"/>
        </w:rPr>
      </w:pPr>
      <w:r>
        <w:rPr>
          <w:rFonts w:ascii="Arial" w:cs="Arial" w:eastAsia="Arial" w:hAnsi="Arial"/>
          <w:sz w:val="18"/>
          <w:szCs w:val="18"/>
          <w:color w:val="auto"/>
        </w:rPr>
        <w:t>CODM, the Chief Executive Officer, reviews financial information presented on a consolidated basis for the purpose of making operating decisions and assessing financial performance.</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CODM uses consolidated net income (loss), as reported in our consolidated statements of operations, as the measure of profit or loss to allocate resources and assess performance. Financial forecasts and budget-to-actual results used by the CODM to assess performance and allocate resources, as well as those used for strategic decisions related to headcount and capital expenditures, are also reviewed on a consolidated basis. The CODM considers the impact of the significant segment expenses in the tables below when deciding whether to reinvest profits or pursue strategic mergers and acquisitions.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measure of segment assets is reported on the consolidated balance sheet as total assets. The CODM does not review segment assets at a level other than that presented in the accompanying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134620</wp:posOffset>
            </wp:positionV>
            <wp:extent cx="1191260" cy="300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segment net loss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254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4"/>
          </w:tcPr>
          <w:p>
            <w:pPr>
              <w:jc w:val="center"/>
              <w:ind w:right="230"/>
              <w:spacing w:after="0"/>
              <w:rPr>
                <w:sz w:val="20"/>
                <w:szCs w:val="20"/>
                <w:color w:val="auto"/>
              </w:rPr>
            </w:pPr>
            <w:r>
              <w:rPr>
                <w:rFonts w:ascii="Arial" w:cs="Arial" w:eastAsia="Arial" w:hAnsi="Arial"/>
                <w:sz w:val="18"/>
                <w:szCs w:val="18"/>
                <w:color w:val="auto"/>
              </w:rPr>
              <w:t>Nine Months Ended</w:t>
            </w:r>
          </w:p>
        </w:tc>
      </w:tr>
      <w:tr>
        <w:trPr>
          <w:trHeight w:val="261"/>
        </w:trPr>
        <w:tc>
          <w:tcPr>
            <w:tcW w:w="48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March</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99"/>
              </w:rPr>
              <w:t>March</w:t>
            </w:r>
          </w:p>
        </w:tc>
        <w:tc>
          <w:tcPr>
            <w:tcW w:w="1220" w:type="dxa"/>
            <w:vAlign w:val="bottom"/>
            <w:tcBorders>
              <w:bottom w:val="single" w:sz="8" w:color="auto"/>
            </w:tcBorders>
          </w:tcPr>
          <w:p>
            <w:pPr>
              <w:spacing w:after="0"/>
              <w:rPr>
                <w:sz w:val="22"/>
                <w:szCs w:val="22"/>
                <w:color w:val="auto"/>
              </w:rPr>
            </w:pPr>
          </w:p>
        </w:tc>
      </w:tr>
      <w:tr>
        <w:trPr>
          <w:trHeight w:val="250"/>
        </w:trPr>
        <w:tc>
          <w:tcPr>
            <w:tcW w:w="48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r>
      <w:tr>
        <w:trPr>
          <w:trHeight w:val="25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294.2</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w:t>
            </w:r>
          </w:p>
        </w:tc>
      </w:tr>
      <w:tr>
        <w:trPr>
          <w:trHeight w:val="252"/>
        </w:trPr>
        <w:tc>
          <w:tcPr>
            <w:tcW w:w="4800" w:type="dxa"/>
            <w:vAlign w:val="bottom"/>
          </w:tcPr>
          <w:p>
            <w:pPr>
              <w:ind w:left="20"/>
              <w:spacing w:after="0"/>
              <w:rPr>
                <w:sz w:val="20"/>
                <w:szCs w:val="20"/>
                <w:color w:val="auto"/>
              </w:rPr>
            </w:pPr>
            <w:r>
              <w:rPr>
                <w:rFonts w:ascii="Arial" w:cs="Arial" w:eastAsia="Arial" w:hAnsi="Arial"/>
                <w:sz w:val="18"/>
                <w:szCs w:val="18"/>
                <w:color w:val="auto"/>
              </w:rPr>
              <w:t>Adjusted cost of revenue (1)</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136.5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366.6</w:t>
            </w:r>
          </w:p>
        </w:tc>
      </w:tr>
      <w:tr>
        <w:trPr>
          <w:trHeight w:val="275"/>
        </w:trPr>
        <w:tc>
          <w:tcPr>
            <w:tcW w:w="48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52"/>
        </w:trPr>
        <w:tc>
          <w:tcPr>
            <w:tcW w:w="4800" w:type="dxa"/>
            <w:vAlign w:val="bottom"/>
          </w:tcPr>
          <w:p>
            <w:pPr>
              <w:ind w:left="20"/>
              <w:spacing w:after="0"/>
              <w:rPr>
                <w:sz w:val="20"/>
                <w:szCs w:val="20"/>
                <w:color w:val="auto"/>
              </w:rPr>
            </w:pPr>
            <w:r>
              <w:rPr>
                <w:rFonts w:ascii="Arial" w:cs="Arial" w:eastAsia="Arial" w:hAnsi="Arial"/>
                <w:sz w:val="18"/>
                <w:szCs w:val="18"/>
                <w:color w:val="auto"/>
              </w:rPr>
              <w:t>Adjusted operating expenses (2)</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104.6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294.2</w:t>
            </w:r>
          </w:p>
        </w:tc>
      </w:tr>
      <w:tr>
        <w:trPr>
          <w:trHeight w:val="26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52"/>
        </w:trPr>
        <w:tc>
          <w:tcPr>
            <w:tcW w:w="480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6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52"/>
        </w:trPr>
        <w:tc>
          <w:tcPr>
            <w:tcW w:w="48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6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expenses (3)</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Segment net loss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8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Consolidated net loss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4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-2013585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(1) Adjusted cost of revenue is cost of revenue adjusted for intangible asset amortization and share-based compensation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254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4"/>
          </w:tcPr>
          <w:p>
            <w:pPr>
              <w:jc w:val="center"/>
              <w:ind w:right="230"/>
              <w:spacing w:after="0"/>
              <w:rPr>
                <w:sz w:val="20"/>
                <w:szCs w:val="20"/>
                <w:color w:val="auto"/>
              </w:rPr>
            </w:pPr>
            <w:r>
              <w:rPr>
                <w:rFonts w:ascii="Arial" w:cs="Arial" w:eastAsia="Arial" w:hAnsi="Arial"/>
                <w:sz w:val="18"/>
                <w:szCs w:val="18"/>
                <w:color w:val="auto"/>
              </w:rPr>
              <w:t>Nine Months Ended</w:t>
            </w:r>
          </w:p>
        </w:tc>
      </w:tr>
      <w:tr>
        <w:trPr>
          <w:trHeight w:val="261"/>
        </w:trPr>
        <w:tc>
          <w:tcPr>
            <w:tcW w:w="48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March</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99"/>
              </w:rPr>
              <w:t>March</w:t>
            </w:r>
          </w:p>
        </w:tc>
        <w:tc>
          <w:tcPr>
            <w:tcW w:w="1220" w:type="dxa"/>
            <w:vAlign w:val="bottom"/>
            <w:tcBorders>
              <w:bottom w:val="single" w:sz="8" w:color="auto"/>
            </w:tcBorders>
          </w:tcPr>
          <w:p>
            <w:pPr>
              <w:spacing w:after="0"/>
              <w:rPr>
                <w:sz w:val="22"/>
                <w:szCs w:val="22"/>
                <w:color w:val="auto"/>
              </w:rPr>
            </w:pPr>
          </w:p>
        </w:tc>
      </w:tr>
      <w:tr>
        <w:trPr>
          <w:trHeight w:val="250"/>
        </w:trPr>
        <w:tc>
          <w:tcPr>
            <w:tcW w:w="48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r>
      <w:tr>
        <w:trPr>
          <w:trHeight w:val="25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160.9</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r>
      <w:tr>
        <w:trPr>
          <w:trHeight w:val="252"/>
        </w:trPr>
        <w:tc>
          <w:tcPr>
            <w:tcW w:w="4800" w:type="dxa"/>
            <w:vAlign w:val="bottom"/>
          </w:tcPr>
          <w:p>
            <w:pPr>
              <w:ind w:left="20"/>
              <w:spacing w:after="0"/>
              <w:rPr>
                <w:sz w:val="20"/>
                <w:szCs w:val="20"/>
                <w:color w:val="auto"/>
              </w:rPr>
            </w:pPr>
            <w:r>
              <w:rPr>
                <w:rFonts w:ascii="Arial" w:cs="Arial" w:eastAsia="Arial" w:hAnsi="Arial"/>
                <w:sz w:val="18"/>
                <w:szCs w:val="18"/>
                <w:color w:val="auto"/>
              </w:rPr>
              <w:t>Less:</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52"/>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8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cost of revenue</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136.5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center"/>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-864870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-864870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firstLine="8"/>
        <w:spacing w:after="0" w:line="287" w:lineRule="auto"/>
        <w:tabs>
          <w:tab w:leader="none" w:pos="299"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operating expenses is operating expenses comprised of research and development and selling, general and administrative expenses adjusted for share-based compensation, intangible asset amortization, restructuring and impairment related charges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54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4"/>
          </w:tcPr>
          <w:p>
            <w:pPr>
              <w:jc w:val="center"/>
              <w:ind w:right="2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61"/>
        </w:trPr>
        <w:tc>
          <w:tcPr>
            <w:tcW w:w="3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March</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99"/>
              </w:rPr>
              <w:t>March</w:t>
            </w: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55"/>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3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146.0</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52"/>
        </w:trPr>
        <w:tc>
          <w:tcPr>
            <w:tcW w:w="3460" w:type="dxa"/>
            <w:vAlign w:val="bottom"/>
          </w:tcPr>
          <w:p>
            <w:pPr>
              <w:ind w:left="20"/>
              <w:spacing w:after="0"/>
              <w:rPr>
                <w:sz w:val="20"/>
                <w:szCs w:val="20"/>
                <w:color w:val="auto"/>
              </w:rPr>
            </w:pPr>
            <w:r>
              <w:rPr>
                <w:rFonts w:ascii="Arial" w:cs="Arial" w:eastAsia="Arial" w:hAnsi="Arial"/>
                <w:sz w:val="18"/>
                <w:szCs w:val="18"/>
                <w:color w:val="auto"/>
              </w:rPr>
              <w:t>Less:</w:t>
            </w:r>
          </w:p>
        </w:tc>
        <w:tc>
          <w:tcPr>
            <w:tcW w:w="1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3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56"/>
        </w:trPr>
        <w:tc>
          <w:tcPr>
            <w:tcW w:w="346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1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13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2"/>
        </w:trPr>
        <w:tc>
          <w:tcPr>
            <w:tcW w:w="34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5"/>
        </w:trPr>
        <w:tc>
          <w:tcPr>
            <w:tcW w:w="3460" w:type="dxa"/>
            <w:vAlign w:val="bottom"/>
          </w:tcPr>
          <w:p>
            <w:pPr>
              <w:ind w:left="20"/>
              <w:spacing w:after="0"/>
              <w:rPr>
                <w:sz w:val="20"/>
                <w:szCs w:val="20"/>
                <w:color w:val="auto"/>
              </w:rPr>
            </w:pPr>
            <w:r>
              <w:rPr>
                <w:rFonts w:ascii="Arial" w:cs="Arial" w:eastAsia="Arial" w:hAnsi="Arial"/>
                <w:sz w:val="18"/>
                <w:szCs w:val="18"/>
                <w:color w:val="auto"/>
              </w:rPr>
              <w:t>Adjusted operating expenses</w:t>
            </w:r>
          </w:p>
        </w:tc>
        <w:tc>
          <w:tcPr>
            <w:tcW w:w="23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104.6</w:t>
            </w:r>
          </w:p>
        </w:tc>
        <w:tc>
          <w:tcPr>
            <w:tcW w:w="100" w:type="dxa"/>
            <w:vAlign w:val="bottom"/>
          </w:tcPr>
          <w:p>
            <w:pPr>
              <w:spacing w:after="0"/>
              <w:rPr>
                <w:sz w:val="22"/>
                <w:szCs w:val="22"/>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101.2</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2"/>
                <w:szCs w:val="22"/>
                <w:color w:val="auto"/>
              </w:rPr>
            </w:pPr>
          </w:p>
        </w:tc>
        <w:tc>
          <w:tcPr>
            <w:tcW w:w="480" w:type="dxa"/>
            <w:vAlign w:val="bottom"/>
          </w:tcPr>
          <w:p>
            <w:pPr>
              <w:jc w:val="center"/>
              <w:ind w:right="2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7"/>
        </w:trPr>
        <w:tc>
          <w:tcPr>
            <w:tcW w:w="34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46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-2013585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-2013585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191260" cy="2997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91260" cy="2997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ind w:firstLine="8"/>
        <w:spacing w:after="0" w:line="287" w:lineRule="auto"/>
        <w:tabs>
          <w:tab w:leader="none" w:pos="302"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segment expenses primarily include restructuring charges, legal and vendor related charges and settlements, acquisition and integration related costs, amortization of debt issuance costs and loss on early extinguishment of debt.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Restructuring Activities</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continuously evaluate our operations to reduce costs and increase profitability, increase operational efficiencies and gain synergies from our previous acquisitions and align our business in response to market conditions.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restructuring costs as presented in our condensed consolidated statements of operations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2640" w:type="dxa"/>
            <w:vAlign w:val="bottom"/>
            <w:gridSpan w:val="4"/>
          </w:tcPr>
          <w:p>
            <w:pPr>
              <w:jc w:val="center"/>
              <w:ind w:left="350"/>
              <w:spacing w:after="0"/>
              <w:rPr>
                <w:sz w:val="20"/>
                <w:szCs w:val="20"/>
                <w:color w:val="auto"/>
              </w:rPr>
            </w:pPr>
            <w:r>
              <w:rPr>
                <w:rFonts w:ascii="Arial" w:cs="Arial" w:eastAsia="Arial" w:hAnsi="Arial"/>
                <w:sz w:val="18"/>
                <w:szCs w:val="18"/>
                <w:color w:val="auto"/>
                <w:w w:val="99"/>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5"/>
          </w:tcPr>
          <w:p>
            <w:pPr>
              <w:jc w:val="center"/>
              <w:ind w:right="230"/>
              <w:spacing w:after="0"/>
              <w:rPr>
                <w:sz w:val="20"/>
                <w:szCs w:val="20"/>
                <w:color w:val="auto"/>
              </w:rPr>
            </w:pPr>
            <w:r>
              <w:rPr>
                <w:rFonts w:ascii="Arial" w:cs="Arial" w:eastAsia="Arial" w:hAnsi="Arial"/>
                <w:sz w:val="18"/>
                <w:szCs w:val="18"/>
                <w:color w:val="auto"/>
              </w:rPr>
              <w:t>Nine Months Ended</w:t>
            </w:r>
          </w:p>
        </w:tc>
      </w:tr>
      <w:tr>
        <w:trPr>
          <w:trHeight w:val="261"/>
        </w:trPr>
        <w:tc>
          <w:tcPr>
            <w:tcW w:w="480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8"/>
                <w:szCs w:val="18"/>
                <w:color w:val="auto"/>
                <w:w w:val="99"/>
              </w:rPr>
              <w:t>March</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jc w:val="center"/>
              <w:ind w:left="910"/>
              <w:spacing w:after="0"/>
              <w:rPr>
                <w:sz w:val="20"/>
                <w:szCs w:val="20"/>
                <w:color w:val="auto"/>
              </w:rPr>
            </w:pPr>
            <w:r>
              <w:rPr>
                <w:rFonts w:ascii="Arial" w:cs="Arial" w:eastAsia="Arial" w:hAnsi="Arial"/>
                <w:sz w:val="18"/>
                <w:szCs w:val="18"/>
                <w:color w:val="auto"/>
                <w:w w:val="99"/>
              </w:rPr>
              <w:t>March</w:t>
            </w:r>
          </w:p>
        </w:tc>
        <w:tc>
          <w:tcPr>
            <w:tcW w:w="1340" w:type="dxa"/>
            <w:vAlign w:val="bottom"/>
            <w:tcBorders>
              <w:bottom w:val="single" w:sz="8" w:color="auto"/>
            </w:tcBorders>
          </w:tcPr>
          <w:p>
            <w:pPr>
              <w:spacing w:after="0"/>
              <w:rPr>
                <w:sz w:val="22"/>
                <w:szCs w:val="22"/>
                <w:color w:val="auto"/>
              </w:rPr>
            </w:pPr>
          </w:p>
        </w:tc>
      </w:tr>
      <w:tr>
        <w:trPr>
          <w:trHeight w:val="250"/>
        </w:trPr>
        <w:tc>
          <w:tcPr>
            <w:tcW w:w="48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2026</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2025</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r>
      <w:tr>
        <w:trPr>
          <w:trHeight w:val="25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severance and related costs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52"/>
        </w:trPr>
        <w:tc>
          <w:tcPr>
            <w:tcW w:w="4800" w:type="dxa"/>
            <w:vAlign w:val="bottom"/>
          </w:tcPr>
          <w:p>
            <w:pPr>
              <w:ind w:left="20"/>
              <w:spacing w:after="0"/>
              <w:rPr>
                <w:sz w:val="20"/>
                <w:szCs w:val="20"/>
                <w:color w:val="auto"/>
              </w:rPr>
            </w:pPr>
            <w:r>
              <w:rPr>
                <w:rFonts w:ascii="Arial" w:cs="Arial" w:eastAsia="Arial" w:hAnsi="Arial"/>
                <w:sz w:val="18"/>
                <w:szCs w:val="18"/>
                <w:color w:val="auto"/>
              </w:rPr>
              <w:t>Lease termination costs (1)</w:t>
            </w:r>
          </w:p>
        </w:tc>
        <w:tc>
          <w:tcPr>
            <w:tcW w:w="1080" w:type="dxa"/>
            <w:vAlign w:val="bottom"/>
          </w:tcPr>
          <w:p>
            <w:pPr>
              <w:spacing w:after="0"/>
              <w:rPr>
                <w:sz w:val="21"/>
                <w:szCs w:val="21"/>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53"/>
        </w:trPr>
        <w:tc>
          <w:tcPr>
            <w:tcW w:w="48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9540" w:type="dxa"/>
            <w:vAlign w:val="bottom"/>
            <w:gridSpan w:val="10"/>
          </w:tcPr>
          <w:p>
            <w:pPr>
              <w:spacing w:after="0"/>
              <w:rPr>
                <w:sz w:val="20"/>
                <w:szCs w:val="20"/>
                <w:color w:val="auto"/>
              </w:rPr>
            </w:pPr>
            <w:r>
              <w:rPr>
                <w:rFonts w:ascii="Arial" w:cs="Arial" w:eastAsia="Arial" w:hAnsi="Arial"/>
                <w:sz w:val="18"/>
                <w:szCs w:val="18"/>
                <w:color w:val="auto"/>
              </w:rPr>
              <w:t>The following table presents the beginning and ending restructuring liability balances for each restructuring action: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2"/>
        </w:trPr>
        <w:tc>
          <w:tcPr>
            <w:tcW w:w="4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Fiscal 2026</w:t>
            </w:r>
          </w:p>
        </w:tc>
      </w:tr>
      <w:tr>
        <w:trPr>
          <w:trHeight w:val="244"/>
        </w:trPr>
        <w:tc>
          <w:tcPr>
            <w:tcW w:w="4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Restructuring</w:t>
            </w:r>
          </w:p>
        </w:tc>
      </w:tr>
      <w:tr>
        <w:trPr>
          <w:trHeight w:val="26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2025</w:t>
            </w: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4800" w:type="dxa"/>
            <w:vAlign w:val="bottom"/>
          </w:tcPr>
          <w:p>
            <w:pPr>
              <w:ind w:left="60"/>
              <w:spacing w:after="0"/>
              <w:rPr>
                <w:sz w:val="20"/>
                <w:szCs w:val="20"/>
                <w:color w:val="auto"/>
              </w:rPr>
            </w:pPr>
            <w:r>
              <w:rPr>
                <w:rFonts w:ascii="Arial" w:cs="Arial" w:eastAsia="Arial" w:hAnsi="Arial"/>
                <w:sz w:val="18"/>
                <w:szCs w:val="18"/>
                <w:color w:val="auto"/>
              </w:rPr>
              <w:t>Charges</w:t>
            </w: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6"/>
        </w:trPr>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Payments</w:t>
            </w: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5"/>
        </w:trPr>
        <w:tc>
          <w:tcPr>
            <w:tcW w:w="4800" w:type="dxa"/>
            <w:vAlign w:val="bottom"/>
          </w:tcPr>
          <w:p>
            <w:pPr>
              <w:ind w:left="20"/>
              <w:spacing w:after="0"/>
              <w:rPr>
                <w:sz w:val="20"/>
                <w:szCs w:val="20"/>
                <w:color w:val="auto"/>
              </w:rPr>
            </w:pPr>
            <w:r>
              <w:rPr>
                <w:rFonts w:ascii="Arial" w:cs="Arial" w:eastAsia="Arial" w:hAnsi="Arial"/>
                <w:sz w:val="18"/>
                <w:szCs w:val="18"/>
                <w:color w:val="auto"/>
              </w:rPr>
              <w:t>Balance, March 2026</w:t>
            </w: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4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firstLine="8"/>
        <w:spacing w:after="0" w:line="287" w:lineRule="auto"/>
        <w:tabs>
          <w:tab w:leader="none" w:pos="293" w:val="left"/>
        </w:tabs>
        <w:numPr>
          <w:ilvl w:val="0"/>
          <w:numId w:val="7"/>
        </w:numPr>
        <w:rPr>
          <w:rFonts w:ascii="Arial" w:cs="Arial" w:eastAsia="Arial" w:hAnsi="Arial"/>
          <w:sz w:val="18"/>
          <w:szCs w:val="18"/>
          <w:color w:val="auto"/>
        </w:rPr>
      </w:pPr>
      <w:r>
        <w:rPr>
          <w:rFonts w:ascii="Arial" w:cs="Arial" w:eastAsia="Arial" w:hAnsi="Arial"/>
          <w:sz w:val="18"/>
          <w:szCs w:val="18"/>
          <w:color w:val="auto"/>
        </w:rPr>
        <w:t>Lease termination costs of $0.8 million were recorded directly to the condensed consolidated statements of operations during the six months ended December 2025 and were not included in the restructuring liability balance above.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2026 Restructuring Plan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restructuring plan was initiated during the first quarter of fiscal 2026 (“Fiscal 2026 Restructuring Plan”) to streamline and optimize resources and to reduce operating costs. Restructuring charges under this plan are mainly comprised of severance and one-time termination benefits. We completed all actions under this restructuring plan in the second quarter of fiscal 2026.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2025 Restructuring Plan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restructuring plan was initiated during the first quarter of fiscal 2025 (“Fiscal 2025 Restructuring Plan”) primarily intended to focus on key growth initiatives, reduce costs and align our business in response to market conditions. Restructuring charges were mainly comprised of severance and one-time termination benefits and lease termination costs. As of the first quarter of fiscal 2026, all actions under the Fiscal 2025 Restructuring Plan have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1264285</wp:posOffset>
            </wp:positionV>
            <wp:extent cx="1191260" cy="299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9126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300"/>
        <w:spacing w:after="0" w:line="3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Quarterly Report on Form 10-Q for the quarter ended March 28, 2026 (this “Report”) contains forward-looking statements within the meaning of the safe harbor provisions of the Securities Act of 1933, as amended, or the Securities Act, and the Securities Exchange Act of 1934, as amended, or the Exchange Act. Forward-looking statements reflect our current expectations and projections regarding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"commit," “will,” “should,” variations of such words, or other words and terms of similar meaning.</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forward-looking statements are based on our current assumptions and expectations as of the date of this Report and are subject to risks and uncertainties, many of which are difficult to predict and/or beyond our control. Known trends and uncertainties that may cause actual results to differ materially include, among others: global macroeconomic and geopolitical conditions, including trade tensions, tariffs, inflation, military conflicts (such as those involving the United States, Russia, Ukraine, Israel, Iran and other countries in the Middle East and beyond), and market volatility, which may adversely affect customer demand for our products, purchasing behavior, and the timing and visibility of orders; variability in demand across our target end markets; constraints or imbalances in the availability of certain component parts, including the current industry-wide tightness in memory chips that are used in combination with our products, as well as associated cost increases (to us and our customers), which may affect customer development timelines, production schedules, purchasing behavior, booking patterns, and the timing or visibility of orders for our solutions; risks related to our continued dependence on our solutions for the Core IoT and Enterprise and Automotive product applications market for a substantial portion of our revenue; risks related to the volatility of our net revenue from our solutions for Core IoT and Enterprise and Automotive product applications, including competition from new or established IoT and wireless service companies and from competitors with greater resources; our dependence on and/or loss of one or more large customers for a substantial portion of our revenue, and the loss of commitments from, contracts with, or a significant reduction in orders from, one or more of our major customers could have a material adverse effect on our revenue and operating results; and our exposure to industry downturns and cyclicality in our target markets.</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 factors include risks related to the success and timing of new product solutions for existing or new markets; our ability to successfully execute on our strategy to develop integrated solutions including audio, touch, and vision interfaces with embedded processing and wireless connectivity for customer adoption; risks related to our expectations regarding technology and strategic investments and the anticipated timing or benefits thereof; historical and continued decreases in our average selling prices due to changes in our product sales mix and decreased revenue from our mobile product applications; our ability to attract and retain key talent necessary to drive our strategic initiatives, including our Edge AI strategies, in a highly competitive industry; our ability to execute on our cost reduction initiatives and to achieve anticipated synergies and expense reductions; our ability to maintain and build relationships with our customers; our dependence on and/or interruption or loss of, a limited number of suppliers and subcontractors, including suppliers’ manufacturing capacity constraints, the ability of these third parties to maintain satisfactory manufacturing yields and delivery schedules; the risk that our indemnification obligations for third-party claims could result in substantial costs; risks and uncertainties related to regional instabilities and hostilities, as well as global conflicts, such as those in the Middle East, economic volatility, and regulatory changes, any of which could disrupt our supply chain, increase costs, and undermine the competitiveness of our offerings, requiring operational adjustments, such as reductions in force, or otherwise adversely affecting our financial condition and operating results; changes in export restrictions and laws affecting the Company’s trade and investment activities; and other risks identified in the “Risk Factors,” “Management’s Discussion and Analysis of Financial Condition and Results of Operations” and “Business” sections of our Annual Report on Form 10-K for the fiscal year ended June 28, 2025, and in our other reports filed with the SEC from time to time. Forward-looking statements are based on information available to us as of the date hereof, and we do not have, and expressly disclaim, any obligation to publicly release any updates or any changes in our expectations, or any change in events, conditions, or circumstances on which any forward-looking statement is based, except as required by law. Our actual results and the timing of certain events could differ materially from the forward-looking statements. These forward-looking statements do not reflect the potential impact of any mergers, acquisitions, or other business combinations that have not been completed as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158115</wp:posOffset>
            </wp:positionV>
            <wp:extent cx="1191260" cy="300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leading worldwide developer and fabless supplier of premium mixed signal semiconductor solutions. We develop solutions that integrate the audio, touch and vision interfaces with embedded processing capabilities that are paired with wireless connectivity. We believe our results to date reflect the combination of our customer focus and the strength of our intellectual property and our engineering know-how, which allow us to develop or engineer products and solutions that meet the demanding design specifications of our OEMs.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revenue in the third quarter of fiscal 2026 was $294.2 million and was 10.4% higher than net revenue compared to the same period a year ago. This was primarily due to an increase in net revenue in our Core IoT product applications, which increased 30.8% compared to the same period a year ago, primarily driven by an increase in units sold and an increase in average selling prices due to our product sales mix.</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margin for the three months ended March 2026 and March 2025 was 45.3% and 43.4%, respectively. The increase was primarily driven by favorable product sales mix and lower amortization expense on certain acquired intangible assets that have reached the end of their useful lives.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2026, our aggregate cash and cash equivalents and short-term investments of $404.4 million decreased by $48.1 million compared to June 2025. During the three months ended March 2026, we generated $21.8 million of cash from operating activities, and we returned $39.0 million to stockholders through the repurchase of common stock under our stock repurchase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Macroeconomic Conditions and Regulations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global company, we are exposed to and impacted by global macroeconomic factors and geopolitical conditions including military conflicts (such as the ongoing conflict involving the United States, Israel, Iran and other countries in the Middle East and beyond), U.S. and foreign government policies, inflation, tariffs, interest rates, foreign exchange fluctuations, potential economic slowdowns, and evolving trade regulations and sanctions. These factors may affect our operating environment, costs and financial results.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ongoing conflict in the Middle East has increased geopolitical tensions, including sanctions and restrictions affecting key transportation routes such as the Strait of Hormuz, contributing to volatility in global energy prices. As a result, we may experience disruptions to transportation routes and supply chains, including those involving third-party vendors, as well as higher transportation and logistics costs and broader inflationary pressures, which could adversely affect our revenue and gross margin. The extent and duration of these impacts remain uncertain, and further escalation and continued duration could materially and adversely affect our business and financial results.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Given that a significant portion of our sales and supply chain, including outsourced manufacturing, assembly and test operations, occurs outside of the United States, we are also exposed to, and impacted by, changes in international trade policies, particularly increased tariffs and other barriers or restrictions on trade between the United States and other countries, including China. Based on our current import and export practices, we believe our direct tariff exposure remains limited. However, some of our customers and suppliers may be affected depending on their own supply chain strategies and sourcing locations. We continue to monitor for any potential customer and supplier impacts, ranging from supply chain adjustments to changes in end demand. While the broader implications of these activities remain uncertain, based on our current lead times and order activity, we have not observed material changes in order patterns or timing due to tariffs, the ongoing conflict in the Middle East, or related geopolitical developments that would be likely to impact our near-term financial performance. We will continue to assess the potential short- and long-term effects of these developments on our financial and operational performance.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continuing constrained availability and elevated pricing of certain memory components across the broader electronics supply chain have, at times, influenced the timing of orders for certain products, particularly for smaller customers. These conditions did not have a material impact on our results for the quarter; however, limited visibility into future availability, timing, increased associated costs, and the potential for these conditions to persist, could affect customer development timelines, purchasing behavior, production schedules, booking patterns, and the timing or visibility of orders in future periods. We continue to monitor these conditions and their potential impact on customer demand and ordering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151130</wp:posOffset>
            </wp:positionV>
            <wp:extent cx="1191260" cy="2997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91260" cy="29972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28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951"/>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95"/>
        </w:trPr>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w w:val="99"/>
              </w:rPr>
              <w:t>Three Months Ended March</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Nine Months Ended March</w:t>
            </w:r>
          </w:p>
        </w:tc>
        <w:tc>
          <w:tcPr>
            <w:tcW w:w="900" w:type="dxa"/>
            <w:vAlign w:val="bottom"/>
            <w:tcBorders>
              <w:bottom w:val="single" w:sz="8" w:color="auto"/>
            </w:tcBorders>
          </w:tcPr>
          <w:p>
            <w:pPr>
              <w:spacing w:after="0"/>
              <w:rPr>
                <w:sz w:val="24"/>
                <w:szCs w:val="24"/>
                <w:color w:val="auto"/>
              </w:rPr>
            </w:pPr>
          </w:p>
        </w:tc>
      </w:tr>
      <w:tr>
        <w:trPr>
          <w:trHeight w:val="249"/>
        </w:trPr>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2025</w:t>
            </w:r>
          </w:p>
        </w:tc>
      </w:tr>
      <w:tr>
        <w:trPr>
          <w:trHeight w:val="210"/>
        </w:trPr>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rPr>
              <w:t>(in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ind w:left="180"/>
              <w:spacing w:after="0"/>
              <w:rPr>
                <w:sz w:val="20"/>
                <w:szCs w:val="20"/>
                <w:color w:val="auto"/>
              </w:rPr>
            </w:pPr>
            <w:r>
              <w:rPr>
                <w:rFonts w:ascii="Arial" w:cs="Arial" w:eastAsia="Arial" w:hAnsi="Arial"/>
                <w:sz w:val="18"/>
                <w:szCs w:val="18"/>
                <w:b w:val="1"/>
                <w:bCs w:val="1"/>
                <w:color w:val="auto"/>
              </w:rPr>
              <w:t>% of net</w:t>
            </w:r>
          </w:p>
        </w:tc>
        <w:tc>
          <w:tcPr>
            <w:tcW w:w="240" w:type="dxa"/>
            <w:vAlign w:val="bottom"/>
          </w:tcPr>
          <w:p>
            <w:pPr>
              <w:spacing w:after="0"/>
              <w:rPr>
                <w:sz w:val="18"/>
                <w:szCs w:val="18"/>
                <w:color w:val="auto"/>
              </w:rPr>
            </w:pPr>
          </w:p>
        </w:tc>
        <w:tc>
          <w:tcPr>
            <w:tcW w:w="9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9"/>
              </w:rPr>
              <w:t>(in</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 of net</w:t>
            </w:r>
          </w:p>
        </w:tc>
        <w:tc>
          <w:tcPr>
            <w:tcW w:w="220" w:type="dxa"/>
            <w:vAlign w:val="bottom"/>
          </w:tcPr>
          <w:p>
            <w:pPr>
              <w:spacing w:after="0"/>
              <w:rPr>
                <w:sz w:val="18"/>
                <w:szCs w:val="18"/>
                <w:color w:val="auto"/>
              </w:rPr>
            </w:pPr>
          </w:p>
        </w:tc>
        <w:tc>
          <w:tcPr>
            <w:tcW w:w="680" w:type="dxa"/>
            <w:vAlign w:val="bottom"/>
          </w:tcPr>
          <w:p>
            <w:pPr>
              <w:jc w:val="right"/>
              <w:ind w:right="250"/>
              <w:spacing w:after="0"/>
              <w:rPr>
                <w:sz w:val="20"/>
                <w:szCs w:val="20"/>
                <w:color w:val="auto"/>
              </w:rPr>
            </w:pPr>
            <w:r>
              <w:rPr>
                <w:rFonts w:ascii="Arial" w:cs="Arial" w:eastAsia="Arial" w:hAnsi="Arial"/>
                <w:sz w:val="18"/>
                <w:szCs w:val="18"/>
                <w:b w:val="1"/>
                <w:bCs w:val="1"/>
                <w:color w:val="auto"/>
              </w:rPr>
              <w:t>(in</w:t>
            </w:r>
          </w:p>
        </w:tc>
        <w:tc>
          <w:tcPr>
            <w:tcW w:w="100" w:type="dxa"/>
            <w:vAlign w:val="bottom"/>
          </w:tcPr>
          <w:p>
            <w:pPr>
              <w:spacing w:after="0"/>
              <w:rPr>
                <w:sz w:val="18"/>
                <w:szCs w:val="18"/>
                <w:color w:val="auto"/>
              </w:rPr>
            </w:pPr>
          </w:p>
        </w:tc>
        <w:tc>
          <w:tcPr>
            <w:tcW w:w="1120" w:type="dxa"/>
            <w:vAlign w:val="bottom"/>
            <w:gridSpan w:val="3"/>
          </w:tcPr>
          <w:p>
            <w:pPr>
              <w:ind w:left="160"/>
              <w:spacing w:after="0"/>
              <w:rPr>
                <w:sz w:val="20"/>
                <w:szCs w:val="20"/>
                <w:color w:val="auto"/>
              </w:rPr>
            </w:pPr>
            <w:r>
              <w:rPr>
                <w:rFonts w:ascii="Arial" w:cs="Arial" w:eastAsia="Arial" w:hAnsi="Arial"/>
                <w:sz w:val="18"/>
                <w:szCs w:val="18"/>
                <w:b w:val="1"/>
                <w:bCs w:val="1"/>
                <w:color w:val="auto"/>
              </w:rPr>
              <w:t>% of net</w:t>
            </w:r>
          </w:p>
        </w:tc>
        <w:tc>
          <w:tcPr>
            <w:tcW w:w="220" w:type="dxa"/>
            <w:vAlign w:val="bottom"/>
          </w:tcPr>
          <w:p>
            <w:pPr>
              <w:spacing w:after="0"/>
              <w:rPr>
                <w:sz w:val="18"/>
                <w:szCs w:val="18"/>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9"/>
              </w:rPr>
              <w:t>(in</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 of net</w:t>
            </w:r>
          </w:p>
        </w:tc>
      </w:tr>
      <w:tr>
        <w:trPr>
          <w:trHeight w:val="243"/>
        </w:trPr>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millions)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ind w:left="180"/>
              <w:spacing w:after="0"/>
              <w:rPr>
                <w:sz w:val="20"/>
                <w:szCs w:val="20"/>
                <w:color w:val="auto"/>
              </w:rPr>
            </w:pPr>
            <w:r>
              <w:rPr>
                <w:rFonts w:ascii="Arial" w:cs="Arial" w:eastAsia="Arial" w:hAnsi="Arial"/>
                <w:sz w:val="18"/>
                <w:szCs w:val="18"/>
                <w:b w:val="1"/>
                <w:bCs w:val="1"/>
                <w:color w:val="auto"/>
              </w:rPr>
              <w:t>revenue</w:t>
            </w:r>
          </w:p>
        </w:tc>
        <w:tc>
          <w:tcPr>
            <w:tcW w:w="11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millions)</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millions)</w:t>
            </w:r>
          </w:p>
        </w:tc>
        <w:tc>
          <w:tcPr>
            <w:tcW w:w="100" w:type="dxa"/>
            <w:vAlign w:val="bottom"/>
          </w:tcPr>
          <w:p>
            <w:pPr>
              <w:spacing w:after="0"/>
              <w:rPr>
                <w:sz w:val="21"/>
                <w:szCs w:val="21"/>
                <w:color w:val="auto"/>
              </w:rPr>
            </w:pPr>
          </w:p>
        </w:tc>
        <w:tc>
          <w:tcPr>
            <w:tcW w:w="1120" w:type="dxa"/>
            <w:vAlign w:val="bottom"/>
            <w:gridSpan w:val="3"/>
          </w:tcPr>
          <w:p>
            <w:pPr>
              <w:ind w:left="160"/>
              <w:spacing w:after="0"/>
              <w:rPr>
                <w:sz w:val="20"/>
                <w:szCs w:val="20"/>
                <w:color w:val="auto"/>
              </w:rPr>
            </w:pPr>
            <w:r>
              <w:rPr>
                <w:rFonts w:ascii="Arial" w:cs="Arial" w:eastAsia="Arial" w:hAnsi="Arial"/>
                <w:sz w:val="18"/>
                <w:szCs w:val="18"/>
                <w:b w:val="1"/>
                <w:bCs w:val="1"/>
                <w:color w:val="auto"/>
              </w:rPr>
              <w:t>revenue</w:t>
            </w:r>
          </w:p>
        </w:tc>
        <w:tc>
          <w:tcPr>
            <w:tcW w:w="11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9"/>
              </w:rPr>
              <w:t>millions)</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revenue</w:t>
            </w:r>
          </w:p>
        </w:tc>
      </w:tr>
      <w:tr>
        <w:trPr>
          <w:trHeight w:val="191"/>
        </w:trPr>
        <w:tc>
          <w:tcPr>
            <w:tcW w:w="2880" w:type="dxa"/>
            <w:vAlign w:val="bottom"/>
            <w:tcBorders>
              <w:top w:val="single" w:sz="8" w:color="CCEEFF"/>
            </w:tcBorders>
            <w:gridSpan w:val="2"/>
            <w:shd w:val="clear" w:color="auto" w:fill="CCEEFF"/>
          </w:tcPr>
          <w:p>
            <w:pPr>
              <w:ind w:left="20"/>
              <w:spacing w:after="0" w:line="191" w:lineRule="exact"/>
              <w:rPr>
                <w:sz w:val="20"/>
                <w:szCs w:val="20"/>
                <w:color w:val="auto"/>
              </w:rPr>
            </w:pPr>
            <w:r>
              <w:rPr>
                <w:rFonts w:ascii="Arial" w:cs="Arial" w:eastAsia="Arial" w:hAnsi="Arial"/>
                <w:sz w:val="18"/>
                <w:szCs w:val="18"/>
                <w:color w:val="auto"/>
              </w:rPr>
              <w:t>Enterprise and Automotive product</w:t>
            </w: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48"/>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58.2 %</w:t>
            </w:r>
          </w:p>
        </w:tc>
      </w:tr>
      <w:tr>
        <w:trPr>
          <w:trHeight w:val="25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Core IoT product applications</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23.8 %</w:t>
            </w:r>
          </w:p>
        </w:tc>
      </w:tr>
      <w:tr>
        <w:trPr>
          <w:trHeight w:val="261"/>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Mobile product applications</w:t>
            </w:r>
          </w:p>
        </w:tc>
        <w:tc>
          <w:tcPr>
            <w:tcW w:w="2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45"/>
        </w:trPr>
        <w:tc>
          <w:tcPr>
            <w:tcW w:w="2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Net revenue</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55"/>
        </w:trPr>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61"/>
        </w:trPr>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r>
      <w:tr>
        <w:trPr>
          <w:trHeight w:val="211"/>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Selling, general and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4"/>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17.0 %</w:t>
            </w:r>
          </w:p>
        </w:tc>
      </w:tr>
      <w:tr>
        <w:trPr>
          <w:trHeight w:val="261"/>
        </w:trPr>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Acquired intangibles amortization</w:t>
            </w: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11"/>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Intangible asset impairment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4"/>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charge</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61"/>
        </w:trPr>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Restructuring costs</w:t>
            </w:r>
          </w:p>
        </w:tc>
        <w:tc>
          <w:tcPr>
            <w:tcW w:w="2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45"/>
        </w:trPr>
        <w:tc>
          <w:tcPr>
            <w:tcW w:w="28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54.2 %</w:t>
            </w:r>
          </w:p>
        </w:tc>
      </w:tr>
      <w:tr>
        <w:trPr>
          <w:trHeight w:val="255"/>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11"/>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Loss on early extinguishment of</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4"/>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15"/>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 (expense) and</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8"/>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191"/>
        </w:trPr>
        <w:tc>
          <w:tcPr>
            <w:tcW w:w="2880" w:type="dxa"/>
            <w:vAlign w:val="bottom"/>
            <w:gridSpan w:val="2"/>
          </w:tcPr>
          <w:p>
            <w:pPr>
              <w:ind w:left="200"/>
              <w:spacing w:after="0" w:line="191" w:lineRule="exact"/>
              <w:rPr>
                <w:sz w:val="20"/>
                <w:szCs w:val="20"/>
                <w:color w:val="auto"/>
              </w:rPr>
            </w:pPr>
            <w:r>
              <w:rPr>
                <w:rFonts w:ascii="Arial" w:cs="Arial" w:eastAsia="Arial" w:hAnsi="Arial"/>
                <w:sz w:val="18"/>
                <w:szCs w:val="18"/>
                <w:color w:val="auto"/>
              </w:rPr>
              <w:t>Loss before benefit from income</w:t>
            </w: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44"/>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taxes</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(5.1)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(55.4)</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(11.1 %)</w:t>
            </w:r>
          </w:p>
        </w:tc>
      </w:tr>
      <w:tr>
        <w:trPr>
          <w:trHeight w:val="261"/>
        </w:trPr>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Benefit from income taxes</w:t>
            </w:r>
          </w:p>
        </w:tc>
        <w:tc>
          <w:tcPr>
            <w:tcW w:w="2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50"/>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(2.7 %)</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(43.4)</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0"/>
        </w:trPr>
        <w:tc>
          <w:tcPr>
            <w:tcW w:w="1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Percentages may not reconcile due to rounding.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 was $294.2 million for the three months ended March 2026, compared with $266.6 million for the three months ended March 2025, an increase of $27.6 million, or 10.4%. Revenue increased in most of our product applications for the three months ended March 2026 compared with the same period a year ago. Net revenue from Enterprise and Automotive product applications increased by $14.2 million and primarily was driven by higher units sold (which increased 5.2%) and the release of a customer rebate liability, partially offset by a decrease in average selling prices (which decreased 1.7%) due to our product sales mix compared to the same period a year ago. Net revenue from Core IoT product applications increased by $ 20.8 million and was primarily driven by higher units sold (which increased 27.1%), inclusive of the contribution from the business acquisition completed in fiscal 2025, and an increase in average selling prices (which increased 2.9%) due to our product sales mix compared to the same period a year ago. Net revenue from Mobile product applications decreased by $7.4 million and was primarily driven by lower units sold (which decreased 5.7%) and a decrease in average selling prices (which decreased 11.2%), due to lower demand and unfavorable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146685</wp:posOffset>
            </wp:positionV>
            <wp:extent cx="1191260" cy="300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revenue was $889.2 million for the nine months ended March 2026, compared with $791.5 million for the nine months ended March 2025, an increase of $97.7 million, or 12.3%. Revenue increased in most of our product applications for the nine months ended March 2026 compared with the same period a year ago. Net revenue from Enterprise and Automotive product applications increased by $16.3 million and primarily was driven by higher units sold (which increased 1.7%), an increase in license revenue from certain IP and the release of a customer rebate liability, partially offset by a decrease in average selling prices (which decreased 3.7%) due to our product sales mix. Excluding the license revenue and the release of a customer rebate liability, net revenue for the nine months ended March 2026 from Enterprise and Automotive product applications would have decreased year-over-year. Net revenue from Core IoT product applications increased by $96.9 million and primarily was driven by higher units sold (which increased 40.8%), inclusive of the contribution from the acquired business completed in fiscal 2025, and an increase in average selling prices (which increased 5.7%) due to our product sales mix compared to the same period a year ago. Net revenue from Mobile product applications decreased by $ 15.5 million due to lower average selling prices (which decreased 12.0%) and a decrease in license revenue from certain of our IP, partially offset by an increase in units sold (which increased 9.3%).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as a percentage of net revenue was 45.3%, with gross margin of $133.3 million, for the three months ended March 2026, compared with 43.4%, with gross margin of $ 115.8 million, for the three months ended March 2025. The 190 basis point increase in gross margin as a percentage of net revenue for the three months ended March 2026 primarily was due to favorable product sales mix, the release of a customer rebate liability and a decrease in amortization of certain acquisition-related intangible assets that have reached the end of their useful lives.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as a percentage of net revenue was 43.8%, with gross margin of $389.6 million, for the nine months ended March 2026, compared with 45.3%, with gross margin of $ 358.9 million, for the nine months ended March 2025. The net 150 basis point decrease in gross margin as a percentage of net revenue for the nine months ended March 2026 was primarily driven by the increase in amortization of acquisition-related intangibles, partially offset by an increase in revenue from the licensing of certain of our IP and the release of a customer rebate liability.</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Under most circumstances, revenue from license-based arrangements is accretive to our gross margin.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increased $5.9 million to $94.5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2026, compared with $88.6 million for the three months ended March 2025. The increase primarily was driven by higher personnel-related costs, including a $4.1 million increase in wages and related expenses due to increased headcount and a $3.8 million increase in share-based compensation. These increases were partially offset by a $1.5 million decrease in variable compensation.</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increased $30.8 million to $284.0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2026, compared with $253.2 million for the nine months ended March 2025. The increase primarily was driven by higher personnel-related costs, including an $8.9 million increase in wages and related expenses due to increased headcount and a $16.0 million increase in share-based compensation, as well as a $3.6 million increase in project-specific costs.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$14.9 million to $49.6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2026, compared with $34.7 million for the three months ended March 2025. The increase was driven by share-based compensation, which increased $16.0 million, primarily attributable to forfeitures associated with the departures of certain executives in the third quarter of fiscal 2025, which did not recur in the current period. This increase was partially offset by a decrease of $1.8 million in variable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142875</wp:posOffset>
            </wp:positionV>
            <wp:extent cx="1191260" cy="3003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$9.4 million to $143.6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March 2026, compared with $134.2 million for the nine months ended March 2025. The increase was driven by share-based compensation, which increased $ 14.3 million, primarily attributable to forfeitures associated with the departures of certain executives in the third quarter of fiscal 2025, which did not recur in the current period. This increase was partially offset by an $8.2 million decrease in professional service fees, primarily due to reduced corporate project activity compared to the same period a year ago.</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includes interest income earned on our invested cash balances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miscellaneous income.</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and other income was $3.3 million for the three months ended March 2026, a decrease by $1.4 million compared to the same period a year ago. The decrease was primarily driven by an overall reduction in our invested cash balances following the early repayment of our Term Loan Facility in the second quarter of fiscal 2025 and the cash paid for the Broadcom acquisition in the third quarter of fiscal 2025.</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and other income was $13.2 million for the nine months ended March 2026, a decrease of $9.8 million compared to the same period a year ago. The decrease was primarily driven by a $11.9 million reduction in interest income due to lower invested cash balances following the early repayment of our Term Loan Facility in the second quarter of fiscal 2025 and the cash paid for the Broadcom acquisition in the third quarter of fiscal 2025, partially offset by a $2.3 million increase in miscellaneous other income relating to a refund of amounts we paid previously to a third party.</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expense on our debt, unused commitment fees on our revolving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of debt issuance costs.</w:t>
      </w:r>
    </w:p>
    <w:p>
      <w:pPr>
        <w:spacing w:after="0" w:line="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Interest expense was $5.8 million for the three months ended March 2026, and remained flat compared to the same period a year ago. See "Item 1. Condensed Consolidated Financial Statements (Unaudited) - Notes to Condensed Consolidated Financial Statements - Note 9. Debt and Revolving Credit Facility" for additional information.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was $17.6 million for the nine months ended March 2026, a decrease of $16.7 million compared to the same period a year ago. The decrease primarily was driven by the early repayment of the Term Loan Facility in November 2024, which reduced interest expense relative to the prior year period. During the nine months ended March 2025, interest expense and amortization of debt issuance costs related to the Term Loan Facility were $19.2 million. See "Item 1. Condensed Consolidated Financial Statements (Unaudited) - Notes to Condensed Consolidated Financial Statements - Note 9. Debt and Revolving Credit Facility" for additional information.</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Benefit from Income Taxes</w:t>
      </w:r>
      <w:r>
        <w:rPr>
          <w:rFonts w:ascii="Arial" w:cs="Arial" w:eastAsia="Arial" w:hAnsi="Arial"/>
          <w:sz w:val="18"/>
          <w:szCs w:val="18"/>
          <w:color w:val="auto"/>
        </w:rPr>
        <w:t>. The benefit from income taxes was $7.2 million and $ 5.6 million for the three months ended March 2026 and</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2025, respectively. The increase primarily was due to a favorable one-time adjustment from a multiyear research and development credit study and the impact of U.S. inclusion of foreign income.</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benefit from income taxes was $12.0 million and $44.6 million for the nine months ended March 2026 and March 2025, respectively. The decrease primarily was due to the absence of several significant one-time tax benefits recognized in the prior-year period, including a $14.1 million deferred tax benefit from a U.S. “check-the-box” election for our Israel subsidiary, and an $ 8.9 million benefit related to the fiscal 2018 deemed repatriation liability under the U.S. Tax Cuts and Jobs Act, or TCJA, following a U.S. Tax Court decision in Varian Medical Systems, Inc. v. Commissioner, as well as a $7.7 million deferred tax benefit related to inventory reserves transferred from foreign subsidiaries to the United States recognized during the nine months ended March 2025. See “Item 1. Condensed Consolidated Financial Statements (Unaudited) - Notes to Condensed Consolidated Financial Statements - Note 13. Income Taxes” for additional information.</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4, 2025, the One Big Beautiful Bill Act, or OBBBA, was signed into law. The legislation includes a permanent extension and modification of certain provisions under the 2017 TCJA. Provisions effective for Synaptics beginning June 29, 2025, were reflected in the Company’s income tax provision for the nine months ended March 2026 and are not expected to have a material impact on the effective tax rate or cash flows. We will continue to monitor forthcoming U.S. Treasury and Internal Revenue Service guidance related to OBBBA and assess potential implications for future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142875</wp:posOffset>
            </wp:positionV>
            <wp:extent cx="1191260" cy="3003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Organization for Economic Co-operation and Development, or OECD, introduced Pillar Two Model Rules for a global minimum tax of 15% applicable to large multinational corporations. Many countries in which we have business operations, including the United Kingdom, Hong Kong, Switzerland, and Japan, have implemented certain aspects of Pillar Two. The OECD and the implementing countries are expected to continue issuing more guidance and refining their laws. Based on the latest legislation and our current estimate, Pillar Two had no impact on our effective tax rate or cash flows for the first nine months of fiscal 2026. We will continue to evaluate the potential impact of these developments as additional guidance is issued and further local enactments occur.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were $404.4 million and $391.5 million as of March 2026 and June 2025, respectively.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consider almost all of the earnings of our foreign subsidiaries as not indefinitely invested overseas and have made appropriate provisions for income or withholding taxes that may result from a future repatriation of those earnings. As of March 2026, $277.3 million of cash and cash equivalents was held by our foreign subsidiaries. If these funds are needed for our operations in the United States, we would be able to repatriate substantially all of these funds without a material impact on our provision for income taxes.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Cash Flows from Operating Activities</w:t>
      </w:r>
      <w:r>
        <w:rPr>
          <w:rFonts w:ascii="Arial" w:cs="Arial" w:eastAsia="Arial" w:hAnsi="Arial"/>
          <w:sz w:val="18"/>
          <w:szCs w:val="18"/>
          <w:color w:val="auto"/>
        </w:rPr>
        <w:t>. Net cash provided by operating activities during the nine months ended March 2026 was $81.8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cash provided by operating activities of $84.8 million during same period a year ago. For the nine months ended March 2026, the primary operating activities were adjustments for non-cash charges of $227.0 million and net cash outflows of $101.8 million from changes in our operating assets and liabilities. The primary drivers of the change in operating assets and liabilities relate to an increase of $32.2 million in accounts receivable related to the timing of collections and billings and an increase of $20.8 million in net inventories. Our inventory levels will vary based on the availability of supply and the impact of variations between forecasted and actual demand. In addition, there was a decrease of $18.9 million in accounts payable due to the timing of payments made to our vendors.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2026 and March 2025, our days sales outstanding was 50 days and 45 days, respectively. Annualized inventory turns decreased to approximately three for the three months ended March 2026, compared to approximately four for the same period a year ago.</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 Net cash provided by investing activities was $25.3 million during the nine months ended March 2026,</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primarily consisted of $61.0 million in proceeds from maturities of short-term investments which were not subsequently reinvested in short-term investments, and purchases of property and equipment of $35.7 million, primarily driven by expansion in certain of our facilities from our Broadcom transaction in fiscal 2025.</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by investing activities was $289.0 million during the nine months ended March 2025, which primarily consisted of $198.8 million, the majority of which we paid to acquire certain assets from Broadcom and the purchase of $61.0 million in short-term investments.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 Net cash used by financing activities was $93.9 million for the nine months ended March 2026,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$82.6 million in repurchases of our common stock and $32.7 million used for payroll taxes on the delivery of the underlying shares for share-based awards, partially offset by a $14.0 million refund of deposit previously paid to a vendor.</w:t>
      </w:r>
    </w:p>
    <w:p>
      <w:pPr>
        <w:spacing w:after="0" w:line="6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Net cash used by financing activities was $313.0 million for the nine months ended March 2025, which primarily consisted of $583.5 million used to repay the remaining outstanding balance of our Term Loan Facility, $112.3 million used to repurchase our common stock, exclusive of excise taxes, and $49.9 million used for the payment of capped call transactions associated with our 2031 Notes, partially offset by $439.5 million in net proceeds from issuance of our 2031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140970</wp:posOffset>
            </wp:positionV>
            <wp:extent cx="1191260" cy="2997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91260" cy="29972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$350.0 million available under our revolving credit facility with a maturity date to be the earlier of November 2029 or three months prior to any maturity of our 2029 Notes. As of March 2026, there was no balance outstanding under this facility.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As of March 2026, our principal long-term debt obligations were $850.0 million.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Working Capital Needs</w:t>
      </w:r>
      <w:r>
        <w:rPr>
          <w:rFonts w:ascii="Arial" w:cs="Arial" w:eastAsia="Arial" w:hAnsi="Arial"/>
          <w:sz w:val="18"/>
          <w:szCs w:val="18"/>
          <w:color w:val="auto"/>
        </w:rPr>
        <w:t>. We believe our existing cash and cash equivalents, anticipated cash flows from operating activities and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under our revolving credit facility, will be sufficient to meet our working capital and other cash requirements, and our debt service obligations for at least the next 12 months.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purchases we make under our common stock repurchase program, and the amount and timing of our investments in, or acquisitions of, other technologies or companies. Further equity or debt financing may not be available to us on acceptable terms.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undistributed earnings of our foreign subsidiaries are not currently required to meet our United States working capital and other cash requirements, but should we repatriate a portion of these earnings, we may be required to pay certain previously accrued state and foreign taxes, which would impact our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significant changes in our critical accounting estimates during the nine months ended March 2026, compared with our critical accounting estimates disclosed in Management’s Discussion and Analysis of Financial Condition and Results of Operations included in our Annual Report on Form 10-K for the fiscal year ended June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137160</wp:posOffset>
            </wp:positionV>
            <wp:extent cx="1191260" cy="3003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28, 2026, the market risk related to interest rates on our cash and cash equivalents, and foreign currency exchange risks have not changed materially from the risks disclosed in Item 7A of our Annual Report on Form 10-K for the fiscal year ended June 28, 2025.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 Based on this evaluation, our Principal Executive Officer and Principal Financial Officer, as of March 28, 2026,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assessed, with the participation of our Principal Executive Officer and Principal Financial Officer, any change in our internal control over financial reporting as of the end of the fiscal quarter covered by this Report.</w:t>
      </w:r>
    </w:p>
    <w:p>
      <w:pPr>
        <w:spacing w:after="0" w:line="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ended March 2026,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137160</wp:posOffset>
            </wp:positionV>
            <wp:extent cx="1191260" cy="3003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52525"/>
        </w:rPr>
        <w:t xml:space="preserve">We refer you to the Company’s risk factors set forth in Part I, Item 1A, “Risk Factors,” of our Annual Report on Form 10-K for the fiscal year ended </w:t>
      </w:r>
      <w:r>
        <w:rPr>
          <w:rFonts w:ascii="Arial" w:cs="Arial" w:eastAsia="Arial" w:hAnsi="Arial"/>
          <w:sz w:val="18"/>
          <w:szCs w:val="18"/>
          <w:color w:val="000000"/>
        </w:rPr>
        <w:t>June 28, 2025,</w:t>
      </w:r>
      <w:r>
        <w:rPr>
          <w:rFonts w:ascii="Arial" w:cs="Arial" w:eastAsia="Arial" w:hAnsi="Arial"/>
          <w:sz w:val="18"/>
          <w:szCs w:val="18"/>
          <w:color w:val="252525"/>
        </w:rPr>
        <w:t xml:space="preserve"> for material risks that may affect our business. There have been no material changes from the risk factors previously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137160</wp:posOffset>
            </wp:positionV>
            <wp:extent cx="1191260" cy="3003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100"/>
        <w:spacing w:after="0" w:line="375"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1"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Our Board of Directors authorized a stock repurchase program to repurchase up to $150.0 million of our common stock in August 2025. This program does not have an expiration date; however, the Board will periodically review the authorization to assess its continued appropriateness in light of our capital allocation priorities and market conditions. Repurchases may be made in the open market or through privately negotiated transactions and are intended to comply with Rule 10b</w:t>
      </w:r>
      <w:r>
        <w:rPr>
          <w:rFonts w:ascii="MS PGothic" w:cs="MS PGothic" w:eastAsia="MS PGothic" w:hAnsi="MS PGothic"/>
          <w:sz w:val="18"/>
          <w:szCs w:val="18"/>
          <w:color w:val="auto"/>
        </w:rPr>
        <w:t>‑</w:t>
      </w:r>
      <w:r>
        <w:rPr>
          <w:rFonts w:ascii="Arial" w:cs="Arial" w:eastAsia="Arial" w:hAnsi="Arial"/>
          <w:sz w:val="18"/>
          <w:szCs w:val="18"/>
          <w:color w:val="auto"/>
        </w:rPr>
        <w:t>18 under the Exchange Act.</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number of shares repurchased and the timing of repurchases depend on the level of our cash balances, general business and market conditions and other factors, including alternative investment opportunities.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2026, repurchases under our common stock repurchase program, excluding excise taxes,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Total Number of</w:t>
            </w: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99"/>
              </w:rPr>
              <w:t>Approximate Dollar</w:t>
            </w:r>
          </w:p>
        </w:tc>
        <w:tc>
          <w:tcPr>
            <w:tcW w:w="0" w:type="dxa"/>
            <w:vAlign w:val="bottom"/>
          </w:tcPr>
          <w:p>
            <w:pPr>
              <w:spacing w:after="0"/>
              <w:rPr>
                <w:sz w:val="1"/>
                <w:szCs w:val="1"/>
                <w:color w:val="auto"/>
              </w:rPr>
            </w:pPr>
          </w:p>
        </w:tc>
      </w:tr>
      <w:tr>
        <w:trPr>
          <w:trHeight w:val="181"/>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30"/>
              <w:spacing w:after="0" w:line="181" w:lineRule="exact"/>
              <w:rPr>
                <w:sz w:val="20"/>
                <w:szCs w:val="20"/>
                <w:color w:val="auto"/>
              </w:rPr>
            </w:pPr>
            <w:r>
              <w:rPr>
                <w:rFonts w:ascii="Arial" w:cs="Arial" w:eastAsia="Arial" w:hAnsi="Arial"/>
                <w:sz w:val="18"/>
                <w:szCs w:val="18"/>
                <w:color w:val="auto"/>
                <w:w w:val="99"/>
              </w:rPr>
              <w:t>Value of Shares</w:t>
            </w: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Shares Purchased</w:t>
            </w:r>
          </w:p>
        </w:tc>
        <w:tc>
          <w:tcPr>
            <w:tcW w:w="12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8"/>
              </w:rPr>
              <w:t>that May Yet Be</w:t>
            </w: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restart"/>
          </w:tcPr>
          <w:p>
            <w:pPr>
              <w:jc w:val="right"/>
              <w:ind w:right="90"/>
              <w:spacing w:after="0"/>
              <w:rPr>
                <w:sz w:val="20"/>
                <w:szCs w:val="20"/>
                <w:color w:val="auto"/>
              </w:rPr>
            </w:pPr>
            <w:r>
              <w:rPr>
                <w:rFonts w:ascii="Arial" w:cs="Arial" w:eastAsia="Arial" w:hAnsi="Arial"/>
                <w:sz w:val="18"/>
                <w:szCs w:val="18"/>
                <w:color w:val="auto"/>
              </w:rPr>
              <w:t>Total Number of</w:t>
            </w:r>
          </w:p>
        </w:tc>
        <w:tc>
          <w:tcPr>
            <w:tcW w:w="100" w:type="dxa"/>
            <w:vAlign w:val="bottom"/>
          </w:tcPr>
          <w:p>
            <w:pPr>
              <w:spacing w:after="0"/>
              <w:rPr>
                <w:sz w:val="15"/>
                <w:szCs w:val="15"/>
                <w:color w:val="auto"/>
              </w:rPr>
            </w:pPr>
          </w:p>
        </w:tc>
        <w:tc>
          <w:tcPr>
            <w:tcW w:w="172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9"/>
              </w:rPr>
              <w:t>Average Price Paid</w:t>
            </w:r>
          </w:p>
        </w:tc>
        <w:tc>
          <w:tcPr>
            <w:tcW w:w="17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as Part of Publicly</w:t>
            </w:r>
          </w:p>
        </w:tc>
        <w:tc>
          <w:tcPr>
            <w:tcW w:w="120" w:type="dxa"/>
            <w:vAlign w:val="bottom"/>
          </w:tcPr>
          <w:p>
            <w:pPr>
              <w:spacing w:after="0"/>
              <w:rPr>
                <w:sz w:val="15"/>
                <w:szCs w:val="15"/>
                <w:color w:val="auto"/>
              </w:rPr>
            </w:pPr>
          </w:p>
        </w:tc>
        <w:tc>
          <w:tcPr>
            <w:tcW w:w="152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Purchased Under</w:t>
            </w:r>
          </w:p>
        </w:tc>
        <w:tc>
          <w:tcPr>
            <w:tcW w:w="0" w:type="dxa"/>
            <w:vAlign w:val="bottom"/>
          </w:tcPr>
          <w:p>
            <w:pPr>
              <w:spacing w:after="0"/>
              <w:rPr>
                <w:sz w:val="1"/>
                <w:szCs w:val="1"/>
                <w:color w:val="auto"/>
              </w:rPr>
            </w:pPr>
          </w:p>
        </w:tc>
      </w:tr>
      <w:tr>
        <w:trPr>
          <w:trHeight w:val="189"/>
        </w:trPr>
        <w:tc>
          <w:tcPr>
            <w:tcW w:w="4440" w:type="dxa"/>
            <w:vAlign w:val="bottom"/>
            <w:gridSpan w:val="2"/>
            <w:vMerge w:val="restart"/>
          </w:tcPr>
          <w:p>
            <w:pPr>
              <w:ind w:left="1920"/>
              <w:spacing w:after="0"/>
              <w:rPr>
                <w:sz w:val="20"/>
                <w:szCs w:val="20"/>
                <w:color w:val="auto"/>
              </w:rPr>
            </w:pPr>
            <w:r>
              <w:rPr>
                <w:rFonts w:ascii="Arial" w:cs="Arial" w:eastAsia="Arial" w:hAnsi="Arial"/>
                <w:sz w:val="18"/>
                <w:szCs w:val="18"/>
                <w:color w:val="auto"/>
              </w:rPr>
              <w:t>Period</w:t>
            </w: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17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8"/>
              </w:rPr>
              <w:t>Announced</w:t>
            </w:r>
          </w:p>
        </w:tc>
        <w:tc>
          <w:tcPr>
            <w:tcW w:w="120" w:type="dxa"/>
            <w:vAlign w:val="bottom"/>
          </w:tcPr>
          <w:p>
            <w:pPr>
              <w:spacing w:after="0"/>
              <w:rPr>
                <w:sz w:val="16"/>
                <w:szCs w:val="16"/>
                <w:color w:val="auto"/>
              </w:rPr>
            </w:pPr>
          </w:p>
        </w:tc>
        <w:tc>
          <w:tcPr>
            <w:tcW w:w="1520" w:type="dxa"/>
            <w:vAlign w:val="bottom"/>
          </w:tcPr>
          <w:p>
            <w:pPr>
              <w:jc w:val="center"/>
              <w:ind w:right="30"/>
              <w:spacing w:after="0" w:line="189" w:lineRule="exact"/>
              <w:rPr>
                <w:sz w:val="20"/>
                <w:szCs w:val="20"/>
                <w:color w:val="auto"/>
              </w:rPr>
            </w:pPr>
            <w:r>
              <w:rPr>
                <w:rFonts w:ascii="Arial" w:cs="Arial" w:eastAsia="Arial" w:hAnsi="Arial"/>
                <w:sz w:val="18"/>
                <w:szCs w:val="18"/>
                <w:color w:val="auto"/>
              </w:rPr>
              <w:t>the Program</w:t>
            </w:r>
          </w:p>
        </w:tc>
        <w:tc>
          <w:tcPr>
            <w:tcW w:w="0" w:type="dxa"/>
            <w:vAlign w:val="bottom"/>
          </w:tcPr>
          <w:p>
            <w:pPr>
              <w:spacing w:after="0"/>
              <w:rPr>
                <w:sz w:val="1"/>
                <w:szCs w:val="1"/>
                <w:color w:val="auto"/>
              </w:rPr>
            </w:pPr>
          </w:p>
        </w:tc>
      </w:tr>
      <w:tr>
        <w:trPr>
          <w:trHeight w:val="229"/>
        </w:trPr>
        <w:tc>
          <w:tcPr>
            <w:tcW w:w="4440" w:type="dxa"/>
            <w:vAlign w:val="bottom"/>
            <w:gridSpan w:val="2"/>
            <w:vMerge w:val="continue"/>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Shares Purchased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rPr>
              <w:t>Per Share</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rPr>
              <w:t>Program</w:t>
            </w:r>
          </w:p>
        </w:tc>
        <w:tc>
          <w:tcPr>
            <w:tcW w:w="120" w:type="dxa"/>
            <w:vAlign w:val="bottom"/>
          </w:tcPr>
          <w:p>
            <w:pPr>
              <w:spacing w:after="0"/>
              <w:rPr>
                <w:sz w:val="19"/>
                <w:szCs w:val="19"/>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28, 2025 - January 24, 2026</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January 25, 2026 - February 21, 2026</w:t>
            </w:r>
          </w:p>
        </w:tc>
        <w:tc>
          <w:tcPr>
            <w:tcW w:w="1620" w:type="dxa"/>
            <w:vAlign w:val="bottom"/>
          </w:tcPr>
          <w:p>
            <w:pPr>
              <w:jc w:val="right"/>
              <w:spacing w:after="0"/>
              <w:rPr>
                <w:sz w:val="20"/>
                <w:szCs w:val="20"/>
                <w:color w:val="auto"/>
              </w:rPr>
            </w:pPr>
            <w:r>
              <w:rPr>
                <w:rFonts w:ascii="Arial" w:cs="Arial" w:eastAsia="Arial" w:hAnsi="Arial"/>
                <w:sz w:val="18"/>
                <w:szCs w:val="18"/>
                <w:color w:val="auto"/>
              </w:rPr>
              <w:t>7,054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85.06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22, 2026 - March 28, 2026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468,376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Arrangements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quarter ended March 2026,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582930</wp:posOffset>
            </wp:positionV>
            <wp:extent cx="1191260" cy="3003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6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2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433"/>
        </w:trPr>
        <w:tc>
          <w:tcPr>
            <w:tcW w:w="1660" w:type="dxa"/>
            <w:vAlign w:val="bottom"/>
          </w:tcPr>
          <w:p>
            <w:pPr>
              <w:ind w:left="20"/>
              <w:spacing w:after="0"/>
              <w:rPr>
                <w:sz w:val="20"/>
                <w:szCs w:val="20"/>
                <w:color w:val="auto"/>
              </w:rPr>
            </w:pPr>
            <w:r>
              <w:rPr>
                <w:rFonts w:ascii="Arial" w:cs="Arial" w:eastAsia="Arial" w:hAnsi="Arial"/>
                <w:sz w:val="18"/>
                <w:szCs w:val="18"/>
                <w:color w:val="auto"/>
              </w:rPr>
              <w:t>3.1</w:t>
            </w:r>
          </w:p>
        </w:tc>
        <w:tc>
          <w:tcPr>
            <w:tcW w:w="9520" w:type="dxa"/>
            <w:vAlign w:val="bottom"/>
            <w:tcBorders>
              <w:bottom w:val="single" w:sz="8" w:color="0000FF"/>
            </w:tcBorders>
            <w:gridSpan w:val="8"/>
          </w:tcPr>
          <w:p>
            <w:pPr>
              <w:spacing w:after="0"/>
              <w:rPr>
                <w:rFonts w:ascii="Arial" w:cs="Arial" w:eastAsia="Arial" w:hAnsi="Arial"/>
                <w:sz w:val="18"/>
                <w:szCs w:val="18"/>
                <w:color w:val="0000FF"/>
                <w:w w:val="99"/>
              </w:rPr>
            </w:pPr>
            <w:hyperlink r:id="rId133">
              <w:r>
                <w:rPr>
                  <w:rFonts w:ascii="Arial" w:cs="Arial" w:eastAsia="Arial" w:hAnsi="Arial"/>
                  <w:sz w:val="18"/>
                  <w:szCs w:val="18"/>
                  <w:color w:val="0000FF"/>
                  <w:w w:val="99"/>
                </w:rPr>
                <w:t>Synaptics Incorporated Amended and Restated Certificate of Incorporation (incorporated by reference to the registrant's</w:t>
              </w:r>
            </w:hyperlink>
          </w:p>
        </w:tc>
      </w:tr>
      <w:tr>
        <w:trPr>
          <w:trHeight w:val="196"/>
        </w:trPr>
        <w:tc>
          <w:tcPr>
            <w:tcW w:w="1660" w:type="dxa"/>
            <w:vAlign w:val="bottom"/>
          </w:tcPr>
          <w:p>
            <w:pPr>
              <w:spacing w:after="0"/>
              <w:rPr>
                <w:sz w:val="17"/>
                <w:szCs w:val="17"/>
                <w:color w:val="auto"/>
              </w:rPr>
            </w:pPr>
          </w:p>
        </w:tc>
        <w:tc>
          <w:tcPr>
            <w:tcW w:w="570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133">
              <w:r>
                <w:rPr>
                  <w:rFonts w:ascii="Arial" w:cs="Arial" w:eastAsia="Arial" w:hAnsi="Arial"/>
                  <w:sz w:val="18"/>
                  <w:szCs w:val="18"/>
                  <w:color w:val="0000FF"/>
                  <w:w w:val="99"/>
                </w:rPr>
                <w:t>Current Report on Form 8-K as filed with the SEC on October 26, 2023)</w:t>
              </w:r>
            </w:hyperlink>
          </w:p>
        </w:tc>
        <w:tc>
          <w:tcPr>
            <w:tcW w:w="3820" w:type="dxa"/>
            <w:vAlign w:val="bottom"/>
            <w:gridSpan w:val="4"/>
          </w:tcPr>
          <w:p>
            <w:pPr>
              <w:spacing w:after="0"/>
              <w:rPr>
                <w:sz w:val="17"/>
                <w:szCs w:val="17"/>
                <w:color w:val="auto"/>
              </w:rPr>
            </w:pPr>
          </w:p>
        </w:tc>
      </w:tr>
      <w:tr>
        <w:trPr>
          <w:trHeight w:val="385"/>
        </w:trPr>
        <w:tc>
          <w:tcPr>
            <w:tcW w:w="1660" w:type="dxa"/>
            <w:vAlign w:val="bottom"/>
          </w:tcPr>
          <w:p>
            <w:pPr>
              <w:ind w:left="20"/>
              <w:spacing w:after="0"/>
              <w:rPr>
                <w:sz w:val="20"/>
                <w:szCs w:val="20"/>
                <w:color w:val="auto"/>
              </w:rPr>
            </w:pPr>
            <w:r>
              <w:rPr>
                <w:rFonts w:ascii="Arial" w:cs="Arial" w:eastAsia="Arial" w:hAnsi="Arial"/>
                <w:sz w:val="18"/>
                <w:szCs w:val="18"/>
                <w:color w:val="auto"/>
              </w:rPr>
              <w:t>3.2</w:t>
            </w:r>
          </w:p>
        </w:tc>
        <w:tc>
          <w:tcPr>
            <w:tcW w:w="9200" w:type="dxa"/>
            <w:vAlign w:val="bottom"/>
            <w:tcBorders>
              <w:bottom w:val="single" w:sz="8" w:color="0000FF"/>
            </w:tcBorders>
            <w:gridSpan w:val="7"/>
          </w:tcPr>
          <w:p>
            <w:pPr>
              <w:spacing w:after="0"/>
              <w:rPr>
                <w:rFonts w:ascii="Arial" w:cs="Arial" w:eastAsia="Arial" w:hAnsi="Arial"/>
                <w:sz w:val="18"/>
                <w:szCs w:val="18"/>
                <w:color w:val="0000FF"/>
                <w:w w:val="99"/>
              </w:rPr>
            </w:pPr>
            <w:hyperlink r:id="rId134">
              <w:r>
                <w:rPr>
                  <w:rFonts w:ascii="Arial" w:cs="Arial" w:eastAsia="Arial" w:hAnsi="Arial"/>
                  <w:sz w:val="18"/>
                  <w:szCs w:val="18"/>
                  <w:color w:val="0000FF"/>
                  <w:w w:val="99"/>
                </w:rPr>
                <w:t>Fourth Amended and Restated Bylaws (incorporated by reference to the registrant’s Current Report on Form 8-K as</w:t>
              </w:r>
            </w:hyperlink>
          </w:p>
        </w:tc>
        <w:tc>
          <w:tcPr>
            <w:tcW w:w="320" w:type="dxa"/>
            <w:vAlign w:val="bottom"/>
          </w:tcPr>
          <w:p>
            <w:pPr>
              <w:spacing w:after="0"/>
              <w:rPr>
                <w:sz w:val="24"/>
                <w:szCs w:val="24"/>
                <w:color w:val="auto"/>
              </w:rPr>
            </w:pPr>
          </w:p>
        </w:tc>
      </w:tr>
      <w:tr>
        <w:trPr>
          <w:trHeight w:val="169"/>
        </w:trPr>
        <w:tc>
          <w:tcPr>
            <w:tcW w:w="1660" w:type="dxa"/>
            <w:vAlign w:val="bottom"/>
          </w:tcPr>
          <w:p>
            <w:pPr>
              <w:spacing w:after="0"/>
              <w:rPr>
                <w:sz w:val="14"/>
                <w:szCs w:val="14"/>
                <w:color w:val="auto"/>
              </w:rPr>
            </w:pPr>
          </w:p>
        </w:tc>
        <w:tc>
          <w:tcPr>
            <w:tcW w:w="2860" w:type="dxa"/>
            <w:vAlign w:val="bottom"/>
            <w:tcBorders>
              <w:bottom w:val="single" w:sz="8" w:color="0000FF"/>
            </w:tcBorders>
          </w:tcPr>
          <w:p>
            <w:pPr>
              <w:spacing w:after="0" w:line="169" w:lineRule="exact"/>
              <w:rPr>
                <w:rFonts w:ascii="Arial" w:cs="Arial" w:eastAsia="Arial" w:hAnsi="Arial"/>
                <w:sz w:val="18"/>
                <w:szCs w:val="18"/>
                <w:color w:val="0000FF"/>
                <w:w w:val="99"/>
              </w:rPr>
            </w:pPr>
            <w:hyperlink r:id="rId134">
              <w:r>
                <w:rPr>
                  <w:rFonts w:ascii="Arial" w:cs="Arial" w:eastAsia="Arial" w:hAnsi="Arial"/>
                  <w:sz w:val="18"/>
                  <w:szCs w:val="18"/>
                  <w:color w:val="0000FF"/>
                  <w:w w:val="99"/>
                </w:rPr>
                <w:t>filed with the SEC on July 31, 2025)</w:t>
              </w:r>
            </w:hyperlink>
          </w:p>
        </w:tc>
        <w:tc>
          <w:tcPr>
            <w:tcW w:w="6340" w:type="dxa"/>
            <w:vAlign w:val="bottom"/>
            <w:gridSpan w:val="6"/>
          </w:tcPr>
          <w:p>
            <w:pPr>
              <w:spacing w:after="0"/>
              <w:rPr>
                <w:sz w:val="14"/>
                <w:szCs w:val="14"/>
                <w:color w:val="auto"/>
              </w:rPr>
            </w:pPr>
          </w:p>
        </w:tc>
        <w:tc>
          <w:tcPr>
            <w:tcW w:w="320" w:type="dxa"/>
            <w:vAlign w:val="bottom"/>
          </w:tcPr>
          <w:p>
            <w:pPr>
              <w:spacing w:after="0"/>
              <w:rPr>
                <w:sz w:val="14"/>
                <w:szCs w:val="14"/>
                <w:color w:val="auto"/>
              </w:rPr>
            </w:pPr>
          </w:p>
        </w:tc>
      </w:tr>
      <w:tr>
        <w:trPr>
          <w:trHeight w:val="385"/>
        </w:trPr>
        <w:tc>
          <w:tcPr>
            <w:tcW w:w="1660" w:type="dxa"/>
            <w:vAlign w:val="bottom"/>
          </w:tcPr>
          <w:p>
            <w:pPr>
              <w:ind w:left="20"/>
              <w:spacing w:after="0"/>
              <w:rPr>
                <w:sz w:val="20"/>
                <w:szCs w:val="20"/>
                <w:color w:val="auto"/>
              </w:rPr>
            </w:pPr>
            <w:r>
              <w:rPr>
                <w:rFonts w:ascii="Arial" w:cs="Arial" w:eastAsia="Arial" w:hAnsi="Arial"/>
                <w:sz w:val="18"/>
                <w:szCs w:val="18"/>
                <w:color w:val="auto"/>
              </w:rPr>
              <w:t>31.1</w:t>
            </w:r>
          </w:p>
        </w:tc>
        <w:tc>
          <w:tcPr>
            <w:tcW w:w="6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Certification of Chief Executive Officer pursuant to Rule 13a-14(a)/15d-14(a)</w:t>
            </w:r>
          </w:p>
        </w:tc>
        <w:tc>
          <w:tcPr>
            <w:tcW w:w="3460" w:type="dxa"/>
            <w:vAlign w:val="bottom"/>
            <w:gridSpan w:val="2"/>
          </w:tcPr>
          <w:p>
            <w:pPr>
              <w:spacing w:after="0"/>
              <w:rPr>
                <w:sz w:val="24"/>
                <w:szCs w:val="24"/>
                <w:color w:val="auto"/>
              </w:rPr>
            </w:pPr>
          </w:p>
        </w:tc>
      </w:tr>
      <w:tr>
        <w:trPr>
          <w:trHeight w:val="507"/>
        </w:trPr>
        <w:tc>
          <w:tcPr>
            <w:tcW w:w="1660" w:type="dxa"/>
            <w:vAlign w:val="bottom"/>
          </w:tcPr>
          <w:p>
            <w:pPr>
              <w:ind w:left="20"/>
              <w:spacing w:after="0"/>
              <w:rPr>
                <w:sz w:val="20"/>
                <w:szCs w:val="20"/>
                <w:color w:val="auto"/>
              </w:rPr>
            </w:pPr>
            <w:r>
              <w:rPr>
                <w:rFonts w:ascii="Arial" w:cs="Arial" w:eastAsia="Arial" w:hAnsi="Arial"/>
                <w:sz w:val="18"/>
                <w:szCs w:val="18"/>
                <w:color w:val="auto"/>
              </w:rPr>
              <w:t>31.2</w:t>
            </w:r>
          </w:p>
        </w:tc>
        <w:tc>
          <w:tcPr>
            <w:tcW w:w="60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Certification of Chief Financial Officer pursuant to Rule 13a-14(a)/15d-14(a)</w:t>
            </w:r>
          </w:p>
        </w:tc>
        <w:tc>
          <w:tcPr>
            <w:tcW w:w="3520" w:type="dxa"/>
            <w:vAlign w:val="bottom"/>
            <w:gridSpan w:val="3"/>
          </w:tcPr>
          <w:p>
            <w:pPr>
              <w:spacing w:after="0"/>
              <w:rPr>
                <w:sz w:val="24"/>
                <w:szCs w:val="24"/>
                <w:color w:val="auto"/>
              </w:rPr>
            </w:pPr>
          </w:p>
        </w:tc>
      </w:tr>
      <w:tr>
        <w:trPr>
          <w:trHeight w:val="398"/>
        </w:trPr>
        <w:tc>
          <w:tcPr>
            <w:tcW w:w="1660" w:type="dxa"/>
            <w:vAlign w:val="bottom"/>
          </w:tcPr>
          <w:p>
            <w:pPr>
              <w:ind w:left="20"/>
              <w:spacing w:after="0"/>
              <w:rPr>
                <w:sz w:val="20"/>
                <w:szCs w:val="20"/>
                <w:color w:val="auto"/>
              </w:rPr>
            </w:pPr>
            <w:r>
              <w:rPr>
                <w:rFonts w:ascii="Arial" w:cs="Arial" w:eastAsia="Arial" w:hAnsi="Arial"/>
                <w:sz w:val="18"/>
                <w:szCs w:val="18"/>
                <w:color w:val="auto"/>
              </w:rPr>
              <w:t>32.1#</w:t>
            </w:r>
          </w:p>
        </w:tc>
        <w:tc>
          <w:tcPr>
            <w:tcW w:w="9520" w:type="dxa"/>
            <w:vAlign w:val="bottom"/>
            <w:gridSpan w:val="8"/>
          </w:tcPr>
          <w:p>
            <w:pPr>
              <w:spacing w:after="0"/>
              <w:rPr>
                <w:sz w:val="20"/>
                <w:szCs w:val="20"/>
                <w:color w:val="auto"/>
              </w:rPr>
            </w:pPr>
            <w:r>
              <w:rPr>
                <w:rFonts w:ascii="Arial" w:cs="Arial" w:eastAsia="Arial" w:hAnsi="Arial"/>
                <w:sz w:val="18"/>
                <w:szCs w:val="18"/>
                <w:color w:val="0000FF"/>
              </w:rPr>
              <w:t>Section 1350 Certification of Chief Executive Officer</w:t>
            </w:r>
          </w:p>
        </w:tc>
      </w:tr>
      <w:tr>
        <w:trPr>
          <w:trHeight w:val="507"/>
        </w:trPr>
        <w:tc>
          <w:tcPr>
            <w:tcW w:w="1660" w:type="dxa"/>
            <w:vAlign w:val="bottom"/>
          </w:tcPr>
          <w:p>
            <w:pPr>
              <w:ind w:left="20"/>
              <w:spacing w:after="0"/>
              <w:rPr>
                <w:sz w:val="20"/>
                <w:szCs w:val="20"/>
                <w:color w:val="auto"/>
              </w:rPr>
            </w:pPr>
            <w:r>
              <w:rPr>
                <w:rFonts w:ascii="Arial" w:cs="Arial" w:eastAsia="Arial" w:hAnsi="Arial"/>
                <w:sz w:val="18"/>
                <w:szCs w:val="18"/>
                <w:color w:val="auto"/>
              </w:rPr>
              <w:t>32.2#</w:t>
            </w:r>
          </w:p>
        </w:tc>
        <w:tc>
          <w:tcPr>
            <w:tcW w:w="41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5400" w:type="dxa"/>
            <w:vAlign w:val="bottom"/>
            <w:gridSpan w:val="5"/>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r>
      <w:tr>
        <w:trPr>
          <w:trHeight w:val="420"/>
        </w:trPr>
        <w:tc>
          <w:tcPr>
            <w:tcW w:w="1660" w:type="dxa"/>
            <w:vAlign w:val="bottom"/>
          </w:tcPr>
          <w:p>
            <w:pPr>
              <w:ind w:left="20"/>
              <w:spacing w:after="0"/>
              <w:rPr>
                <w:sz w:val="20"/>
                <w:szCs w:val="20"/>
                <w:color w:val="auto"/>
              </w:rPr>
            </w:pPr>
            <w:r>
              <w:rPr>
                <w:rFonts w:ascii="Arial" w:cs="Arial" w:eastAsia="Arial" w:hAnsi="Arial"/>
                <w:sz w:val="18"/>
                <w:szCs w:val="18"/>
                <w:color w:val="auto"/>
              </w:rPr>
              <w:t>101.INS Inline</w:t>
            </w:r>
          </w:p>
        </w:tc>
        <w:tc>
          <w:tcPr>
            <w:tcW w:w="9520" w:type="dxa"/>
            <w:vAlign w:val="bottom"/>
            <w:gridSpan w:val="8"/>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 XBRL tags</w:t>
            </w:r>
          </w:p>
        </w:tc>
      </w:tr>
      <w:tr>
        <w:trPr>
          <w:trHeight w:val="239"/>
        </w:trPr>
        <w:tc>
          <w:tcPr>
            <w:tcW w:w="1660" w:type="dxa"/>
            <w:vAlign w:val="bottom"/>
          </w:tcPr>
          <w:p>
            <w:pPr>
              <w:spacing w:after="0"/>
              <w:rPr>
                <w:sz w:val="20"/>
                <w:szCs w:val="20"/>
                <w:color w:val="auto"/>
              </w:rPr>
            </w:pPr>
          </w:p>
        </w:tc>
        <w:tc>
          <w:tcPr>
            <w:tcW w:w="9520" w:type="dxa"/>
            <w:vAlign w:val="bottom"/>
            <w:gridSpan w:val="8"/>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05"/>
        </w:trPr>
        <w:tc>
          <w:tcPr>
            <w:tcW w:w="1660" w:type="dxa"/>
            <w:vAlign w:val="bottom"/>
          </w:tcPr>
          <w:p>
            <w:pPr>
              <w:ind w:left="20"/>
              <w:spacing w:after="0"/>
              <w:rPr>
                <w:sz w:val="20"/>
                <w:szCs w:val="20"/>
                <w:color w:val="auto"/>
              </w:rPr>
            </w:pPr>
            <w:r>
              <w:rPr>
                <w:rFonts w:ascii="Arial" w:cs="Arial" w:eastAsia="Arial" w:hAnsi="Arial"/>
                <w:sz w:val="18"/>
                <w:szCs w:val="18"/>
                <w:color w:val="auto"/>
              </w:rPr>
              <w:t>101.SCH Inline</w:t>
            </w:r>
          </w:p>
        </w:tc>
        <w:tc>
          <w:tcPr>
            <w:tcW w:w="95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r>
    </w:tbl>
    <w:p>
      <w:pPr>
        <w:spacing w:after="0" w:line="180" w:lineRule="exact"/>
        <w:rPr>
          <w:sz w:val="20"/>
          <w:szCs w:val="20"/>
          <w:color w:val="auto"/>
        </w:rPr>
      </w:pPr>
    </w:p>
    <w:p>
      <w:pPr>
        <w:ind w:left="1660" w:right="480" w:hanging="1634"/>
        <w:spacing w:after="0" w:line="287"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42"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______________________________________________________________________________________</w:t>
      </w:r>
    </w:p>
    <w:p>
      <w:pPr>
        <w:spacing w:after="0" w:line="278" w:lineRule="exact"/>
        <w:rPr>
          <w:sz w:val="20"/>
          <w:szCs w:val="20"/>
          <w:color w:val="auto"/>
        </w:rPr>
      </w:pPr>
    </w:p>
    <w:p>
      <w:pPr>
        <w:ind w:right="20" w:firstLine="8"/>
        <w:spacing w:after="0" w:line="287" w:lineRule="auto"/>
        <w:tabs>
          <w:tab w:leader="none" w:pos="15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134620</wp:posOffset>
            </wp:positionV>
            <wp:extent cx="1191260" cy="3003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8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020" w:type="dxa"/>
            <w:vAlign w:val="bottom"/>
          </w:tcPr>
          <w:p>
            <w:pPr>
              <w:spacing w:after="0"/>
              <w:rPr>
                <w:sz w:val="21"/>
                <w:szCs w:val="21"/>
                <w:color w:val="auto"/>
              </w:rPr>
            </w:pPr>
          </w:p>
        </w:tc>
        <w:tc>
          <w:tcPr>
            <w:tcW w:w="8200" w:type="dxa"/>
            <w:vAlign w:val="bottom"/>
            <w:gridSpan w:val="2"/>
          </w:tcPr>
          <w:p>
            <w:pPr>
              <w:ind w:left="2360"/>
              <w:spacing w:after="0"/>
              <w:rPr>
                <w:sz w:val="20"/>
                <w:szCs w:val="20"/>
                <w:color w:val="auto"/>
              </w:rPr>
            </w:pPr>
            <w:r>
              <w:rPr>
                <w:rFonts w:ascii="Arial" w:cs="Arial" w:eastAsia="Arial" w:hAnsi="Arial"/>
                <w:sz w:val="18"/>
                <w:szCs w:val="18"/>
                <w:b w:val="1"/>
                <w:bCs w:val="1"/>
                <w:color w:val="auto"/>
              </w:rPr>
              <w:t>SYNAPTICS INCORPORATED</w:t>
            </w:r>
          </w:p>
        </w:tc>
      </w:tr>
      <w:tr>
        <w:trPr>
          <w:trHeight w:val="522"/>
        </w:trPr>
        <w:tc>
          <w:tcPr>
            <w:tcW w:w="3020" w:type="dxa"/>
            <w:vAlign w:val="bottom"/>
          </w:tcPr>
          <w:p>
            <w:pPr>
              <w:spacing w:after="0"/>
              <w:rPr>
                <w:sz w:val="20"/>
                <w:szCs w:val="20"/>
                <w:color w:val="auto"/>
              </w:rPr>
            </w:pPr>
            <w:r>
              <w:rPr>
                <w:rFonts w:ascii="Arial" w:cs="Arial" w:eastAsia="Arial" w:hAnsi="Arial"/>
                <w:sz w:val="18"/>
                <w:szCs w:val="18"/>
                <w:color w:val="auto"/>
              </w:rPr>
              <w:t>Date: May 7, 2026</w:t>
            </w:r>
          </w:p>
        </w:tc>
        <w:tc>
          <w:tcPr>
            <w:tcW w:w="3440" w:type="dxa"/>
            <w:vAlign w:val="bottom"/>
          </w:tcPr>
          <w:p>
            <w:pPr>
              <w:ind w:left="236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Rahul Patel</w:t>
            </w:r>
          </w:p>
        </w:tc>
      </w:tr>
      <w:tr>
        <w:trPr>
          <w:trHeight w:val="247"/>
        </w:trPr>
        <w:tc>
          <w:tcPr>
            <w:tcW w:w="3020" w:type="dxa"/>
            <w:vAlign w:val="bottom"/>
          </w:tcPr>
          <w:p>
            <w:pPr>
              <w:spacing w:after="0"/>
              <w:rPr>
                <w:sz w:val="21"/>
                <w:szCs w:val="21"/>
                <w:color w:val="auto"/>
              </w:rPr>
            </w:pPr>
          </w:p>
        </w:tc>
        <w:tc>
          <w:tcPr>
            <w:tcW w:w="3440" w:type="dxa"/>
            <w:vAlign w:val="bottom"/>
          </w:tcPr>
          <w:p>
            <w:pPr>
              <w:ind w:left="236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Rahul Patel</w:t>
            </w:r>
          </w:p>
        </w:tc>
      </w:tr>
      <w:tr>
        <w:trPr>
          <w:trHeight w:val="220"/>
        </w:trPr>
        <w:tc>
          <w:tcPr>
            <w:tcW w:w="3020" w:type="dxa"/>
            <w:vAlign w:val="bottom"/>
          </w:tcPr>
          <w:p>
            <w:pPr>
              <w:spacing w:after="0"/>
              <w:rPr>
                <w:sz w:val="19"/>
                <w:szCs w:val="19"/>
                <w:color w:val="auto"/>
              </w:rPr>
            </w:pPr>
          </w:p>
        </w:tc>
        <w:tc>
          <w:tcPr>
            <w:tcW w:w="3440" w:type="dxa"/>
            <w:vAlign w:val="bottom"/>
          </w:tcPr>
          <w:p>
            <w:pPr>
              <w:ind w:left="236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w:t>
            </w:r>
          </w:p>
        </w:tc>
      </w:tr>
      <w:tr>
        <w:trPr>
          <w:trHeight w:val="239"/>
        </w:trPr>
        <w:tc>
          <w:tcPr>
            <w:tcW w:w="3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Officer)</w:t>
            </w:r>
          </w:p>
        </w:tc>
      </w:tr>
      <w:tr>
        <w:trPr>
          <w:trHeight w:val="543"/>
        </w:trPr>
        <w:tc>
          <w:tcPr>
            <w:tcW w:w="3020" w:type="dxa"/>
            <w:vAlign w:val="bottom"/>
          </w:tcPr>
          <w:p>
            <w:pPr>
              <w:spacing w:after="0"/>
              <w:rPr>
                <w:sz w:val="20"/>
                <w:szCs w:val="20"/>
                <w:color w:val="auto"/>
              </w:rPr>
            </w:pPr>
            <w:r>
              <w:rPr>
                <w:rFonts w:ascii="Arial" w:cs="Arial" w:eastAsia="Arial" w:hAnsi="Arial"/>
                <w:sz w:val="18"/>
                <w:szCs w:val="18"/>
                <w:color w:val="auto"/>
              </w:rPr>
              <w:t>Date: May 7, 2026</w:t>
            </w:r>
          </w:p>
        </w:tc>
        <w:tc>
          <w:tcPr>
            <w:tcW w:w="3440" w:type="dxa"/>
            <w:vAlign w:val="bottom"/>
          </w:tcPr>
          <w:p>
            <w:pPr>
              <w:ind w:left="236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Ken Rizvi</w:t>
            </w:r>
          </w:p>
        </w:tc>
      </w:tr>
      <w:tr>
        <w:trPr>
          <w:trHeight w:val="247"/>
        </w:trPr>
        <w:tc>
          <w:tcPr>
            <w:tcW w:w="3020" w:type="dxa"/>
            <w:vAlign w:val="bottom"/>
          </w:tcPr>
          <w:p>
            <w:pPr>
              <w:spacing w:after="0"/>
              <w:rPr>
                <w:sz w:val="21"/>
                <w:szCs w:val="21"/>
                <w:color w:val="auto"/>
              </w:rPr>
            </w:pPr>
          </w:p>
        </w:tc>
        <w:tc>
          <w:tcPr>
            <w:tcW w:w="3440" w:type="dxa"/>
            <w:vAlign w:val="bottom"/>
          </w:tcPr>
          <w:p>
            <w:pPr>
              <w:ind w:left="236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Ken Rizvi</w:t>
            </w:r>
          </w:p>
        </w:tc>
      </w:tr>
      <w:tr>
        <w:trPr>
          <w:trHeight w:val="247"/>
        </w:trPr>
        <w:tc>
          <w:tcPr>
            <w:tcW w:w="3020" w:type="dxa"/>
            <w:vAlign w:val="bottom"/>
          </w:tcPr>
          <w:p>
            <w:pPr>
              <w:spacing w:after="0"/>
              <w:rPr>
                <w:sz w:val="21"/>
                <w:szCs w:val="21"/>
                <w:color w:val="auto"/>
              </w:rPr>
            </w:pPr>
          </w:p>
        </w:tc>
        <w:tc>
          <w:tcPr>
            <w:tcW w:w="3440" w:type="dxa"/>
            <w:vAlign w:val="bottom"/>
          </w:tcPr>
          <w:p>
            <w:pPr>
              <w:ind w:left="236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9"/>
        </w:trPr>
        <w:tc>
          <w:tcPr>
            <w:tcW w:w="3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837"/>
        </w:trPr>
        <w:tc>
          <w:tcPr>
            <w:tcW w:w="3020" w:type="dxa"/>
            <w:vAlign w:val="bottom"/>
          </w:tcPr>
          <w:p>
            <w:pPr>
              <w:spacing w:after="0"/>
              <w:rPr>
                <w:sz w:val="24"/>
                <w:szCs w:val="24"/>
                <w:color w:val="auto"/>
              </w:rPr>
            </w:pPr>
          </w:p>
        </w:tc>
        <w:tc>
          <w:tcPr>
            <w:tcW w:w="3440" w:type="dxa"/>
            <w:vAlign w:val="bottom"/>
          </w:tcPr>
          <w:p>
            <w:pPr>
              <w:ind w:left="1540"/>
              <w:spacing w:after="0"/>
              <w:rPr>
                <w:sz w:val="20"/>
                <w:szCs w:val="20"/>
                <w:color w:val="auto"/>
              </w:rPr>
            </w:pPr>
            <w:r>
              <w:rPr>
                <w:rFonts w:ascii="Arial" w:cs="Arial" w:eastAsia="Arial" w:hAnsi="Arial"/>
                <w:sz w:val="18"/>
                <w:szCs w:val="18"/>
                <w:color w:val="auto"/>
              </w:rPr>
              <w:t>34</w:t>
            </w:r>
          </w:p>
        </w:tc>
        <w:tc>
          <w:tcPr>
            <w:tcW w:w="4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-301625</wp:posOffset>
            </wp:positionV>
            <wp:extent cx="1191260" cy="3003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Rahul Patel, certify that:</w:t>
      </w:r>
    </w:p>
    <w:p>
      <w:pPr>
        <w:spacing w:after="0" w:line="252"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right="140" w:firstLine="656"/>
        <w:spacing w:after="0" w:line="268" w:lineRule="auto"/>
        <w:tabs>
          <w:tab w:leader="none" w:pos="8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right="440" w:firstLine="656"/>
        <w:spacing w:after="0" w:line="268" w:lineRule="auto"/>
        <w:tabs>
          <w:tab w:leader="none" w:pos="8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right="380" w:firstLine="656"/>
        <w:spacing w:after="0" w:line="268" w:lineRule="auto"/>
        <w:tabs>
          <w:tab w:leader="none" w:pos="84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right="180" w:firstLine="656"/>
        <w:spacing w:after="0" w:line="268" w:lineRule="auto"/>
        <w:tabs>
          <w:tab w:leader="none" w:pos="8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right="60" w:firstLine="656"/>
        <w:spacing w:after="0" w:line="287" w:lineRule="auto"/>
        <w:tabs>
          <w:tab w:leader="none" w:pos="8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right="280" w:firstLine="656"/>
        <w:spacing w:after="0" w:line="287" w:lineRule="auto"/>
        <w:tabs>
          <w:tab w:leader="none" w:pos="8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2026</w:t>
      </w:r>
    </w:p>
    <w:p>
      <w:pPr>
        <w:spacing w:after="0" w:line="5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Rahul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24765</wp:posOffset>
            </wp:positionV>
            <wp:extent cx="35572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Rahul Patel</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Ken Rizvi, certify that:</w:t>
      </w:r>
    </w:p>
    <w:p>
      <w:pPr>
        <w:spacing w:after="0" w:line="252"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right="140" w:firstLine="656"/>
        <w:spacing w:after="0" w:line="268" w:lineRule="auto"/>
        <w:tabs>
          <w:tab w:leader="none" w:pos="8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right="440" w:firstLine="656"/>
        <w:spacing w:after="0" w:line="268" w:lineRule="auto"/>
        <w:tabs>
          <w:tab w:leader="none" w:pos="8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right="380" w:firstLine="656"/>
        <w:spacing w:after="0" w:line="268" w:lineRule="auto"/>
        <w:tabs>
          <w:tab w:leader="none" w:pos="848"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right="180" w:firstLine="656"/>
        <w:spacing w:after="0" w:line="268" w:lineRule="auto"/>
        <w:tabs>
          <w:tab w:leader="none" w:pos="8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right="60" w:firstLine="656"/>
        <w:spacing w:after="0" w:line="287" w:lineRule="auto"/>
        <w:tabs>
          <w:tab w:leader="none" w:pos="8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right="280" w:firstLine="656"/>
        <w:spacing w:after="0" w:line="287" w:lineRule="auto"/>
        <w:tabs>
          <w:tab w:leader="none" w:pos="8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 May 7, 2026</w:t>
      </w:r>
    </w:p>
    <w:p>
      <w:pPr>
        <w:spacing w:after="0" w:line="52" w:lineRule="exact"/>
        <w:rPr>
          <w:sz w:val="20"/>
          <w:szCs w:val="20"/>
          <w:color w:val="auto"/>
        </w:rPr>
      </w:pPr>
    </w:p>
    <w:p>
      <w:pPr>
        <w:ind w:left="6420"/>
        <w:spacing w:after="0"/>
        <w:rPr>
          <w:sz w:val="20"/>
          <w:szCs w:val="20"/>
          <w:color w:val="auto"/>
        </w:rPr>
      </w:pPr>
      <w:r>
        <w:rPr>
          <w:rFonts w:ascii="Arial" w:cs="Arial" w:eastAsia="Arial" w:hAnsi="Arial"/>
          <w:sz w:val="18"/>
          <w:szCs w:val="18"/>
          <w:i w:val="1"/>
          <w:iCs w:val="1"/>
          <w:color w:val="auto"/>
        </w:rPr>
        <w:t>/s/ Ken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24765</wp:posOffset>
            </wp:positionV>
            <wp:extent cx="29660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Ken Rizvi</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52" w:lineRule="exact"/>
        <w:rPr>
          <w:sz w:val="20"/>
          <w:szCs w:val="20"/>
          <w:color w:val="auto"/>
        </w:rPr>
      </w:pPr>
    </w:p>
    <w:p>
      <w:pPr>
        <w:ind w:right="40" w:firstLine="200"/>
        <w:spacing w:after="0" w:line="262" w:lineRule="auto"/>
        <w:rPr>
          <w:sz w:val="20"/>
          <w:szCs w:val="20"/>
          <w:color w:val="auto"/>
        </w:rPr>
      </w:pPr>
      <w:r>
        <w:rPr>
          <w:rFonts w:ascii="Arial" w:cs="Arial" w:eastAsia="Arial" w:hAnsi="Arial"/>
          <w:sz w:val="18"/>
          <w:szCs w:val="18"/>
          <w:color w:val="auto"/>
        </w:rPr>
        <w:t>In connection with the Quarterly Report on Form 10-Q of Synaptics Incorporated (the “Company”) for the quarterly period ended March 28, 2026, as filed with the Securities and Exchange Commission on the date hereof (the “Report”), I, Rahul Patel, President and Chief Executive Officer of the Company, certify, to the best of my knowledge and belief, pursuant to 18 U.S.C. § 1350, as adopted pursuant to § 906 of the Sarbanes-Oxley Act of 2002, that:</w:t>
      </w:r>
    </w:p>
    <w:p>
      <w:pPr>
        <w:spacing w:after="0" w:line="203" w:lineRule="exact"/>
        <w:rPr>
          <w:sz w:val="20"/>
          <w:szCs w:val="20"/>
          <w:color w:val="auto"/>
        </w:rPr>
      </w:pPr>
    </w:p>
    <w:p>
      <w:pPr>
        <w:ind w:right="100" w:firstLine="8"/>
        <w:spacing w:after="0" w:line="287" w:lineRule="auto"/>
        <w:tabs>
          <w:tab w:leader="none" w:pos="4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79" w:lineRule="exact"/>
        <w:rPr>
          <w:rFonts w:ascii="Arial" w:cs="Arial" w:eastAsia="Arial" w:hAnsi="Arial"/>
          <w:sz w:val="18"/>
          <w:szCs w:val="18"/>
          <w:color w:val="auto"/>
        </w:rPr>
      </w:pPr>
    </w:p>
    <w:p>
      <w:pPr>
        <w:ind w:right="240" w:firstLine="8"/>
        <w:spacing w:after="0" w:line="287" w:lineRule="auto"/>
        <w:tabs>
          <w:tab w:leader="none" w:pos="4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Rahul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8315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Rahul Patel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7, 2026</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52"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In connection with the Quarterly Report on Form 10-Q of Synaptics Incorporated (the “Company”) for the quarterly period ended March 28, 2026, as filed with the Securities and Exchange Commission on the date hereof (the “Report”), I, Ken Rizvi, Chief Financial Officer of the Company, certify, to the best of my knowledge and belief, pursuant to 18 U.S.C. § 1350, as adopted pursuant to § 906 of the Sarbanes-Oxley Act of 2002, that:</w:t>
      </w:r>
    </w:p>
    <w:p>
      <w:pPr>
        <w:spacing w:after="0" w:line="203" w:lineRule="exact"/>
        <w:rPr>
          <w:sz w:val="20"/>
          <w:szCs w:val="20"/>
          <w:color w:val="auto"/>
        </w:rPr>
      </w:pPr>
    </w:p>
    <w:p>
      <w:pPr>
        <w:ind w:right="140" w:firstLine="8"/>
        <w:spacing w:after="0" w:line="287" w:lineRule="auto"/>
        <w:tabs>
          <w:tab w:leader="none" w:pos="4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79" w:lineRule="exact"/>
        <w:rPr>
          <w:rFonts w:ascii="Arial" w:cs="Arial" w:eastAsia="Arial" w:hAnsi="Arial"/>
          <w:sz w:val="18"/>
          <w:szCs w:val="18"/>
          <w:color w:val="auto"/>
        </w:rPr>
      </w:pPr>
    </w:p>
    <w:p>
      <w:pPr>
        <w:ind w:right="240" w:firstLine="8"/>
        <w:spacing w:after="0" w:line="287" w:lineRule="auto"/>
        <w:tabs>
          <w:tab w:leader="none" w:pos="4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Ken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8315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Ken Rizvi</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7, 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0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5" Type="http://schemas.openxmlformats.org/officeDocument/2006/relationships/image" Target="media/image126.jpeg"/><Relationship Id="rId136" Type="http://schemas.openxmlformats.org/officeDocument/2006/relationships/image" Target="media/image127.png"/><Relationship Id="rId137" Type="http://schemas.openxmlformats.org/officeDocument/2006/relationships/image" Target="media/image128.jpe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33" Type="http://schemas.openxmlformats.org/officeDocument/2006/relationships/hyperlink" Target="https://www.sec.gov/Archives/edgar/data/817720/000119312523264071/d511153dex31.htm" TargetMode="External"/><Relationship Id="rId134" Type="http://schemas.openxmlformats.org/officeDocument/2006/relationships/hyperlink" Target="https://www.sec.gov/Archives/edgar/data/817720/000081772025000062/syna-fourth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2026-05-07T15:30:50Z</dcterms:created>
  <dcterms:modified xsi:type="dcterms:W3CDTF">2026-05-07T15:30:50Z</dcterms:modified>
</cp:coreProperties>
</file>