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95250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9" w:lineRule="exact"/>
        <w:rPr>
          <w:sz w:val="24"/>
          <w:szCs w:val="24"/>
          <w:color w:val="auto"/>
        </w:rPr>
      </w:pPr>
    </w:p>
    <w:p>
      <w:pPr>
        <w:ind w:left="520" w:right="140" w:hanging="499"/>
        <w:spacing w:after="0" w:line="261"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30, 2024</w:t>
      </w:r>
    </w:p>
    <w:p>
      <w:pPr>
        <w:spacing w:after="0" w:line="108" w:lineRule="exact"/>
        <w:rPr>
          <w:sz w:val="24"/>
          <w:szCs w:val="24"/>
          <w:color w:val="auto"/>
        </w:rPr>
      </w:pPr>
    </w:p>
    <w:p>
      <w:pPr>
        <w:ind w:left="520" w:right="120" w:hanging="499"/>
        <w:spacing w:after="0" w:line="261"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2" w:lineRule="exact"/>
        <w:rPr>
          <w:sz w:val="24"/>
          <w:szCs w:val="24"/>
          <w:color w:val="auto"/>
        </w:rPr>
      </w:pPr>
    </w:p>
    <w:p>
      <w:pPr>
        <w:ind w:left="3760"/>
        <w:spacing w:after="0"/>
        <w:tabs>
          <w:tab w:leader="none" w:pos="670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96520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SYNAPTICS INCORPORATED</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0" w:type="dxa"/>
            <w:vAlign w:val="bottom"/>
          </w:tcPr>
          <w:p>
            <w:pPr>
              <w:spacing w:after="0"/>
              <w:rPr>
                <w:sz w:val="19"/>
                <w:szCs w:val="19"/>
                <w:color w:val="auto"/>
              </w:rPr>
            </w:pPr>
          </w:p>
        </w:tc>
        <w:tc>
          <w:tcPr>
            <w:tcW w:w="2440" w:type="dxa"/>
            <w:vAlign w:val="bottom"/>
            <w:gridSpan w:val="2"/>
          </w:tcPr>
          <w:p>
            <w:pPr>
              <w:jc w:val="center"/>
              <w:ind w:left="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jc w:val="center"/>
              <w:ind w:right="1277"/>
              <w:spacing w:after="0"/>
              <w:rPr>
                <w:sz w:val="20"/>
                <w:szCs w:val="20"/>
                <w:color w:val="auto"/>
              </w:rPr>
            </w:pPr>
            <w:r>
              <w:rPr>
                <w:rFonts w:ascii="Times New Roman" w:cs="Times New Roman" w:eastAsia="Times New Roman" w:hAnsi="Times New Roman"/>
                <w:sz w:val="18"/>
                <w:szCs w:val="18"/>
                <w:b w:val="1"/>
                <w:bCs w:val="1"/>
                <w:color w:val="auto"/>
                <w:w w:val="98"/>
              </w:rPr>
              <w:t>77-0118518</w:t>
            </w:r>
          </w:p>
        </w:tc>
      </w:tr>
      <w:tr>
        <w:trPr>
          <w:trHeight w:val="148"/>
        </w:trPr>
        <w:tc>
          <w:tcPr>
            <w:tcW w:w="1400" w:type="dxa"/>
            <w:vAlign w:val="bottom"/>
          </w:tcPr>
          <w:p>
            <w:pPr>
              <w:spacing w:after="0"/>
              <w:rPr>
                <w:sz w:val="12"/>
                <w:szCs w:val="12"/>
                <w:color w:val="auto"/>
              </w:rPr>
            </w:pPr>
          </w:p>
        </w:tc>
        <w:tc>
          <w:tcPr>
            <w:tcW w:w="2440" w:type="dxa"/>
            <w:vAlign w:val="bottom"/>
            <w:gridSpan w:val="2"/>
          </w:tcPr>
          <w:p>
            <w:pPr>
              <w:jc w:val="center"/>
              <w:ind w:left="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jc w:val="center"/>
              <w:ind w:right="127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0"/>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1109 McKay Drive</w:t>
            </w:r>
          </w:p>
        </w:tc>
        <w:tc>
          <w:tcPr>
            <w:tcW w:w="318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San Jose, California 95131</w:t>
            </w:r>
          </w:p>
        </w:tc>
        <w:tc>
          <w:tcPr>
            <w:tcW w:w="3180" w:type="dxa"/>
            <w:vAlign w:val="bottom"/>
          </w:tcPr>
          <w:p>
            <w:pPr>
              <w:spacing w:after="0"/>
              <w:rPr>
                <w:sz w:val="18"/>
                <w:szCs w:val="18"/>
                <w:color w:val="auto"/>
              </w:rPr>
            </w:pPr>
          </w:p>
        </w:tc>
      </w:tr>
      <w:tr>
        <w:trPr>
          <w:trHeight w:val="188"/>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180" w:type="dxa"/>
            <w:vAlign w:val="bottom"/>
          </w:tcPr>
          <w:p>
            <w:pPr>
              <w:spacing w:after="0"/>
              <w:rPr>
                <w:sz w:val="16"/>
                <w:szCs w:val="16"/>
                <w:color w:val="auto"/>
              </w:rPr>
            </w:pPr>
          </w:p>
        </w:tc>
      </w:tr>
      <w:tr>
        <w:trPr>
          <w:trHeight w:val="257"/>
        </w:trPr>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340" w:type="dxa"/>
            <w:vAlign w:val="bottom"/>
            <w:gridSpan w:val="3"/>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w w:val="99"/>
              </w:rPr>
              <w:t>(408) 904-1100</w:t>
            </w: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188"/>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80" w:type="dxa"/>
            <w:vAlign w:val="bottom"/>
          </w:tcPr>
          <w:p>
            <w:pPr>
              <w:spacing w:after="0"/>
              <w:rPr>
                <w:sz w:val="16"/>
                <w:szCs w:val="16"/>
                <w:color w:val="auto"/>
              </w:rPr>
            </w:pPr>
          </w:p>
        </w:tc>
      </w:tr>
      <w:tr>
        <w:trPr>
          <w:trHeight w:val="106"/>
        </w:trPr>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04"/>
        </w:trPr>
        <w:tc>
          <w:tcPr>
            <w:tcW w:w="7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283"/>
        </w:trPr>
        <w:tc>
          <w:tcPr>
            <w:tcW w:w="14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1400" w:type="dxa"/>
            <w:vAlign w:val="bottom"/>
            <w:gridSpan w:val="2"/>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7"/>
        </w:trPr>
        <w:tc>
          <w:tcPr>
            <w:tcW w:w="3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SYNA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03"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 w:lineRule="exact"/>
        <w:rPr>
          <w:sz w:val="24"/>
          <w:szCs w:val="24"/>
          <w:color w:val="auto"/>
        </w:rPr>
      </w:pPr>
    </w:p>
    <w:p>
      <w:pPr>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2, 2024, the Company had 39,497,538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800735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7" w:right="4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MARCH 30, 2024</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8620" w:type="dxa"/>
            <w:vAlign w:val="bottom"/>
            <w:gridSpan w:val="15"/>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80" w:type="dxa"/>
            <w:vAlign w:val="bottom"/>
            <w:tcBorders>
              <w:bottom w:val="single" w:sz="8" w:color="0000FF"/>
            </w:tcBorders>
            <w:gridSpan w:val="9"/>
            <w:vMerge w:val="continue"/>
          </w:tcPr>
          <w:p>
            <w:pPr>
              <w:spacing w:after="0"/>
              <w:rPr>
                <w:sz w:val="15"/>
                <w:szCs w:val="15"/>
                <w:color w:val="auto"/>
              </w:rPr>
            </w:pPr>
          </w:p>
        </w:tc>
        <w:tc>
          <w:tcPr>
            <w:tcW w:w="8620" w:type="dxa"/>
            <w:vAlign w:val="bottom"/>
            <w:gridSpan w:val="15"/>
            <w:vMerge w:val="continue"/>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Sheets—March 30, 2024 and June 24,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Operations—Three and Nine Months Ended March 30, 2024 and March 25,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Income—Three and Nine Months Ended March 30, 2024 and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140" w:type="dxa"/>
            <w:vAlign w:val="bottom"/>
            <w:tcBorders>
              <w:top w:val="single" w:sz="8" w:color="0000FF"/>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w w:val="97"/>
              </w:rPr>
              <w:t>March 25, 2023</w:t>
            </w:r>
          </w:p>
        </w:tc>
        <w:tc>
          <w:tcPr>
            <w:tcW w:w="20" w:type="dxa"/>
            <w:vAlign w:val="bottom"/>
            <w:tcBorders>
              <w:top w:val="single" w:sz="8" w:color="0000FF"/>
              <w:bottom w:val="single" w:sz="8" w:color="0000EE"/>
            </w:tcBorders>
          </w:tcPr>
          <w:p>
            <w:pPr>
              <w:spacing w:after="0"/>
              <w:rPr>
                <w:sz w:val="17"/>
                <w:szCs w:val="17"/>
                <w:color w:val="auto"/>
              </w:rPr>
            </w:pPr>
          </w:p>
        </w:tc>
        <w:tc>
          <w:tcPr>
            <w:tcW w:w="7620" w:type="dxa"/>
            <w:vAlign w:val="bottom"/>
            <w:tcBorders>
              <w:top w:val="single" w:sz="8" w:color="0000FF"/>
            </w:tcBorders>
            <w:gridSpan w:val="10"/>
          </w:tcPr>
          <w:p>
            <w:pPr>
              <w:spacing w:after="0"/>
              <w:rPr>
                <w:sz w:val="17"/>
                <w:szCs w:val="17"/>
                <w:color w:val="auto"/>
              </w:rPr>
            </w:pPr>
          </w:p>
        </w:tc>
        <w:tc>
          <w:tcPr>
            <w:tcW w:w="560" w:type="dxa"/>
            <w:vAlign w:val="bottom"/>
            <w:gridSpan w:val="2"/>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Equity—Three and Nine Months Ended March 30, 2024 and March 25,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Borders>
              <w:top w:val="single" w:sz="8" w:color="0000FF"/>
            </w:tcBorders>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0000FF"/>
                <w:w w:val="94"/>
              </w:rPr>
              <w:t>2023</w:t>
            </w: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3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Flows—Nine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4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March 30, 2024 and March 25, 2023</w:t>
            </w: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20" w:type="dxa"/>
            <w:vAlign w:val="bottom"/>
            <w:tcBorders>
              <w:bottom w:val="single" w:sz="8" w:color="0000EE"/>
            </w:tcBorders>
          </w:tcPr>
          <w:p>
            <w:pPr>
              <w:spacing w:after="0"/>
              <w:rPr>
                <w:sz w:val="24"/>
                <w:szCs w:val="24"/>
                <w:color w:val="auto"/>
              </w:rPr>
            </w:pPr>
          </w:p>
        </w:tc>
        <w:tc>
          <w:tcPr>
            <w:tcW w:w="882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740" w:type="dxa"/>
            <w:vAlign w:val="bottom"/>
            <w:gridSpan w:val="12"/>
            <w:shd w:val="clear" w:color="auto" w:fill="0000FF"/>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875"/>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par value and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w:t>
            </w:r>
          </w:p>
        </w:tc>
      </w:tr>
      <w:tr>
        <w:trPr>
          <w:trHeight w:val="250"/>
        </w:trPr>
        <w:tc>
          <w:tcPr>
            <w:tcW w:w="752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52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1,122.5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intangibles, net</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other assets</w:t>
            </w:r>
          </w:p>
        </w:tc>
        <w:tc>
          <w:tcPr>
            <w:tcW w:w="1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spacing w:after="0"/>
              <w:rPr>
                <w:sz w:val="20"/>
                <w:szCs w:val="20"/>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2,539.7</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520" w:type="dxa"/>
            <w:vAlign w:val="bottom"/>
            <w:shd w:val="clear" w:color="auto" w:fill="CFF0FC"/>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0"/>
                <w:szCs w:val="20"/>
                <w:color w:val="auto"/>
              </w:rPr>
            </w:pPr>
          </w:p>
        </w:tc>
      </w:tr>
      <w:tr>
        <w:trPr>
          <w:trHeight w:val="247"/>
        </w:trPr>
        <w:tc>
          <w:tcPr>
            <w:tcW w:w="7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00" w:type="dxa"/>
            <w:vAlign w:val="bottom"/>
            <w:shd w:val="clear" w:color="auto" w:fill="CFF0FC"/>
          </w:tcPr>
          <w:p>
            <w:pPr>
              <w:spacing w:after="0"/>
              <w:rPr>
                <w:sz w:val="21"/>
                <w:szCs w:val="2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1"/>
                <w:szCs w:val="21"/>
                <w:color w:val="auto"/>
              </w:rPr>
            </w:pPr>
          </w:p>
        </w:tc>
      </w:tr>
      <w:tr>
        <w:trPr>
          <w:trHeight w:val="23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1,304.3</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$0.001 par value; 10,000,000 shares authorized; no shares issued and outstanding</w:t>
            </w:r>
          </w:p>
        </w:tc>
        <w:tc>
          <w:tcPr>
            <w:tcW w:w="110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$0.001 par value; 120,000,000 shares authorized, 69,597,233 and 68,687,511 shares issued,</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39,480,794 and 38,571,072 shares outstanding, at March 2024 and June 2023, respectively</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r>
      <w:tr>
        <w:trPr>
          <w:trHeight w:val="249"/>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1,083.7</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30,116,439 common shares at March 2024 and June 2023, at cost</w:t>
            </w:r>
          </w:p>
        </w:tc>
        <w:tc>
          <w:tcPr>
            <w:tcW w:w="1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(878.0 )</w:t>
            </w:r>
          </w:p>
        </w:tc>
        <w:tc>
          <w:tcPr>
            <w:tcW w:w="3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(878.0 )</w:t>
            </w:r>
          </w:p>
        </w:tc>
      </w:tr>
      <w:tr>
        <w:trPr>
          <w:trHeight w:val="247"/>
        </w:trPr>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1,029.4</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1"/>
                <w:szCs w:val="21"/>
                <w:color w:val="auto"/>
              </w:rPr>
            </w:pPr>
          </w:p>
        </w:tc>
      </w:tr>
      <w:tr>
        <w:trPr>
          <w:trHeight w:val="23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1,235.4</w:t>
            </w: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20" w:type="dxa"/>
            <w:vAlign w:val="bottom"/>
          </w:tcPr>
          <w:p>
            <w:pPr>
              <w:spacing w:after="0"/>
              <w:rPr>
                <w:sz w:val="20"/>
                <w:szCs w:val="20"/>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2,539.7</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-4717415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-4717415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-3783965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-3783965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-2516505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-1883410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-1883410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3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5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w:t>
            </w:r>
          </w:p>
        </w:tc>
        <w:tc>
          <w:tcPr>
            <w:tcW w:w="9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shd w:val="clear" w:color="auto" w:fill="CFF0FC"/>
          </w:tcPr>
          <w:p>
            <w:pPr>
              <w:spacing w:after="0"/>
              <w:rPr>
                <w:sz w:val="20"/>
                <w:szCs w:val="20"/>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Pr>
          <w:p>
            <w:pPr>
              <w:spacing w:after="0"/>
              <w:rPr>
                <w:sz w:val="21"/>
                <w:szCs w:val="21"/>
                <w:color w:val="auto"/>
              </w:rPr>
            </w:pPr>
          </w:p>
        </w:tc>
      </w:tr>
      <w:tr>
        <w:trPr>
          <w:trHeight w:val="23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shd w:val="clear" w:color="auto" w:fill="CFF0FC"/>
          </w:tcPr>
          <w:p>
            <w:pPr>
              <w:spacing w:after="0"/>
              <w:rPr>
                <w:sz w:val="21"/>
                <w:szCs w:val="21"/>
                <w:color w:val="auto"/>
              </w:rPr>
            </w:pPr>
          </w:p>
        </w:tc>
      </w:tr>
      <w:tr>
        <w:trPr>
          <w:trHeight w:val="238"/>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(22.0 )</w:t>
            </w: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(5.2 )</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21"/>
                <w:szCs w:val="2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(0.46 )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(0.46 )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2"/>
                <w:szCs w:val="22"/>
                <w:color w:val="auto"/>
              </w:rPr>
            </w:pPr>
          </w:p>
        </w:tc>
      </w:tr>
      <w:tr>
        <w:trPr>
          <w:trHeight w:val="219"/>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income:</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-2790825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-2790825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-2790825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-1849120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-1849120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-1849120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-1532255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-1532255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-1532255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-1215390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-1215390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-1215390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-538480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-521970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-538480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-521970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-538480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-521970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-205105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-187960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-205105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-187960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-205105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2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58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8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5"/>
              </w:rPr>
              <w:t>(18.1 )</w:t>
            </w:r>
          </w:p>
        </w:tc>
        <w:tc>
          <w:tcPr>
            <w:tcW w:w="8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income on available-for-sale-securities</w:t>
            </w: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(18.1 )</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-187960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980" w:right="339" w:bottom="1440" w:gutter="0" w:footer="0" w:header="0"/>
        </w:sectPr>
      </w:pPr>
    </w:p>
    <w:p>
      <w:pPr>
        <w:spacing w:after="0" w:line="2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28575</wp:posOffset>
            </wp:positionV>
            <wp:extent cx="1233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1"/>
        </w:trPr>
        <w:tc>
          <w:tcPr>
            <w:tcW w:w="3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68,687,5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612,283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320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69,299,7</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320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69,404,2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Accumul</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ated</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Compreh</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Stockhol</w:t>
            </w:r>
          </w:p>
        </w:tc>
      </w:tr>
      <w:tr>
        <w:trPr>
          <w:trHeight w:val="216"/>
        </w:trPr>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ensive</w:t>
            </w:r>
          </w:p>
        </w:tc>
        <w:tc>
          <w:tcPr>
            <w:tcW w:w="3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ders'</w:t>
            </w: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1"/>
                <w:szCs w:val="21"/>
                <w:color w:val="auto"/>
              </w:rPr>
            </w:pPr>
          </w:p>
        </w:tc>
      </w:tr>
      <w:tr>
        <w:trPr>
          <w:trHeight w:val="445"/>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$1,009.2</w:t>
            </w:r>
          </w:p>
        </w:tc>
        <w:tc>
          <w:tcPr>
            <w:tcW w:w="3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$(878.0 )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$ 1,112.1</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$ 1,243.4</w:t>
            </w:r>
          </w:p>
        </w:tc>
        <w:tc>
          <w:tcPr>
            <w:tcW w:w="60" w:type="dxa"/>
            <w:vAlign w:val="bottom"/>
          </w:tcPr>
          <w:p>
            <w:pPr>
              <w:spacing w:after="0"/>
              <w:rPr>
                <w:sz w:val="24"/>
                <w:szCs w:val="24"/>
                <w:color w:val="auto"/>
              </w:rPr>
            </w:pPr>
          </w:p>
        </w:tc>
      </w:tr>
      <w:tr>
        <w:trPr>
          <w:trHeight w:val="243"/>
        </w:trPr>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(55.6 )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43"/>
        </w:trPr>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1"/>
                <w:szCs w:val="21"/>
                <w:color w:val="auto"/>
              </w:rPr>
            </w:pPr>
          </w:p>
        </w:tc>
      </w:tr>
      <w:tr>
        <w:trPr>
          <w:trHeight w:val="458"/>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r>
      <w:tr>
        <w:trPr>
          <w:trHeight w:val="458"/>
        </w:trPr>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(25.3 )</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50"/>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Pr>
          <w:p>
            <w:pPr>
              <w:spacing w:after="0"/>
              <w:rPr>
                <w:sz w:val="21"/>
                <w:szCs w:val="21"/>
                <w:color w:val="auto"/>
              </w:rPr>
            </w:pPr>
          </w:p>
        </w:tc>
      </w:tr>
      <w:tr>
        <w:trPr>
          <w:trHeight w:val="445"/>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3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(878.0 )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60" w:type="dxa"/>
            <w:vAlign w:val="bottom"/>
          </w:tcPr>
          <w:p>
            <w:pPr>
              <w:spacing w:after="0"/>
              <w:rPr>
                <w:sz w:val="24"/>
                <w:szCs w:val="24"/>
                <w:color w:val="auto"/>
              </w:rPr>
            </w:pPr>
          </w:p>
        </w:tc>
      </w:tr>
      <w:tr>
        <w:trPr>
          <w:trHeight w:val="243"/>
        </w:trPr>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3"/>
        </w:trPr>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1"/>
                <w:szCs w:val="21"/>
                <w:color w:val="auto"/>
              </w:rPr>
            </w:pPr>
          </w:p>
        </w:tc>
      </w:tr>
      <w:tr>
        <w:trPr>
          <w:trHeight w:val="458"/>
        </w:trPr>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58"/>
        </w:trPr>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(4.3 )</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50"/>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21"/>
                <w:szCs w:val="21"/>
                <w:color w:val="auto"/>
              </w:rPr>
            </w:pPr>
          </w:p>
        </w:tc>
      </w:tr>
      <w:tr>
        <w:trPr>
          <w:trHeight w:val="445"/>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3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(878.0 )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60" w:type="dxa"/>
            <w:vAlign w:val="bottom"/>
          </w:tcPr>
          <w:p>
            <w:pPr>
              <w:spacing w:after="0"/>
              <w:rPr>
                <w:sz w:val="24"/>
                <w:szCs w:val="24"/>
                <w:color w:val="auto"/>
              </w:rPr>
            </w:pPr>
          </w:p>
        </w:tc>
      </w:tr>
      <w:tr>
        <w:trPr>
          <w:trHeight w:val="243"/>
        </w:trPr>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(18.1 )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43"/>
        </w:trPr>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58"/>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4"/>
                <w:szCs w:val="24"/>
                <w:color w:val="auto"/>
              </w:rPr>
            </w:pPr>
          </w:p>
        </w:tc>
      </w:tr>
      <w:tr>
        <w:trPr>
          <w:trHeight w:val="458"/>
        </w:trPr>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-3569970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-3261995</wp:posOffset>
            </wp:positionV>
            <wp:extent cx="7132320" cy="290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-2225675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-1917700</wp:posOffset>
            </wp:positionV>
            <wp:extent cx="7132320" cy="290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-881380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-572770</wp:posOffset>
            </wp:positionV>
            <wp:extent cx="7132320" cy="290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-2679700</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-1335405</wp:posOffset>
            </wp:positionV>
            <wp:extent cx="713232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60" w:space="300"/>
            <w:col w:w="5780"/>
          </w:cols>
          <w:pgMar w:left="320" w:top="980"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FF0FC"/>
          </w:tcPr>
          <w:p>
            <w:pPr>
              <w:spacing w:after="0"/>
              <w:rPr>
                <w:sz w:val="20"/>
                <w:szCs w:val="20"/>
                <w:color w:val="auto"/>
              </w:rPr>
            </w:pPr>
          </w:p>
        </w:tc>
      </w:tr>
      <w:tr>
        <w:trPr>
          <w:trHeight w:val="204"/>
        </w:trPr>
        <w:tc>
          <w:tcPr>
            <w:tcW w:w="322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69,597,2</w:t>
            </w:r>
          </w:p>
        </w:tc>
        <w:tc>
          <w:tcPr>
            <w:tcW w:w="3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(878.0 )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$ 1,029.4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$ 1,235.4</w:t>
            </w:r>
          </w:p>
        </w:tc>
        <w:tc>
          <w:tcPr>
            <w:tcW w:w="100" w:type="dxa"/>
            <w:vAlign w:val="bottom"/>
          </w:tcPr>
          <w:p>
            <w:pPr>
              <w:spacing w:after="0"/>
              <w:rPr>
                <w:sz w:val="21"/>
                <w:szCs w:val="21"/>
                <w:color w:val="auto"/>
              </w:rPr>
            </w:pPr>
          </w:p>
        </w:tc>
      </w:tr>
      <w:tr>
        <w:trPr>
          <w:trHeight w:val="20"/>
        </w:trPr>
        <w:tc>
          <w:tcPr>
            <w:tcW w:w="3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-324485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-324485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-324485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-324485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-324485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-324485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980" w:right="339" w:bottom="1440" w:gutter="0" w:footer="0" w:header="0"/>
        </w:sectPr>
      </w:pPr>
    </w:p>
    <w:p>
      <w:pPr>
        <w:spacing w:after="0" w:line="2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28575</wp:posOffset>
            </wp:positionV>
            <wp:extent cx="12331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1"/>
        </w:trPr>
        <w:tc>
          <w:tcPr>
            <w:tcW w:w="3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67,745,8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483,713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320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68,229,5</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229,972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3200" w:type="dxa"/>
            <w:vAlign w:val="bottom"/>
          </w:tcPr>
          <w:p>
            <w:pPr>
              <w:spacing w:after="0"/>
              <w:rPr>
                <w:sz w:val="17"/>
                <w:szCs w:val="17"/>
                <w:color w:val="auto"/>
              </w:rPr>
            </w:pPr>
          </w:p>
        </w:tc>
        <w:tc>
          <w:tcPr>
            <w:tcW w:w="8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68,459,4</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170,376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Accumul</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ated</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Compreh</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Stockhol</w:t>
            </w:r>
          </w:p>
        </w:tc>
      </w:tr>
      <w:tr>
        <w:trPr>
          <w:trHeight w:val="216"/>
        </w:trPr>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ensive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3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ders'</w:t>
            </w:r>
          </w:p>
        </w:tc>
      </w:tr>
      <w:tr>
        <w:trPr>
          <w:trHeight w:val="245"/>
        </w:trPr>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300" w:type="dxa"/>
            <w:vAlign w:val="bottom"/>
          </w:tcPr>
          <w:p>
            <w:pPr>
              <w:spacing w:after="0"/>
              <w:rPr>
                <w:sz w:val="21"/>
                <w:szCs w:val="21"/>
                <w:color w:val="auto"/>
              </w:rPr>
            </w:pPr>
          </w:p>
        </w:tc>
        <w:tc>
          <w:tcPr>
            <w:tcW w:w="10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1"/>
                <w:szCs w:val="21"/>
                <w:color w:val="auto"/>
              </w:rPr>
            </w:pPr>
          </w:p>
        </w:tc>
      </w:tr>
      <w:tr>
        <w:trPr>
          <w:trHeight w:val="44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3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$(694.5 )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$(1.8 )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$ 1,038.5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$ 1,266.4</w:t>
            </w:r>
          </w:p>
        </w:tc>
        <w:tc>
          <w:tcPr>
            <w:tcW w:w="6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458"/>
        </w:trPr>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r>
      <w:tr>
        <w:trPr>
          <w:trHeight w:val="458"/>
        </w:trPr>
        <w:tc>
          <w:tcPr>
            <w:tcW w:w="1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(31.4 )</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50"/>
        </w:trPr>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21"/>
                <w:szCs w:val="21"/>
                <w:color w:val="auto"/>
              </w:rPr>
            </w:pPr>
          </w:p>
        </w:tc>
      </w:tr>
      <w:tr>
        <w:trPr>
          <w:trHeight w:val="445"/>
        </w:trPr>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3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(707.9 )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6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1"/>
                <w:szCs w:val="21"/>
                <w:color w:val="auto"/>
              </w:rPr>
            </w:pPr>
          </w:p>
        </w:tc>
      </w:tr>
      <w:tr>
        <w:trPr>
          <w:trHeight w:val="458"/>
        </w:trPr>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4"/>
                <w:szCs w:val="24"/>
                <w:color w:val="auto"/>
              </w:rPr>
            </w:pPr>
          </w:p>
        </w:tc>
      </w:tr>
      <w:tr>
        <w:trPr>
          <w:trHeight w:val="458"/>
        </w:trPr>
        <w:tc>
          <w:tcPr>
            <w:tcW w:w="1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(17.7 )</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50"/>
        </w:trPr>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Pr>
          <w:p>
            <w:pPr>
              <w:spacing w:after="0"/>
              <w:rPr>
                <w:sz w:val="21"/>
                <w:szCs w:val="21"/>
                <w:color w:val="auto"/>
              </w:rPr>
            </w:pPr>
          </w:p>
        </w:tc>
      </w:tr>
      <w:tr>
        <w:trPr>
          <w:trHeight w:val="445"/>
        </w:trPr>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3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(769.0 )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6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1"/>
                <w:szCs w:val="21"/>
                <w:color w:val="auto"/>
              </w:rPr>
            </w:pPr>
          </w:p>
        </w:tc>
      </w:tr>
      <w:tr>
        <w:trPr>
          <w:trHeight w:val="458"/>
        </w:trPr>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24"/>
                <w:szCs w:val="24"/>
                <w:color w:val="auto"/>
              </w:rPr>
            </w:pPr>
          </w:p>
        </w:tc>
      </w:tr>
      <w:tr>
        <w:trPr>
          <w:trHeight w:val="458"/>
        </w:trPr>
        <w:tc>
          <w:tcPr>
            <w:tcW w:w="1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(3.1 )</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1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-4323715</wp:posOffset>
            </wp:positionV>
            <wp:extent cx="7132320" cy="290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-3877945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-3432810</wp:posOffset>
            </wp:positionV>
            <wp:extent cx="7132320" cy="290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-2533650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-2225675</wp:posOffset>
            </wp:positionV>
            <wp:extent cx="7132320" cy="290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-1643380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-1326515</wp:posOffset>
            </wp:positionV>
            <wp:extent cx="7132320" cy="290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-881380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-436245</wp:posOffset>
            </wp:positionV>
            <wp:extent cx="7132320" cy="290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-2987675</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60" w:space="300"/>
            <w:col w:w="5780"/>
          </w:cols>
          <w:pgMar w:left="320" w:top="980"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20"/>
                <w:szCs w:val="20"/>
                <w:color w:val="auto"/>
              </w:rPr>
            </w:pPr>
          </w:p>
        </w:tc>
      </w:tr>
      <w:tr>
        <w:trPr>
          <w:trHeight w:val="204"/>
        </w:trPr>
        <w:tc>
          <w:tcPr>
            <w:tcW w:w="322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68,629,8</w:t>
            </w:r>
          </w:p>
        </w:tc>
        <w:tc>
          <w:tcPr>
            <w:tcW w:w="3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(794.6 )   $</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$ 1,135.5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$ 1,321.1</w:t>
            </w:r>
          </w:p>
        </w:tc>
        <w:tc>
          <w:tcPr>
            <w:tcW w:w="100" w:type="dxa"/>
            <w:vAlign w:val="bottom"/>
          </w:tcPr>
          <w:p>
            <w:pPr>
              <w:spacing w:after="0"/>
              <w:rPr>
                <w:sz w:val="21"/>
                <w:szCs w:val="21"/>
                <w:color w:val="auto"/>
              </w:rPr>
            </w:pPr>
          </w:p>
        </w:tc>
      </w:tr>
      <w:tr>
        <w:trPr>
          <w:trHeight w:val="20"/>
        </w:trPr>
        <w:tc>
          <w:tcPr>
            <w:tcW w:w="3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-324485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-324485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-324485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-324485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-324485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-324485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44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44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8"/>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(82.7 )</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costs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taxes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(17.7 )</w:t>
            </w:r>
          </w:p>
        </w:tc>
        <w:tc>
          <w:tcPr>
            <w:tcW w:w="6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r>
      <w:tr>
        <w:trPr>
          <w:trHeight w:val="238"/>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Inventories, net</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47"/>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(80.7 )</w:t>
            </w:r>
          </w:p>
        </w:tc>
      </w:tr>
      <w:tr>
        <w:trPr>
          <w:trHeight w:val="247"/>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compensation</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(20.3 )</w:t>
            </w:r>
          </w:p>
        </w:tc>
        <w:tc>
          <w:tcPr>
            <w:tcW w:w="6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(47.7 )</w:t>
            </w:r>
          </w:p>
        </w:tc>
      </w:tr>
      <w:tr>
        <w:trPr>
          <w:trHeight w:val="238"/>
        </w:trPr>
        <w:tc>
          <w:tcPr>
            <w:tcW w:w="7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 payable</w:t>
            </w:r>
          </w:p>
        </w:tc>
        <w:tc>
          <w:tcPr>
            <w:tcW w:w="10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(46.9 )</w:t>
            </w: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(12.0 )</w:t>
            </w:r>
          </w:p>
        </w:tc>
        <w:tc>
          <w:tcPr>
            <w:tcW w:w="6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(69.6 )</w:t>
            </w:r>
          </w:p>
        </w:tc>
      </w:tr>
      <w:tr>
        <w:trPr>
          <w:trHeight w:val="236"/>
        </w:trPr>
        <w:tc>
          <w:tcPr>
            <w:tcW w:w="7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top w:val="single" w:sz="8" w:color="CFF0FC"/>
            </w:tcBorders>
          </w:tcPr>
          <w:p>
            <w:pPr>
              <w:spacing w:after="0"/>
              <w:rPr>
                <w:sz w:val="20"/>
                <w:szCs w:val="20"/>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business, net of cash and cash equivalents acquired</w:t>
            </w:r>
          </w:p>
        </w:tc>
        <w:tc>
          <w:tcPr>
            <w:tcW w:w="10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maturity of investments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(16.6 )</w:t>
            </w:r>
          </w:p>
        </w:tc>
        <w:tc>
          <w:tcPr>
            <w:tcW w:w="6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(26.1 )</w:t>
            </w:r>
          </w:p>
        </w:tc>
        <w:tc>
          <w:tcPr>
            <w:tcW w:w="6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(29.0 )</w:t>
            </w: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(13.5 )</w:t>
            </w:r>
          </w:p>
        </w:tc>
        <w:tc>
          <w:tcPr>
            <w:tcW w:w="6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(0.9 )</w:t>
            </w: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Advance payment on intangible assets</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(116.5 )</w:t>
            </w:r>
          </w:p>
        </w:tc>
        <w:tc>
          <w:tcPr>
            <w:tcW w:w="6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(146.7 )</w:t>
            </w:r>
          </w:p>
        </w:tc>
        <w:tc>
          <w:tcPr>
            <w:tcW w:w="6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(28.1 )</w:t>
            </w:r>
          </w:p>
        </w:tc>
      </w:tr>
      <w:tr>
        <w:trPr>
          <w:trHeight w:val="234"/>
        </w:trPr>
        <w:tc>
          <w:tcPr>
            <w:tcW w:w="7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taxes related to net share settlement of share-based awards</w:t>
            </w:r>
          </w:p>
        </w:tc>
        <w:tc>
          <w:tcPr>
            <w:tcW w:w="10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(33.7 )</w:t>
            </w:r>
          </w:p>
        </w:tc>
        <w:tc>
          <w:tcPr>
            <w:tcW w:w="6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(52.2 )</w:t>
            </w:r>
          </w:p>
        </w:tc>
      </w:tr>
      <w:tr>
        <w:trPr>
          <w:trHeight w:val="247"/>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(100.1 )</w:t>
            </w: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debt</w:t>
            </w:r>
          </w:p>
        </w:tc>
        <w:tc>
          <w:tcPr>
            <w:tcW w:w="10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(6.0 )</w:t>
            </w:r>
          </w:p>
        </w:tc>
        <w:tc>
          <w:tcPr>
            <w:tcW w:w="6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47"/>
        </w:trPr>
        <w:tc>
          <w:tcPr>
            <w:tcW w:w="7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(20.4 )</w:t>
            </w:r>
          </w:p>
        </w:tc>
        <w:tc>
          <w:tcPr>
            <w:tcW w:w="6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(134.2 )</w:t>
            </w:r>
          </w:p>
        </w:tc>
      </w:tr>
      <w:tr>
        <w:trPr>
          <w:trHeight w:val="20"/>
        </w:trPr>
        <w:tc>
          <w:tcPr>
            <w:tcW w:w="7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(0.4 )</w:t>
            </w:r>
          </w:p>
        </w:tc>
        <w:tc>
          <w:tcPr>
            <w:tcW w:w="6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r>
      <w:tr>
        <w:trPr>
          <w:trHeight w:val="20"/>
        </w:trPr>
        <w:tc>
          <w:tcPr>
            <w:tcW w:w="74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(96.6 )</w:t>
            </w: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0"/>
                <w:szCs w:val="20"/>
                <w:color w:val="auto"/>
              </w:rPr>
            </w:pPr>
          </w:p>
        </w:tc>
      </w:tr>
      <w:tr>
        <w:trPr>
          <w:trHeight w:val="247"/>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280" w:type="dxa"/>
            <w:vAlign w:val="bottom"/>
          </w:tcPr>
          <w:p>
            <w:pPr>
              <w:spacing w:after="0"/>
              <w:rPr>
                <w:sz w:val="20"/>
                <w:szCs w:val="20"/>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Pr>
          <w:p>
            <w:pPr>
              <w:spacing w:after="0"/>
              <w:rPr>
                <w:sz w:val="20"/>
                <w:szCs w:val="20"/>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-3329940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-1763395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-829945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-504825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left="340" w:right="26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Principles of Consolidation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24, 2023.</w:t>
      </w:r>
    </w:p>
    <w:p>
      <w:pPr>
        <w:spacing w:after="0" w:line="79"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6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fiscal year is the 52- or 53-week period ending on the last Saturday in June. Our fiscal 2024 is a 53-week period ending June 29, 2024, and our fiscal 2023 was a 52-week period ending on June 24, 2023. The fiscal periods presented in this report are 13-week and 40-week periods for the three and nine months ended March 30, 2024, respectively, and 13-week and 39-week periods for the three and nine months ended March 25, 2023, respectively. For simplicity, the accompanying condensed consolidated financial statements have been shown as ending on calendar quarter end dates as of and for all periods presented, unless otherwise indicated.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but not limited to, those estimates related to revenue recognition, allowance for credit losses, cost of revenue, inventories, loss on purchase commitments, product warranty, accrued liabilities, share-based compensation costs, provision for income taxes, deferred tax assets and the associated valuation allowance, uncertain tax positions, goodwill, intangible assets, investments and loss contingencies. We base our estimates on historical experience, current period developments,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of Intangible Assets and Asset Acquisition</w:t>
      </w:r>
    </w:p>
    <w:p>
      <w:pPr>
        <w:spacing w:after="0" w:line="119"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During the first quarter of fiscal 2024, we entered into an amendment to our wireless license agreement with Avago Technologies (“Broadcom”), to license four developed technology products and to extend the exclusivity period of certain developed technologies that were previously licensed from Broadcom in July 2020. As of March 2024, we have not obtained control of the four technology products and, accordingly, the relative fair value of these technology products are presented as a non-current asset in our condensed consolidated balance sheet.</w:t>
      </w:r>
    </w:p>
    <w:p>
      <w:pPr>
        <w:spacing w:after="0" w:line="74"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The technologies included in the agreement do not constitute a business and, as such, we have accounted for this transaction as an acquisition of an asset in accordance with the applicable guidance when we receive control of the developed technology. Refer to “Note 4. Prepayment of Intangible Assets and Asset Acquisition” for further discussion of the transaction.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Recently Issued</w:t>
      </w:r>
    </w:p>
    <w:p>
      <w:pPr>
        <w:spacing w:after="0" w:line="119" w:lineRule="exact"/>
        <w:rPr>
          <w:sz w:val="20"/>
          <w:szCs w:val="20"/>
          <w:color w:val="auto"/>
        </w:rPr>
      </w:pPr>
    </w:p>
    <w:p>
      <w:pPr>
        <w:jc w:val="both"/>
        <w:ind w:right="280" w:firstLine="509"/>
        <w:spacing w:after="0" w:line="26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Improvements to Reportable Segment Disclosures.” This guidance requires disclosure of incremental segment information on an annual and interim basis. This amendment is effective for our fiscal year ending June 2025 and our interim periods within the fiscal year ending June 2026. We are currently assessing the impact of this guidance on our disclosures.</w:t>
      </w:r>
    </w:p>
    <w:p>
      <w:pPr>
        <w:spacing w:after="0" w:line="74" w:lineRule="exact"/>
        <w:rPr>
          <w:sz w:val="20"/>
          <w:szCs w:val="20"/>
          <w:color w:val="auto"/>
        </w:rPr>
      </w:pPr>
    </w:p>
    <w:p>
      <w:pPr>
        <w:jc w:val="both"/>
        <w:ind w:right="600" w:firstLine="509"/>
        <w:spacing w:after="0" w:line="288"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Improvements to Income Tax Disclosures.” This guidance requires consistent categories and greater disaggregation of information in the rate reconciliation and disclosures of income taxes paid by jurisdiction. This amendment is effective for our fiscal year ending June 2026. We are currently assessing the impact of this guidance on our disclosures.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4" w:right="399" w:bottom="1440" w:gutter="0" w:footer="0" w:header="0"/>
        </w:sectPr>
      </w:pPr>
    </w:p>
    <w:bookmarkStart w:id="9" w:name="page10"/>
    <w:bookmarkEnd w:id="9"/>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 consideration we expect to receive in exchange for those goods or services. Most of our revenue, except an inconsequential amount, is recognized at a point in time, either on shipment or delivery of the product, depending on customer terms and conditions.</w:t>
      </w:r>
    </w:p>
    <w:p>
      <w:pPr>
        <w:spacing w:after="0" w:line="69"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7"/>
          <w:szCs w:val="17"/>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5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Our accounts receivable balance is from contracts with customers and represents our unconditional right to receive consideration from customers. To date, there have been no material credit loss charges recorded on accounts receivable. As of March 2024 and June 2023, contract assets recorded on our condensed consolidated balance sheets were $1.2 million and $1.3 million, respectively. Contract assets are presented as part of prepaid expenses and other current assets.</w:t>
      </w:r>
    </w:p>
    <w:p>
      <w:pPr>
        <w:spacing w:after="0" w:line="74" w:lineRule="exact"/>
        <w:rPr>
          <w:sz w:val="20"/>
          <w:szCs w:val="20"/>
          <w:color w:val="auto"/>
        </w:rPr>
      </w:pPr>
    </w:p>
    <w:p>
      <w:pPr>
        <w:ind w:right="100" w:firstLine="509"/>
        <w:spacing w:after="0" w:line="276" w:lineRule="auto"/>
        <w:rPr>
          <w:sz w:val="20"/>
          <w:szCs w:val="20"/>
          <w:color w:val="auto"/>
        </w:rPr>
      </w:pPr>
      <w:r>
        <w:rPr>
          <w:rFonts w:ascii="Times New Roman" w:cs="Times New Roman" w:eastAsia="Times New Roman" w:hAnsi="Times New Roman"/>
          <w:sz w:val="17"/>
          <w:szCs w:val="17"/>
          <w:color w:val="auto"/>
        </w:rPr>
        <w:t>Contract liabilities and refund liabilities were $16.9 million and $40.3 million, respectively, as of March 2024, and $18.7 million and $39.8 million, respectively, as of June 2023. Both contract liabilities and refund liabilities are presented as customer obligations in Note 10. Balance Sheet Components. During the three months ended March 2024 and March 2023, we recognized $0.7 million and $18.8 million, respectively, in revenue related to contract liabilities, which was outstanding as of the beginning of each fiscal quarter. During the nine months ended March 2024 and March 2023, we recognized $3.0 million and $21.6 million, respectively, in revenue related to contract liabilities, which was outstanding as of the beginning of each fiscal year.</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from contracts with customers disaggregated by geographic area based on customer location and product category is presented in Note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Customers, and Geographical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Income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 of basic and diluted net (loss) income per share was as follows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7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50"/>
        </w:trPr>
        <w:tc>
          <w:tcPr>
            <w:tcW w:w="51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March</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basic</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share-based awards and convertible notes</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21"/>
                <w:szCs w:val="21"/>
                <w:color w:val="auto"/>
              </w:rPr>
            </w:pPr>
          </w:p>
        </w:tc>
      </w:tr>
      <w:tr>
        <w:trPr>
          <w:trHeight w:val="236"/>
        </w:trPr>
        <w:tc>
          <w:tcPr>
            <w:tcW w:w="5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Shares, diluted</w:t>
            </w:r>
          </w:p>
        </w:tc>
        <w:tc>
          <w:tcPr>
            <w:tcW w:w="9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FF0FC"/>
            </w:tcBorders>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(0.46 )</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(0.46 )</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1"/>
                <w:szCs w:val="2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-701675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-701675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-701675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basic net income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and performance stock units, or PSUs. Potentially dilutive shares whose effect would have been antidilutive are excluded from the computation of diluted net income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Prepayment of Intangible Assets and Asset Acquisition</w:t>
      </w:r>
    </w:p>
    <w:p>
      <w:pPr>
        <w:spacing w:after="0" w:line="121" w:lineRule="exact"/>
        <w:rPr>
          <w:sz w:val="20"/>
          <w:szCs w:val="20"/>
          <w:color w:val="auto"/>
        </w:rPr>
      </w:pPr>
    </w:p>
    <w:p>
      <w:pPr>
        <w:ind w:right="480" w:firstLine="509"/>
        <w:spacing w:after="0" w:line="265" w:lineRule="auto"/>
        <w:rPr>
          <w:sz w:val="20"/>
          <w:szCs w:val="20"/>
          <w:color w:val="auto"/>
        </w:rPr>
      </w:pPr>
      <w:r>
        <w:rPr>
          <w:rFonts w:ascii="Times New Roman" w:cs="Times New Roman" w:eastAsia="Times New Roman" w:hAnsi="Times New Roman"/>
          <w:sz w:val="18"/>
          <w:szCs w:val="18"/>
          <w:color w:val="auto"/>
        </w:rPr>
        <w:t>During the fourth quarter of fiscal 2023, we paid an aggregate consideration of $130.0 million to Broadcom to extend the exclusivity period of certain previously acquired intangible assets for an additional three-year period and to license certain developed technology intangible assets. The developed technologies are expected to be delivered at various dates through August 2025.</w:t>
      </w:r>
    </w:p>
    <w:p>
      <w:pPr>
        <w:spacing w:after="0" w:line="69"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 purchase consideration allocated to the extension of the exclusivity period was $13.5 million and was recorded as a developed technology intangible asset in the first quarter of fiscal 2024 and will be amortized over its estimated economic useful life</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0" w:name="page11"/>
    <w:bookmarkEnd w:id="10"/>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of three years. The remaining balance of the purchase consideration of $116.5 million relating to the four technology products to be received at future dates, has been recorded as a prepayment of intangible assets. This prepayment is classified under non-current other assets in our condensed consolidated balance sheets. Upon obtaining control of the developed technologies, the amounts recorded under non-current other assets will be reclassified as intangible assets based on their respective fair values determined as of the agreement date and amortized over their respective estimated economic useful lives.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are stated at the lower of cost (first-in, first-out method) or net realizable value and consisted of the following (in millions):</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March</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w:t>
            </w:r>
          </w:p>
        </w:tc>
      </w:tr>
      <w:tr>
        <w:trPr>
          <w:trHeight w:val="245"/>
        </w:trPr>
        <w:tc>
          <w:tcPr>
            <w:tcW w:w="5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r>
      <w:tr>
        <w:trPr>
          <w:trHeight w:val="24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work-in-progress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FF0FC"/>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21"/>
                <w:szCs w:val="21"/>
                <w:color w:val="auto"/>
              </w:rPr>
            </w:pPr>
          </w:p>
        </w:tc>
      </w:tr>
      <w:tr>
        <w:trPr>
          <w:trHeight w:val="272"/>
        </w:trPr>
        <w:tc>
          <w:tcPr>
            <w:tcW w:w="5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-24765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Inventories are recorded at standard cost, which approximates actual cost computed on a first-in, first-out basis. We record a write-down, if necessary, to reduce the carrying value of inventory to its net realizable value. The effect of such a write-down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Cash Equivalents and 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short-term investments by category at March 2024 and June 2023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2023</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Gross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unrealized loss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loss</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r>
      <w:tr>
        <w:trPr>
          <w:trHeight w:val="238"/>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6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21"/>
                <w:szCs w:val="21"/>
                <w:color w:val="auto"/>
              </w:rPr>
            </w:pPr>
          </w:p>
        </w:tc>
      </w:tr>
      <w:tr>
        <w:trPr>
          <w:trHeight w:val="243"/>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5"/>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-829945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-812800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-829945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-812800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-829945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-812800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-829945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-812800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-829945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-812800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-187960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-187960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-187960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classifies our short-term investments by contractual maturities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2024</w:t>
            </w:r>
          </w:p>
        </w:tc>
        <w:tc>
          <w:tcPr>
            <w:tcW w:w="11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2023</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Amortized cost</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Fair value</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Amortized cost</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240"/>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within 1 year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between 1 and 5 years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2"/>
        </w:trPr>
        <w:tc>
          <w:tcPr>
            <w:tcW w:w="45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determine fair value based on the fair value hierarchy, which requires an entity to maximize the use of observable inputs and minimize the use of unobservable inputs when measuring fair value. Fair value is defined as the price that would be received to sell an</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1" w:name="page12"/>
    <w:bookmarkEnd w:id="11"/>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74"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unadjusted quoted prices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2024 and June 2023, financial assets measured at fair value on a recurring basis are summarized below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March 2024</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June 2023</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Total (1)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4"/>
              </w:rPr>
              <w:t>Total (1)</w:t>
            </w:r>
          </w:p>
        </w:tc>
        <w:tc>
          <w:tcPr>
            <w:tcW w:w="100" w:type="dxa"/>
            <w:vAlign w:val="bottom"/>
          </w:tcPr>
          <w:p>
            <w:pPr>
              <w:spacing w:after="0"/>
              <w:rPr>
                <w:sz w:val="20"/>
                <w:szCs w:val="20"/>
                <w:color w:val="auto"/>
              </w:rPr>
            </w:pPr>
          </w:p>
        </w:tc>
      </w:tr>
      <w:tr>
        <w:trPr>
          <w:trHeight w:val="24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21"/>
                <w:szCs w:val="21"/>
                <w:color w:val="auto"/>
              </w:rPr>
            </w:pPr>
          </w:p>
        </w:tc>
      </w:tr>
      <w:tr>
        <w:trPr>
          <w:trHeight w:val="23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r>
      <w:tr>
        <w:trPr>
          <w:trHeight w:val="23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4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-187960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-187960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60" w:firstLine="8"/>
        <w:spacing w:after="0" w:line="281"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Excludes $195.3 million and $853.9 million in cash held in our bank accounts as of March 2024 and June 2023, respectively. </w:t>
      </w:r>
      <w:r>
        <w:rPr>
          <w:rFonts w:ascii="Times New Roman" w:cs="Times New Roman" w:eastAsia="Times New Roman" w:hAnsi="Times New Roman"/>
          <w:sz w:val="18"/>
          <w:szCs w:val="18"/>
          <w:color w:val="252525"/>
        </w:rPr>
        <w:t>We did not have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financial assets requiring Level 3 measurement in the periods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report our financial instruments at fair value with the exception of the Senior Notes and Term Loan Facility, as defined in Note 12. Debt. The estimated fair value of the Senior Notes and Term Loan Facility was determined based on the trading price of the Senior Notes and Term Loan Facility as of the last day of trading for the periods presented. We use Level 2 measurement criteria to determine the fair value of our Senior Notes and Term Loan Facility as they are not actively traded in markets.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and estimated fair values of the Senior Notes and Term Loan Facility are as follows for the periods presented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rPr>
              <w:t>March 2024</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June 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Carrying</w:t>
            </w:r>
          </w:p>
        </w:tc>
        <w:tc>
          <w:tcPr>
            <w:tcW w:w="2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7"/>
              </w:rPr>
              <w:t>Value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 due 2028</w:t>
            </w:r>
          </w:p>
        </w:tc>
        <w:tc>
          <w:tcPr>
            <w:tcW w:w="19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8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8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-1095375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-1095375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-1095375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Acquired Intangibles and Goodwill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6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represents the change in our goodwill balance for the nine and twelve month periods ended March 2024 and June 2023, respectively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940" w:type="dxa"/>
            <w:vAlign w:val="bottom"/>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activity</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r>
      <w:tr>
        <w:trPr>
          <w:trHeight w:val="276"/>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Intangibles</w:t>
      </w:r>
    </w:p>
    <w:p>
      <w:pPr>
        <w:spacing w:after="0" w:line="11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life, the gross carrying value and the related accumulated amortization of our acquired intangible assets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March 2024</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June 2023</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2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w:t>
            </w:r>
          </w:p>
        </w:tc>
        <w:tc>
          <w:tcPr>
            <w:tcW w:w="12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Gross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Gross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Life in Years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Audio and video 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(130.4 )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(117.8 )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Wireless connectivity 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(81.6 )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interface technology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Human presence detection</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technology and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w w:val="96"/>
              </w:rPr>
              <w:t>Not</w:t>
            </w:r>
          </w:p>
        </w:tc>
        <w:tc>
          <w:tcPr>
            <w:tcW w:w="1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1280" w:type="dxa"/>
            <w:vAlign w:val="bottom"/>
            <w:tcBorders>
              <w:bottom w:val="single" w:sz="8" w:color="CFF0FC"/>
            </w:tcBorders>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9"/>
              </w:rPr>
              <w:t>applicable</w:t>
            </w: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totals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-187960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-187960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total amortization expense for the acquired intangible assets was $18.3 million and $32.2 million for the three months ended March 2024 and March 2023, respectively. The total amortization expense for the acquired intangible assets was $59.9 million and $97.4 million for the nine months ended March 2024 and March 2023, respectively.</w:t>
      </w:r>
    </w:p>
    <w:p>
      <w:pPr>
        <w:spacing w:after="0" w:line="69"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2024 and March 2023, $14.3 million and $23.7 million, respectively, and for the nine months ended March 2024 and March 2023, $46.5 million and $70.5 million, respectively, of amortization expense was included in our condensed consolidated statements of operations in cost of revenue; the remainder was included in acquired intangibles amortization.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estimated future amortization expense of acquired amortizable intangible assets as of March 2024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20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21"/>
                <w:szCs w:val="21"/>
                <w:color w:val="auto"/>
              </w:rPr>
            </w:pPr>
          </w:p>
        </w:tc>
      </w:tr>
      <w:tr>
        <w:trPr>
          <w:trHeight w:val="238"/>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0"/>
                <w:szCs w:val="20"/>
                <w:color w:val="auto"/>
              </w:rPr>
            </w:pPr>
          </w:p>
        </w:tc>
      </w:tr>
      <w:tr>
        <w:trPr>
          <w:trHeight w:val="247"/>
        </w:trPr>
        <w:tc>
          <w:tcPr>
            <w:tcW w:w="8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1"/>
                <w:szCs w:val="21"/>
                <w:color w:val="auto"/>
              </w:rPr>
            </w:pPr>
          </w:p>
        </w:tc>
      </w:tr>
      <w:tr>
        <w:trPr>
          <w:trHeight w:val="238"/>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r>
      <w:tr>
        <w:trPr>
          <w:trHeight w:val="247"/>
        </w:trPr>
        <w:tc>
          <w:tcPr>
            <w:tcW w:w="8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1"/>
                <w:szCs w:val="21"/>
                <w:color w:val="auto"/>
              </w:rPr>
            </w:pPr>
          </w:p>
        </w:tc>
      </w:tr>
      <w:tr>
        <w:trPr>
          <w:trHeight w:val="238"/>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47"/>
        </w:trPr>
        <w:tc>
          <w:tcPr>
            <w:tcW w:w="8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 be determined</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Future amortization</w:t>
            </w:r>
          </w:p>
        </w:tc>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20"/>
                <w:szCs w:val="20"/>
                <w:color w:val="auto"/>
              </w:rPr>
            </w:pPr>
          </w:p>
        </w:tc>
      </w:tr>
      <w:tr>
        <w:trPr>
          <w:trHeight w:val="20"/>
        </w:trPr>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3" w:name="page14"/>
    <w:bookmarkEnd w:id="13"/>
    <w:p>
      <w:pPr>
        <w:jc w:val="cente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leases primarily include our worldwide office and research and development facilities which are all classified as operating leases. Certain leases include renewal options that are under our discretion. The leases expire at various dates through fiscal 2034, some of which include options to extend the lease for up to seven years. For the three months ended March 2024 and March 2023, we recorded operating lease expense of approximately $3.0 million and $2.9 million, respectively. For the nine months ended March 2024 and March 2023, we recorded operating lease expense of approximately $8.8 million and $9.1 million, respectively. Our short-term leases are immaterial.</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2024 and June 2023, the components of leases are as follows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5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r>
      <w:tr>
        <w:trPr>
          <w:trHeight w:val="283"/>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r>
      <w:tr>
        <w:trPr>
          <w:trHeight w:val="247"/>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8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-521970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-504825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-521970</wp:posOffset>
            </wp:positionV>
            <wp:extent cx="425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-187960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including from acquisitions, is as follows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50"/>
        </w:trPr>
        <w:tc>
          <w:tcPr>
            <w:tcW w:w="49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March</w:t>
            </w: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4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4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20"/>
                <w:szCs w:val="20"/>
                <w:color w:val="auto"/>
              </w:rPr>
            </w:pPr>
          </w:p>
        </w:tc>
      </w:tr>
      <w:tr>
        <w:trPr>
          <w:trHeight w:val="211"/>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obtaining right-of-use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r>
    </w:tbl>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2024, the weighted average remaining lease term is 6.83 years, and the weighted average discount rate is 5.26%.</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for the operating lease liabilities are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50"/>
        </w:trPr>
        <w:tc>
          <w:tcPr>
            <w:tcW w:w="1700" w:type="dxa"/>
            <w:vAlign w:val="bottom"/>
          </w:tcPr>
          <w:p>
            <w:pPr>
              <w:spacing w:after="0"/>
              <w:rPr>
                <w:sz w:val="21"/>
                <w:szCs w:val="21"/>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Payments</w:t>
            </w:r>
          </w:p>
        </w:tc>
        <w:tc>
          <w:tcPr>
            <w:tcW w:w="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r>
      <w:tr>
        <w:trPr>
          <w:trHeight w:val="251"/>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FF0FC"/>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0"/>
                <w:szCs w:val="20"/>
                <w:color w:val="auto"/>
              </w:rPr>
            </w:pPr>
          </w:p>
        </w:tc>
      </w:tr>
      <w:tr>
        <w:trPr>
          <w:trHeight w:val="251"/>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FF0FC"/>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76"/>
        </w:trPr>
        <w:tc>
          <w:tcPr>
            <w:tcW w:w="1700" w:type="dxa"/>
            <w:vAlign w:val="bottom"/>
          </w:tcPr>
          <w:p>
            <w:pPr>
              <w:spacing w:after="0"/>
              <w:rPr>
                <w:sz w:val="24"/>
                <w:szCs w:val="24"/>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25"/>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Balance Sheet Components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8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millions):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3"/>
        </w:trPr>
        <w:tc>
          <w:tcPr>
            <w:tcW w:w="1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17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Pr>
          <w:p>
            <w:pPr>
              <w:spacing w:after="0"/>
              <w:rPr>
                <w:sz w:val="20"/>
                <w:szCs w:val="20"/>
                <w:color w:val="auto"/>
              </w:rPr>
            </w:pPr>
          </w:p>
        </w:tc>
      </w:tr>
      <w:tr>
        <w:trPr>
          <w:trHeight w:val="251"/>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2"/>
        </w:trPr>
        <w:tc>
          <w:tcPr>
            <w:tcW w:w="1700" w:type="dxa"/>
            <w:vAlign w:val="bottom"/>
          </w:tcPr>
          <w:p>
            <w:pPr>
              <w:spacing w:after="0"/>
              <w:rPr>
                <w:sz w:val="20"/>
                <w:szCs w:val="20"/>
                <w:color w:val="auto"/>
              </w:rPr>
            </w:pPr>
          </w:p>
        </w:tc>
        <w:tc>
          <w:tcPr>
            <w:tcW w:w="51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top w:val="single" w:sz="8" w:color="CFF0FC"/>
            </w:tcBorders>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-1532255</wp:posOffset>
            </wp:positionV>
            <wp:extent cx="425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-1515110</wp:posOffset>
            </wp:positionV>
            <wp:extent cx="425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-187960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type w:val="continuous"/>
        </w:sectPr>
      </w:pPr>
    </w:p>
    <w:bookmarkStart w:id="14" w:name="page15"/>
    <w:bookmarkEnd w:id="14"/>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non-current assets consisted of the following (in millions):</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3"/>
        </w:trPr>
        <w:tc>
          <w:tcPr>
            <w:tcW w:w="7360" w:type="dxa"/>
            <w:vAlign w:val="bottom"/>
          </w:tcPr>
          <w:p>
            <w:pPr>
              <w:spacing w:after="0"/>
              <w:rPr>
                <w:sz w:val="24"/>
                <w:szCs w:val="24"/>
                <w:color w:val="auto"/>
              </w:rPr>
            </w:pPr>
          </w:p>
        </w:tc>
        <w:tc>
          <w:tcPr>
            <w:tcW w:w="12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March</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360" w:type="dxa"/>
            <w:vAlign w:val="bottom"/>
          </w:tcPr>
          <w:p>
            <w:pPr>
              <w:spacing w:after="0"/>
              <w:rPr>
                <w:sz w:val="21"/>
                <w:szCs w:val="21"/>
                <w:color w:val="auto"/>
              </w:rPr>
            </w:pPr>
          </w:p>
        </w:tc>
        <w:tc>
          <w:tcPr>
            <w:tcW w:w="12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2024</w:t>
            </w:r>
          </w:p>
        </w:tc>
        <w:tc>
          <w:tcPr>
            <w:tcW w:w="5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of intangible assets</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r>
      <w:tr>
        <w:trPr>
          <w:trHeight w:val="272"/>
        </w:trPr>
        <w:tc>
          <w:tcPr>
            <w:tcW w:w="736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FF0FC"/>
          </w:tcPr>
          <w:p>
            <w:pPr>
              <w:spacing w:after="0"/>
              <w:rPr>
                <w:sz w:val="23"/>
                <w:szCs w:val="23"/>
                <w:color w:val="auto"/>
              </w:rPr>
            </w:pPr>
          </w:p>
        </w:tc>
      </w:tr>
      <w:tr>
        <w:trPr>
          <w:trHeight w:val="308"/>
        </w:trPr>
        <w:tc>
          <w:tcPr>
            <w:tcW w:w="736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millions):</w:t>
            </w:r>
          </w:p>
        </w:tc>
        <w:tc>
          <w:tcPr>
            <w:tcW w:w="1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45"/>
        </w:trPr>
        <w:tc>
          <w:tcPr>
            <w:tcW w:w="7360" w:type="dxa"/>
            <w:vAlign w:val="bottom"/>
          </w:tcPr>
          <w:p>
            <w:pPr>
              <w:spacing w:after="0"/>
              <w:rPr>
                <w:sz w:val="24"/>
                <w:szCs w:val="24"/>
                <w:color w:val="auto"/>
              </w:rPr>
            </w:pPr>
          </w:p>
        </w:tc>
        <w:tc>
          <w:tcPr>
            <w:tcW w:w="12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March</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360" w:type="dxa"/>
            <w:vAlign w:val="bottom"/>
          </w:tcPr>
          <w:p>
            <w:pPr>
              <w:spacing w:after="0"/>
              <w:rPr>
                <w:sz w:val="21"/>
                <w:szCs w:val="21"/>
                <w:color w:val="auto"/>
              </w:rPr>
            </w:pPr>
          </w:p>
        </w:tc>
        <w:tc>
          <w:tcPr>
            <w:tcW w:w="12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2024</w:t>
            </w:r>
          </w:p>
        </w:tc>
        <w:tc>
          <w:tcPr>
            <w:tcW w:w="5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obligations</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FF0FC"/>
          </w:tcPr>
          <w:p>
            <w:pPr>
              <w:spacing w:after="0"/>
              <w:rPr>
                <w:sz w:val="21"/>
                <w:szCs w:val="2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obligations</w:t>
            </w: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r>
      <w:tr>
        <w:trPr>
          <w:trHeight w:val="272"/>
        </w:trPr>
        <w:tc>
          <w:tcPr>
            <w:tcW w:w="736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FF0FC"/>
          </w:tcPr>
          <w:p>
            <w:pPr>
              <w:spacing w:after="0"/>
              <w:rPr>
                <w:sz w:val="23"/>
                <w:szCs w:val="23"/>
                <w:color w:val="auto"/>
              </w:rPr>
            </w:pPr>
          </w:p>
        </w:tc>
      </w:tr>
      <w:tr>
        <w:trPr>
          <w:trHeight w:val="308"/>
        </w:trPr>
        <w:tc>
          <w:tcPr>
            <w:tcW w:w="736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millions):</w:t>
            </w:r>
          </w:p>
        </w:tc>
        <w:tc>
          <w:tcPr>
            <w:tcW w:w="1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45"/>
        </w:trPr>
        <w:tc>
          <w:tcPr>
            <w:tcW w:w="7360" w:type="dxa"/>
            <w:vAlign w:val="bottom"/>
          </w:tcPr>
          <w:p>
            <w:pPr>
              <w:spacing w:after="0"/>
              <w:rPr>
                <w:sz w:val="24"/>
                <w:szCs w:val="24"/>
                <w:color w:val="auto"/>
              </w:rPr>
            </w:pPr>
          </w:p>
        </w:tc>
        <w:tc>
          <w:tcPr>
            <w:tcW w:w="12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March</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360" w:type="dxa"/>
            <w:vAlign w:val="bottom"/>
          </w:tcPr>
          <w:p>
            <w:pPr>
              <w:spacing w:after="0"/>
              <w:rPr>
                <w:sz w:val="21"/>
                <w:szCs w:val="21"/>
                <w:color w:val="auto"/>
              </w:rPr>
            </w:pPr>
          </w:p>
        </w:tc>
        <w:tc>
          <w:tcPr>
            <w:tcW w:w="12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2024</w:t>
            </w:r>
          </w:p>
        </w:tc>
        <w:tc>
          <w:tcPr>
            <w:tcW w:w="5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FF0FC"/>
          </w:tcPr>
          <w:p>
            <w:pPr>
              <w:spacing w:after="0"/>
              <w:rPr>
                <w:sz w:val="21"/>
                <w:szCs w:val="2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payable, long-term</w:t>
            </w:r>
          </w:p>
        </w:tc>
        <w:tc>
          <w:tcPr>
            <w:tcW w:w="12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r>
      <w:tr>
        <w:trPr>
          <w:trHeight w:val="272"/>
        </w:trPr>
        <w:tc>
          <w:tcPr>
            <w:tcW w:w="73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-2953385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-2936240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-2953385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-1489075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-1471930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Indemnifications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55"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40" w:firstLine="509"/>
        <w:spacing w:after="0" w:line="280" w:lineRule="auto"/>
        <w:rPr>
          <w:sz w:val="20"/>
          <w:szCs w:val="20"/>
          <w:color w:val="auto"/>
        </w:rPr>
      </w:pPr>
      <w:r>
        <w:rPr>
          <w:rFonts w:ascii="Times New Roman" w:cs="Times New Roman" w:eastAsia="Times New Roman" w:hAnsi="Times New Roman"/>
          <w:sz w:val="17"/>
          <w:szCs w:val="17"/>
          <w:color w:val="auto"/>
        </w:rPr>
        <w:t>From time to time, we are subject to various claims and legal proceedings, either asserted or unasserted, that arise in the ordinary course of business.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 We accrue for loss contingencies when it is both probable that we will incur the loss and we can reasonably estimate the amount of the loss or range of loss.</w:t>
      </w:r>
    </w:p>
    <w:p>
      <w:pPr>
        <w:sectPr>
          <w:pgSz w:w="11900" w:h="16838" w:orient="portrait"/>
          <w:cols w:equalWidth="0" w:num="1">
            <w:col w:w="11240"/>
          </w:cols>
          <w:pgMar w:left="320" w:top="764"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5" w:name="page16"/>
    <w:bookmarkEnd w:id="15"/>
    <w:p>
      <w:pPr>
        <w:jc w:val="cente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69"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55" w:lineRule="exact"/>
        <w:rPr>
          <w:sz w:val="20"/>
          <w:szCs w:val="20"/>
          <w:color w:val="auto"/>
        </w:rPr>
      </w:pPr>
    </w:p>
    <w:p>
      <w:pPr>
        <w:ind w:right="660" w:firstLine="509"/>
        <w:spacing w:after="0" w:line="281" w:lineRule="auto"/>
        <w:rPr>
          <w:sz w:val="20"/>
          <w:szCs w:val="20"/>
          <w:color w:val="auto"/>
        </w:rPr>
      </w:pPr>
      <w:r>
        <w:rPr>
          <w:rFonts w:ascii="Times New Roman" w:cs="Times New Roman" w:eastAsia="Times New Roman" w:hAnsi="Times New Roman"/>
          <w:sz w:val="18"/>
          <w:szCs w:val="18"/>
          <w:color w:val="auto"/>
        </w:rPr>
        <w:t>On or after June 15, 2024, we may redeem some or all of the Senior Notes at the redemption prices specified below, plus accrued and unpaid interest, if any, up to, but excluding, the redemption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40" w:type="dxa"/>
            <w:vAlign w:val="bottom"/>
            <w:tcBorders>
              <w:bottom w:val="single" w:sz="8" w:color="auto"/>
            </w:tcBorders>
          </w:tcPr>
          <w:p>
            <w:pPr>
              <w:ind w:left="420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Pr>
          <w:p>
            <w:pPr>
              <w:spacing w:after="0"/>
              <w:rPr>
                <w:sz w:val="20"/>
                <w:szCs w:val="20"/>
                <w:color w:val="auto"/>
              </w:rPr>
            </w:pPr>
          </w:p>
        </w:tc>
        <w:tc>
          <w:tcPr>
            <w:tcW w:w="22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Price</w:t>
            </w:r>
          </w:p>
        </w:tc>
        <w:tc>
          <w:tcPr>
            <w:tcW w:w="160" w:type="dxa"/>
            <w:vAlign w:val="bottom"/>
          </w:tcPr>
          <w:p>
            <w:pPr>
              <w:spacing w:after="0"/>
              <w:rPr>
                <w:sz w:val="20"/>
                <w:szCs w:val="20"/>
                <w:color w:val="auto"/>
              </w:rPr>
            </w:pPr>
          </w:p>
        </w:tc>
      </w:tr>
      <w:tr>
        <w:trPr>
          <w:trHeight w:val="234"/>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38"/>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6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81" w:lineRule="exact"/>
        <w:rPr>
          <w:sz w:val="20"/>
          <w:szCs w:val="20"/>
          <w:color w:val="auto"/>
        </w:rPr>
      </w:pPr>
    </w:p>
    <w:p>
      <w:pPr>
        <w:ind w:right="100" w:firstLine="509"/>
        <w:spacing w:after="0" w:line="276" w:lineRule="auto"/>
        <w:rPr>
          <w:sz w:val="20"/>
          <w:szCs w:val="20"/>
          <w:color w:val="auto"/>
        </w:rPr>
      </w:pPr>
      <w:r>
        <w:rPr>
          <w:rFonts w:ascii="Times New Roman" w:cs="Times New Roman" w:eastAsia="Times New Roman" w:hAnsi="Times New Roman"/>
          <w:sz w:val="17"/>
          <w:szCs w:val="17"/>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6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74" w:lineRule="exact"/>
        <w:rPr>
          <w:sz w:val="20"/>
          <w:szCs w:val="20"/>
          <w:color w:val="auto"/>
        </w:rPr>
      </w:pPr>
    </w:p>
    <w:p>
      <w:pPr>
        <w:ind w:right="120" w:firstLine="509"/>
        <w:spacing w:after="0" w:line="288" w:lineRule="auto"/>
        <w:rPr>
          <w:sz w:val="20"/>
          <w:szCs w:val="20"/>
          <w:color w:val="auto"/>
        </w:rPr>
      </w:pPr>
      <w:r>
        <w:rPr>
          <w:rFonts w:ascii="Times New Roman" w:cs="Times New Roman" w:eastAsia="Times New Roman" w:hAnsi="Times New Roman"/>
          <w:sz w:val="17"/>
          <w:szCs w:val="17"/>
          <w:color w:val="auto"/>
        </w:rPr>
        <w:t xml:space="preserve">Debt issuance costs relating to the Senior Notes of $5.7 million, netted against the debt amount on the condensed consolidated balance sheet, </w:t>
      </w:r>
      <w:r>
        <w:rPr>
          <w:rFonts w:ascii="Times New Roman" w:cs="Times New Roman" w:eastAsia="Times New Roman" w:hAnsi="Times New Roman"/>
          <w:sz w:val="17"/>
          <w:szCs w:val="17"/>
          <w:color w:val="252525"/>
        </w:rPr>
        <w:t>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amortized as interest expense through the maturity date</w:t>
      </w:r>
      <w:r>
        <w:rPr>
          <w:rFonts w:ascii="Times New Roman" w:cs="Times New Roman" w:eastAsia="Times New Roman" w:hAnsi="Times New Roman"/>
          <w:sz w:val="17"/>
          <w:szCs w:val="17"/>
          <w:color w:val="000000"/>
        </w:rPr>
        <w:t>. The total interest expense and amortization of the debt issuance costs recorded on the Senior Notes</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was $4.1 million for the three months ended March 2024 and March 2023, and $12.5 million for the nine months ended March 2024 and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16" w:name="page17"/>
    <w:bookmarkEnd w:id="16"/>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March 16, 2023, we entered into a Second Amendment, or the Second Amendment, and on July 28, 2023, we entered into a Third Amendment, or the Third Amendment, to our Second Amended and Restated Credit Agreement, as amended, or the Credit Agreement, with the lenders party thereto and Wells Fargo Bank, National Association, as administrative agent, dated March 11, 2021. The Second Amendment replaces the LIBOR-based interest rate applicable to borrowings under the Credit Agreement with a SOFR-based interest rate, and the Third Amendment provides that the consolidated interest coverage ratio financial covenant only applies if, as of the last day of any fiscal quarter, our aggregate cash and cash equivalents balance is less than $450 million.</w:t>
      </w:r>
    </w:p>
    <w:p>
      <w:pPr>
        <w:spacing w:after="0" w:line="78"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March 2024, there was no balance outstanding under the revolving credit facility.</w:t>
      </w:r>
    </w:p>
    <w:p>
      <w:pPr>
        <w:spacing w:after="0" w:line="74" w:lineRule="exact"/>
        <w:rPr>
          <w:sz w:val="20"/>
          <w:szCs w:val="20"/>
          <w:color w:val="auto"/>
        </w:rPr>
      </w:pPr>
    </w:p>
    <w:p>
      <w:pPr>
        <w:ind w:right="40" w:firstLine="464"/>
        <w:spacing w:after="0" w:line="281" w:lineRule="auto"/>
        <w:rPr>
          <w:sz w:val="20"/>
          <w:szCs w:val="20"/>
          <w:color w:val="auto"/>
        </w:rPr>
      </w:pPr>
      <w:r>
        <w:rPr>
          <w:rFonts w:ascii="Times New Roman" w:cs="Times New Roman" w:eastAsia="Times New Roman" w:hAnsi="Times New Roman"/>
          <w:sz w:val="18"/>
          <w:szCs w:val="18"/>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55"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Amended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74" w:lineRule="exact"/>
        <w:rPr>
          <w:sz w:val="20"/>
          <w:szCs w:val="20"/>
          <w:color w:val="auto"/>
        </w:rPr>
      </w:pPr>
    </w:p>
    <w:p>
      <w:pPr>
        <w:ind w:right="40" w:firstLine="464"/>
        <w:spacing w:after="0" w:line="256" w:lineRule="auto"/>
        <w:rPr>
          <w:sz w:val="20"/>
          <w:szCs w:val="20"/>
          <w:color w:val="auto"/>
        </w:rPr>
      </w:pPr>
      <w:r>
        <w:rPr>
          <w:rFonts w:ascii="Times New Roman" w:cs="Times New Roman" w:eastAsia="Times New Roman" w:hAnsi="Times New Roman"/>
          <w:sz w:val="18"/>
          <w:szCs w:val="18"/>
          <w:color w:val="auto"/>
        </w:rPr>
        <w:t>The Credit Agreement bears interest, at our election, of a Base Rate plus an Applicable Margin or Adjusted Term SOFR, as defined in the Second Amendment, plus an Applicable Margin. Swingline loans bear interest at a Base Rate plus an Applicable Margin. The Base Rate is a floating rate that is the greater of the Prime Rate, the Federal Funds Rate plus 50 basis points, or Adjusted Term SOFR plus 100 basis points. The Applicable Margin is based on a sliding scale which ranges from 25 to 100 basis points for Base Rate loans and 100 basis points to 175 basis points for Adjusted Term SOFR loans. We are required to pay a commitment fee on any unused commitments under the Credit Agreement which is determined on a leverage-based sliding scale ranging from 0.175% to 0.25% per annum. Interest and fees are payable on a quarterly basis.</w:t>
      </w:r>
    </w:p>
    <w:p>
      <w:pPr>
        <w:spacing w:after="0" w:line="78"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Under the Credit Agreement, there are various restrictive covenants, including two financial covenants which limit the consolidated total leverage ratio, or leverage ratio, the consolidated interest coverage ratio, or interest coverage ratio, which, after the Third Amendment, only applies if our cash and cash equivalents balance is less than $450 million as of the last day of any fiscal quarter.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If our quarter-end cash and cash equivalents balance is less than $450.0 million, the interest coverage ratio must not be less than 3.50 to 1.0 as of the date of determination. As of March 2024, we remain in compliance with the restrictive covenants.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74"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accrue interest at the SOFR, plus 2.25%, or at the Base Rate plus 1.25%, subject to a 25 basis point step-down based on total gross leverage, and subject to an Adjusted Term SOFR floor of 50 basis points. The base rate is the highest of (i) the Federal Funds Rate plus 0.50%, (ii) the Prime Rate and (iii) the one-month Adjusted Term SOFR plus 1.00%. The Term Loan Facility contains customary representations and warranties, affirmative and negative covenants and events of default, in each case consistent with the Credit Agreement. The Term Loan Facility does not contain any financial covenants.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7" w:name="page18"/>
    <w:bookmarkEnd w:id="17"/>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firstLine="464"/>
        <w:spacing w:after="0" w:line="265" w:lineRule="auto"/>
        <w:rPr>
          <w:sz w:val="20"/>
          <w:szCs w:val="20"/>
          <w:color w:val="auto"/>
        </w:rPr>
      </w:pPr>
      <w:r>
        <w:rPr>
          <w:rFonts w:ascii="Times New Roman" w:cs="Times New Roman" w:eastAsia="Times New Roman" w:hAnsi="Times New Roman"/>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an excess cash flow sweep, subject to customary step-downs and thresholds.</w:t>
      </w:r>
    </w:p>
    <w:p>
      <w:pPr>
        <w:spacing w:after="0" w:line="69" w:lineRule="exact"/>
        <w:rPr>
          <w:sz w:val="20"/>
          <w:szCs w:val="20"/>
          <w:color w:val="auto"/>
        </w:rPr>
      </w:pPr>
    </w:p>
    <w:p>
      <w:pPr>
        <w:jc w:val="both"/>
        <w:ind w:right="40" w:firstLine="464"/>
        <w:spacing w:after="0" w:line="260" w:lineRule="auto"/>
        <w:rPr>
          <w:sz w:val="20"/>
          <w:szCs w:val="20"/>
          <w:color w:val="auto"/>
        </w:rPr>
      </w:pPr>
      <w:r>
        <w:rPr>
          <w:rFonts w:ascii="Times New Roman" w:cs="Times New Roman" w:eastAsia="Times New Roman" w:hAnsi="Times New Roman"/>
          <w:sz w:val="18"/>
          <w:szCs w:val="18"/>
          <w:color w:val="auto"/>
        </w:rPr>
        <w:t>Debt issuance costs relating to the Term Loan Facility of $11.2 million, netted against the debt amount on the condensed consolidated balance sheet, are amortized as interest expense over 96 months. The total interest expense and amortization of the debt issuance costs recorded on the Term Loan Facility was $11.9 million and $11.4 million during the three months ended March 2024 and 2023, respectively, and was $35.9 million and $26.4 million during the nine months ended March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and the cumulative number of shares approved by stockholders is 6,188,000 as of October 24, 2023. The 2019 ESPP authorizes the Company to provide eligible employees with an opportunity to acquire an equity interest in the Company through the purchase of stock at a discount, with an initial authorization of 1,500,000 shares.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recognized in our condensed consolidated statements of operations were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8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50"/>
        </w:trPr>
        <w:tc>
          <w:tcPr>
            <w:tcW w:w="47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March</w:t>
            </w:r>
          </w:p>
        </w:tc>
        <w:tc>
          <w:tcPr>
            <w:tcW w:w="4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March</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7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r>
      <w:tr>
        <w:trPr>
          <w:trHeight w:val="243"/>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3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-187960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-187960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Included in the preceding table is share-based compensation for our cash-settled phantom stock units, which we granted in October 2019. The final vesting of the phantom stock units occurred in October 2022, and no phantom stock units remain outstanding under this plan. As a result, for the three months ended March 2023, there was no share-based compensation for our cash-settled phantom stock units. For the nine months ended March 2023, share-based compensation for our cash-settled phantom stock units was $0.7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jc w:val="cente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ectPr>
          <w:pgSz w:w="11900" w:h="16838" w:orient="portrait"/>
          <w:cols w:equalWidth="0" w:num="1">
            <w:col w:w="11220"/>
          </w:cols>
          <w:pgMar w:left="320" w:top="764" w:right="35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June 2023</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Exercised</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Expired</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March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Stock</w:t>
            </w:r>
          </w:p>
        </w:tc>
        <w:tc>
          <w:tcPr>
            <w:tcW w:w="580" w:type="dxa"/>
            <w:vAlign w:val="bottom"/>
          </w:tcPr>
          <w:p>
            <w:pPr>
              <w:spacing w:after="0"/>
              <w:rPr>
                <w:sz w:val="18"/>
                <w:szCs w:val="18"/>
                <w:color w:val="auto"/>
              </w:rPr>
            </w:pPr>
          </w:p>
        </w:tc>
        <w:tc>
          <w:tcPr>
            <w:tcW w:w="216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Weighted</w:t>
            </w:r>
          </w:p>
        </w:tc>
      </w:tr>
      <w:tr>
        <w:trPr>
          <w:trHeight w:val="229"/>
        </w:trPr>
        <w:tc>
          <w:tcPr>
            <w:tcW w:w="3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Option</w:t>
            </w:r>
          </w:p>
        </w:tc>
        <w:tc>
          <w:tcPr>
            <w:tcW w:w="580" w:type="dxa"/>
            <w:vAlign w:val="bottom"/>
          </w:tcPr>
          <w:p>
            <w:pPr>
              <w:spacing w:after="0"/>
              <w:rPr>
                <w:sz w:val="19"/>
                <w:szCs w:val="19"/>
                <w:color w:val="auto"/>
              </w:rPr>
            </w:pPr>
          </w:p>
        </w:tc>
        <w:tc>
          <w:tcPr>
            <w:tcW w:w="216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9"/>
              </w:rPr>
              <w:t>Average</w:t>
            </w:r>
          </w:p>
        </w:tc>
      </w:tr>
      <w:tr>
        <w:trPr>
          <w:trHeight w:val="229"/>
        </w:trPr>
        <w:tc>
          <w:tcPr>
            <w:tcW w:w="3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Awards</w:t>
            </w:r>
          </w:p>
        </w:tc>
        <w:tc>
          <w:tcPr>
            <w:tcW w:w="580" w:type="dxa"/>
            <w:vAlign w:val="bottom"/>
          </w:tcPr>
          <w:p>
            <w:pPr>
              <w:spacing w:after="0"/>
              <w:rPr>
                <w:sz w:val="19"/>
                <w:szCs w:val="19"/>
                <w:color w:val="auto"/>
              </w:rPr>
            </w:pPr>
          </w:p>
        </w:tc>
        <w:tc>
          <w:tcPr>
            <w:tcW w:w="216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w w:val="97"/>
              </w:rPr>
              <w:t>Exercise</w:t>
            </w:r>
          </w:p>
        </w:tc>
      </w:tr>
      <w:tr>
        <w:trPr>
          <w:trHeight w:val="242"/>
        </w:trPr>
        <w:tc>
          <w:tcPr>
            <w:tcW w:w="3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9"/>
              </w:rPr>
              <w:t>Outstanding</w:t>
            </w:r>
          </w:p>
        </w:tc>
        <w:tc>
          <w:tcPr>
            <w:tcW w:w="580" w:type="dxa"/>
            <w:vAlign w:val="bottom"/>
          </w:tcPr>
          <w:p>
            <w:pPr>
              <w:spacing w:after="0"/>
              <w:rPr>
                <w:sz w:val="21"/>
                <w:szCs w:val="21"/>
                <w:color w:val="auto"/>
              </w:rPr>
            </w:pPr>
          </w:p>
        </w:tc>
        <w:tc>
          <w:tcPr>
            <w:tcW w:w="216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Price</w:t>
            </w:r>
          </w:p>
        </w:tc>
      </w:tr>
      <w:tr>
        <w:trPr>
          <w:trHeight w:val="210"/>
        </w:trPr>
        <w:tc>
          <w:tcPr>
            <w:tcW w:w="2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36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52.53</w:t>
            </w:r>
          </w:p>
        </w:tc>
      </w:tr>
      <w:tr>
        <w:trPr>
          <w:trHeight w:val="229"/>
        </w:trPr>
        <w:tc>
          <w:tcPr>
            <w:tcW w:w="3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(3,083 )</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52.53</w:t>
            </w:r>
          </w:p>
        </w:tc>
      </w:tr>
      <w:tr>
        <w:trPr>
          <w:trHeight w:val="242"/>
        </w:trPr>
        <w:tc>
          <w:tcPr>
            <w:tcW w:w="31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23"/>
        </w:trPr>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-615950</wp:posOffset>
            </wp:positionV>
            <wp:extent cx="713232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-324485</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500" w:space="720"/>
            <w:col w:w="6000"/>
          </w:cols>
          <w:pgMar w:left="320" w:top="764"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RSUs granted generally vest ratably over three to four years from the vesting commencement date. RSU activity was as follows: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43"/>
        </w:trPr>
        <w:tc>
          <w:tcPr>
            <w:tcW w:w="612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RSU</w:t>
            </w:r>
          </w:p>
        </w:tc>
        <w:tc>
          <w:tcPr>
            <w:tcW w:w="14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3"/>
        </w:trPr>
        <w:tc>
          <w:tcPr>
            <w:tcW w:w="612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Awards</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50"/>
        </w:trPr>
        <w:tc>
          <w:tcPr>
            <w:tcW w:w="612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millions)</w:t>
            </w:r>
          </w:p>
        </w:tc>
      </w:tr>
      <w:tr>
        <w:trPr>
          <w:trHeight w:val="24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1,304,926</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1,321,280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(707,673 )</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(175,473 )</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1,743,060</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March 29, 2024, of $97.56.</w:t>
      </w:r>
    </w:p>
    <w:p>
      <w:pPr>
        <w:spacing w:after="0" w:line="117"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 unrecognized share-based compensation cost of our outstanding RSUs was approximately $152.1 million as of March 2024, which will be recognized over a weighted average period of approximately 2.16 years.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Stock Units</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An MSU is a promise to deliver shares of our common stock at a future date based on the achievement of market-based performance requirements in accordance with the terms of the MSU grant agreement.</w:t>
      </w:r>
    </w:p>
    <w:p>
      <w:pPr>
        <w:sectPr>
          <w:pgSz w:w="11900" w:h="16838" w:orient="portrait"/>
          <w:cols w:equalWidth="0" w:num="1">
            <w:col w:w="11220"/>
          </w:cols>
          <w:pgMar w:left="320" w:top="764" w:right="359" w:bottom="1440" w:gutter="0" w:footer="0" w:header="0"/>
          <w:type w:val="continuous"/>
        </w:sectPr>
      </w:pP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MSU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June 2023</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Delivered</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Forfeited</w:t>
      </w:r>
    </w:p>
    <w:p>
      <w:pPr>
        <w:spacing w:after="0" w:line="76" w:lineRule="exact"/>
        <w:rPr>
          <w:sz w:val="20"/>
          <w:szCs w:val="20"/>
          <w:color w:val="auto"/>
        </w:rPr>
      </w:pPr>
    </w:p>
    <w:p>
      <w:pPr>
        <w:jc w:val="right"/>
        <w:ind w:right="3500"/>
        <w:spacing w:after="0"/>
        <w:rPr>
          <w:sz w:val="20"/>
          <w:szCs w:val="20"/>
          <w:color w:val="auto"/>
        </w:rPr>
      </w:pPr>
      <w:r>
        <w:rPr>
          <w:rFonts w:ascii="Times New Roman" w:cs="Times New Roman" w:eastAsia="Times New Roman" w:hAnsi="Times New Roman"/>
          <w:sz w:val="18"/>
          <w:szCs w:val="18"/>
          <w:color w:val="auto"/>
        </w:rPr>
        <w:t>Balance as of March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43"/>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MSU</w:t>
            </w:r>
          </w:p>
        </w:tc>
        <w:tc>
          <w:tcPr>
            <w:tcW w:w="14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3"/>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Awards</w:t>
            </w:r>
          </w:p>
        </w:tc>
        <w:tc>
          <w:tcPr>
            <w:tcW w:w="14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50"/>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 millions)</w:t>
            </w:r>
          </w:p>
        </w:tc>
      </w:tr>
      <w:tr>
        <w:trPr>
          <w:trHeight w:val="234"/>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227,321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3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(223,984 )</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(92,475 )</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8"/>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223,368</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-804545</wp:posOffset>
            </wp:positionV>
            <wp:extent cx="570230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-495935</wp:posOffset>
            </wp:positionV>
            <wp:extent cx="570230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-179070</wp:posOffset>
            </wp:positionV>
            <wp:extent cx="570230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6540" w:space="720"/>
            <w:col w:w="3960"/>
          </w:cols>
          <w:pgMar w:left="320" w:top="764" w:right="35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March 29, 2024, of $97.56.</w:t>
      </w:r>
    </w:p>
    <w:p>
      <w:pPr>
        <w:spacing w:after="0" w:line="117"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We value MSUs using the Monte Carlo simulation model on the date of grant and amortize the compensation expense over the three- or four-year performance and service period on a ratable basis by tranche. The unrecognized share-based compensation cost of our outstanding MSUs was approximately $28.5 million as of March 2024, which will be recognized over a weighted average period of approximately 1.2 years.</w:t>
      </w:r>
    </w:p>
    <w:p>
      <w:pPr>
        <w:sectPr>
          <w:pgSz w:w="11900" w:h="16838" w:orient="portrait"/>
          <w:cols w:equalWidth="0" w:num="1">
            <w:col w:w="11220"/>
          </w:cols>
          <w:pgMar w:left="320" w:top="764" w:right="359" w:bottom="1440" w:gutter="0" w:footer="0" w:header="0"/>
          <w:type w:val="continuous"/>
        </w:sectPr>
      </w:pP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type w:val="continuous"/>
        </w:sectPr>
      </w:pPr>
    </w:p>
    <w:bookmarkStart w:id="19" w:name="page20"/>
    <w:bookmarkEnd w:id="19"/>
    <w:p>
      <w:pPr>
        <w:jc w:val="center"/>
        <w:ind w:left="980" w:right="20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A PSU is a promise to deliver shares of our common stock at a future date based on the achievement of performance-based requirements in accordance with the terms of the PSU grant agreement.</w:t>
      </w:r>
    </w:p>
    <w:p>
      <w:pPr>
        <w:sectPr>
          <w:pgSz w:w="11900" w:h="16838" w:orient="portrait"/>
          <w:cols w:equalWidth="0" w:num="1">
            <w:col w:w="11220"/>
          </w:cols>
          <w:pgMar w:left="320" w:top="764" w:right="359" w:bottom="1440" w:gutter="0" w:footer="0" w:header="0"/>
        </w:sectPr>
      </w:pP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PSU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June 2023</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Delivered</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Forfeited</w:t>
      </w:r>
    </w:p>
    <w:p>
      <w:pPr>
        <w:spacing w:after="0" w:line="76" w:lineRule="exact"/>
        <w:rPr>
          <w:sz w:val="20"/>
          <w:szCs w:val="20"/>
          <w:color w:val="auto"/>
        </w:rPr>
      </w:pPr>
    </w:p>
    <w:p>
      <w:pPr>
        <w:jc w:val="right"/>
        <w:ind w:right="3500"/>
        <w:spacing w:after="0"/>
        <w:rPr>
          <w:sz w:val="20"/>
          <w:szCs w:val="20"/>
          <w:color w:val="auto"/>
        </w:rPr>
      </w:pPr>
      <w:r>
        <w:rPr>
          <w:rFonts w:ascii="Times New Roman" w:cs="Times New Roman" w:eastAsia="Times New Roman" w:hAnsi="Times New Roman"/>
          <w:sz w:val="18"/>
          <w:szCs w:val="18"/>
          <w:color w:val="auto"/>
        </w:rPr>
        <w:t>Balance as of March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43"/>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PSU</w:t>
            </w:r>
          </w:p>
        </w:tc>
        <w:tc>
          <w:tcPr>
            <w:tcW w:w="14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43"/>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Awards</w:t>
            </w:r>
          </w:p>
        </w:tc>
        <w:tc>
          <w:tcPr>
            <w:tcW w:w="14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50"/>
        </w:trPr>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 millions)</w:t>
            </w:r>
          </w:p>
        </w:tc>
      </w:tr>
      <w:tr>
        <w:trPr>
          <w:trHeight w:val="234"/>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253,359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3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(131,461 )</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(122,597 )</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8"/>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302,196</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-804545</wp:posOffset>
            </wp:positionV>
            <wp:extent cx="570230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-495935</wp:posOffset>
            </wp:positionV>
            <wp:extent cx="570230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-179070</wp:posOffset>
            </wp:positionV>
            <wp:extent cx="570230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3960"/>
          </w:cols>
          <w:pgMar w:left="320" w:top="764" w:right="359" w:bottom="1440" w:gutter="0" w:footer="0" w:header="0"/>
          <w:type w:val="continuous"/>
        </w:sectPr>
      </w:pP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March 29, 2024, of $97.56.</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amount of stock-based compensation expense recognized in any period related to PSUs can vary based on the achievement or anticipated achievement of the performance conditions. If the performance conditions are not met, or not expected to be met, no compensation cost would be recognized on the underlying PSUs, and any previously recognized compensation expense related to those PSUs would be reversed. The unrecognized share-based compensation cost of our outstanding PSUs was approximately $1.5 million as of March 2024, which will be recognized over a weighted average period of approximately 1.0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Shares purchased, weighted average purchase price, cash received, and the aggregate intrinsic value for employee stock purchase plan purchases during the nine months ended March 2024, were as follows (in millions, except for shares purchased and weighted average price):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30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211,425</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purchase price</w:t>
            </w:r>
          </w:p>
        </w:tc>
        <w:tc>
          <w:tcPr>
            <w:tcW w:w="3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4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30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3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78" w:lineRule="exact"/>
        <w:rPr>
          <w:sz w:val="20"/>
          <w:szCs w:val="20"/>
          <w:color w:val="auto"/>
        </w:rPr>
      </w:pPr>
    </w:p>
    <w:p>
      <w:pPr>
        <w:jc w:val="both"/>
        <w:ind w:right="40" w:firstLine="509"/>
        <w:spacing w:after="0" w:line="272" w:lineRule="auto"/>
        <w:rPr>
          <w:sz w:val="20"/>
          <w:szCs w:val="20"/>
          <w:color w:val="auto"/>
        </w:rPr>
      </w:pPr>
      <w:r>
        <w:rPr>
          <w:rFonts w:ascii="Times New Roman" w:cs="Times New Roman" w:eastAsia="Times New Roman" w:hAnsi="Times New Roman"/>
          <w:sz w:val="17"/>
          <w:szCs w:val="17"/>
          <w:color w:val="auto"/>
        </w:rPr>
        <w:t>The benefit from income taxes of $5.2 million for the three and nine months ended March 2024, respectively, represented estimated federal, foreign, and state income taxes. The effective tax rate for the three and nine months ended March 2024 diverged from the combined U.S. federal and state statutory tax rate primarily due to U.S. research credits and tax benefits from the impact of foreign tax credit temporary relief provided by U.S. Treasury Notice</w:t>
      </w:r>
    </w:p>
    <w:p>
      <w:pPr>
        <w:spacing w:after="0" w:line="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2023-55 and Notice 2023-80 issued in July 2023 and December 2023, respectively, which deferred the effective date of the U.S. final foreign tax credit regulations published in January 2022; partially offset by foreign income taxed at higher rates, the research and development capitalization rules increasing our global intangible low-taxed income, or GILTI, resulting from the U.S. Tax Cuts and Jobs Act of 2017, and non-deductible officer compensation.</w:t>
      </w:r>
    </w:p>
    <w:p>
      <w:pPr>
        <w:spacing w:after="0" w:line="6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March 2023 diverged from the combined U.S. federal and state statutory tax rate primarily due to the impact of tax law changes becoming effective in our fiscal 2023, including non-creditable foreign withholding taxes resulting from the final foreign tax credit regulations and the research and development capitalization rules</w:t>
      </w:r>
    </w:p>
    <w:p>
      <w:pPr>
        <w:sectPr>
          <w:pgSz w:w="11900" w:h="16838" w:orient="portrait"/>
          <w:cols w:equalWidth="0" w:num="1">
            <w:col w:w="11220"/>
          </w:cols>
          <w:pgMar w:left="320" w:top="764" w:right="359" w:bottom="1440" w:gutter="0" w:footer="0" w:header="0"/>
          <w:type w:val="continuous"/>
        </w:sectPr>
      </w:pP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type w:val="continuous"/>
        </w:sectPr>
      </w:pPr>
    </w:p>
    <w:bookmarkStart w:id="20" w:name="page21"/>
    <w:bookmarkEnd w:id="20"/>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 our GILTI, and non-deductible officer compensation; partially offset by the benefit of foreign income taxed at lower rates, and research credits.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total liability for gross unrecognized tax benefits related to uncertain tax positions decreased $0.1 million during the nine months ended March 2024, to $43.6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March 2024 were $3.6 million; this balance increased by $0.6 million compared to June 2023.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78"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Our major tax jurisdictions are the United States, Hong Kong SAR, Israel, Japan and the United Kingdom. From fiscal 2017 onward, we remain subject to examination by one or more of these jurisdictions.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Customers, and Geographic Information</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operate in one segment: the development, marketing, and sale of semiconductor products used in electronic devices and products. In previous reporting periods, we categorized revenues from three product categories: the IoT product market, the personal computing, or PC, product market, and the Mobile product market. Effective in the first quarter of fiscal 2024, we categorize our revenues in the following product categories: Core IoT, Enterprise and Automotive, and Mobile product applications.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products and how they are categorized under our new product categories is as follows:</w:t>
      </w:r>
    </w:p>
    <w:p>
      <w:pPr>
        <w:spacing w:after="0" w:line="117"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IoT: Wireless and Processor Solutions</w:t>
      </w:r>
    </w:p>
    <w:p>
      <w:pPr>
        <w:spacing w:after="0" w:line="116"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and Automotive: PC Touch Pad, PC Fingerprint, Video Interface Solutions, Enterprise Audio Solutions, Fax and Printer Solutions, Automotive Solutions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Touch and Display Solutions for Mobile phone applications</w:t>
      </w:r>
    </w:p>
    <w:p>
      <w:pPr>
        <w:spacing w:after="0" w:line="117"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Revenues for the three months ended March 2023 from our previous product categories have been reclassified in order to conform to the current period presentation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Enterprise and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Core IoT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Mobile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IoT product applications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38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0"/>
                <w:szCs w:val="20"/>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PC product applications</w:t>
            </w: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3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21"/>
                <w:szCs w:val="2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5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38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r>
      <w:tr>
        <w:trPr>
          <w:trHeight w:val="272"/>
        </w:trPr>
        <w:tc>
          <w:tcPr>
            <w:tcW w:w="26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3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-24765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-7620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Revenues for the nine months ended March 2023 from our previous product categories have been reclassified in order to conform to the current period presentation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Enterprise and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Core IoT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Mobile</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3"/>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IoT product applications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00" w:type="dxa"/>
            <w:vAlign w:val="bottom"/>
            <w:shd w:val="clear" w:color="auto" w:fill="CFF0FC"/>
          </w:tcPr>
          <w:p>
            <w:pPr>
              <w:spacing w:after="0"/>
              <w:rPr>
                <w:sz w:val="21"/>
                <w:szCs w:val="21"/>
                <w:color w:val="auto"/>
              </w:rPr>
            </w:pPr>
          </w:p>
        </w:tc>
      </w:t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 product applications</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0"/>
                <w:szCs w:val="20"/>
                <w:color w:val="auto"/>
              </w:rPr>
            </w:pPr>
          </w:p>
        </w:tc>
      </w:tr>
      <w:tr>
        <w:trPr>
          <w:trHeight w:val="24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6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3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Pr>
          <w:p>
            <w:pPr>
              <w:spacing w:after="0"/>
              <w:rPr>
                <w:sz w:val="20"/>
                <w:szCs w:val="20"/>
                <w:color w:val="auto"/>
              </w:rPr>
            </w:pPr>
          </w:p>
        </w:tc>
      </w:tr>
      <w:tr>
        <w:trPr>
          <w:trHeight w:val="20"/>
        </w:trPr>
        <w:tc>
          <w:tcPr>
            <w:tcW w:w="2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-187960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-187960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from our customers for each product category was as follows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5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50"/>
        </w:trPr>
        <w:tc>
          <w:tcPr>
            <w:tcW w:w="55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March</w:t>
            </w:r>
          </w:p>
        </w:tc>
        <w:tc>
          <w:tcPr>
            <w:tcW w:w="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March</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9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16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00" w:type="dxa"/>
            <w:vAlign w:val="bottom"/>
            <w:shd w:val="clear" w:color="auto" w:fill="CFF0FC"/>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20"/>
                <w:szCs w:val="20"/>
                <w:color w:val="auto"/>
              </w:rPr>
            </w:pPr>
          </w:p>
        </w:tc>
      </w:tr>
      <w:tr>
        <w:trPr>
          <w:trHeight w:val="247"/>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9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540" w:type="dxa"/>
            <w:vAlign w:val="bottom"/>
          </w:tcPr>
          <w:p>
            <w:pPr>
              <w:spacing w:after="0"/>
              <w:rPr>
                <w:sz w:val="20"/>
                <w:szCs w:val="20"/>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1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-187960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1" w:name="page22"/>
    <w:bookmarkEnd w:id="21"/>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gridSpan w:val="9"/>
          </w:tcPr>
          <w:p>
            <w:pPr>
              <w:jc w:val="right"/>
              <w:ind w:right="170"/>
              <w:spacing w:after="0"/>
              <w:rPr>
                <w:sz w:val="20"/>
                <w:szCs w:val="20"/>
                <w:color w:val="auto"/>
              </w:rPr>
            </w:pPr>
            <w:r>
              <w:rPr>
                <w:rFonts w:ascii="Times New Roman" w:cs="Times New Roman" w:eastAsia="Times New Roman" w:hAnsi="Times New Roman"/>
                <w:sz w:val="18"/>
                <w:szCs w:val="18"/>
                <w:color w:val="auto"/>
              </w:rPr>
              <w:t>Net revenue within geographic areas based on our customers’ locations for the periods presented was as follows (in millions):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540" w:type="dxa"/>
            <w:vAlign w:val="bottom"/>
          </w:tcPr>
          <w:p>
            <w:pPr>
              <w:spacing w:after="0"/>
              <w:rPr>
                <w:sz w:val="24"/>
                <w:szCs w:val="24"/>
                <w:color w:val="auto"/>
              </w:rPr>
            </w:pPr>
          </w:p>
        </w:tc>
        <w:tc>
          <w:tcPr>
            <w:tcW w:w="25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50"/>
        </w:trPr>
        <w:tc>
          <w:tcPr>
            <w:tcW w:w="55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March</w:t>
            </w:r>
          </w:p>
        </w:tc>
        <w:tc>
          <w:tcPr>
            <w:tcW w:w="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March</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5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China/Hong Kong</w:t>
            </w:r>
          </w:p>
        </w:tc>
        <w:tc>
          <w:tcPr>
            <w:tcW w:w="9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16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FF0FC"/>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FF0FC"/>
          </w:tcPr>
          <w:p>
            <w:pPr>
              <w:spacing w:after="0"/>
              <w:rPr>
                <w:sz w:val="21"/>
                <w:szCs w:val="2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9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FF0FC"/>
          </w:tcPr>
          <w:p>
            <w:pPr>
              <w:spacing w:after="0"/>
              <w:rPr>
                <w:sz w:val="21"/>
                <w:szCs w:val="2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r>
      <w:tr>
        <w:trPr>
          <w:trHeight w:val="272"/>
        </w:trPr>
        <w:tc>
          <w:tcPr>
            <w:tcW w:w="554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-24765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from major customers as a percentage of total net revenue for the periods presented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20"/>
                <w:szCs w:val="20"/>
                <w:color w:val="auto"/>
              </w:rPr>
            </w:pP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50"/>
        </w:trPr>
        <w:tc>
          <w:tcPr>
            <w:tcW w:w="55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right="990"/>
              <w:spacing w:after="0"/>
              <w:rPr>
                <w:sz w:val="20"/>
                <w:szCs w:val="20"/>
                <w:color w:val="auto"/>
              </w:rPr>
            </w:pPr>
            <w:r>
              <w:rPr>
                <w:rFonts w:ascii="Times New Roman" w:cs="Times New Roman" w:eastAsia="Times New Roman" w:hAnsi="Times New Roman"/>
                <w:sz w:val="18"/>
                <w:szCs w:val="18"/>
                <w:color w:val="auto"/>
                <w:w w:val="97"/>
              </w:rPr>
              <w:t>March</w:t>
            </w: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right="810"/>
              <w:spacing w:after="0"/>
              <w:rPr>
                <w:sz w:val="20"/>
                <w:szCs w:val="20"/>
                <w:color w:val="auto"/>
              </w:rPr>
            </w:pPr>
            <w:r>
              <w:rPr>
                <w:rFonts w:ascii="Times New Roman" w:cs="Times New Roman" w:eastAsia="Times New Roman" w:hAnsi="Times New Roman"/>
                <w:sz w:val="18"/>
                <w:szCs w:val="18"/>
                <w:color w:val="auto"/>
              </w:rPr>
              <w:t>March</w:t>
            </w:r>
          </w:p>
        </w:tc>
      </w:tr>
      <w:tr>
        <w:trPr>
          <w:trHeight w:val="238"/>
        </w:trPr>
        <w:tc>
          <w:tcPr>
            <w:tcW w:w="5580" w:type="dxa"/>
            <w:vAlign w:val="bottom"/>
          </w:tcPr>
          <w:p>
            <w:pPr>
              <w:spacing w:after="0"/>
              <w:rPr>
                <w:sz w:val="20"/>
                <w:szCs w:val="20"/>
                <w:color w:val="auto"/>
              </w:rPr>
            </w:pPr>
          </w:p>
        </w:tc>
        <w:tc>
          <w:tcPr>
            <w:tcW w:w="10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2024</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4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80" w:type="dxa"/>
            <w:vAlign w:val="bottom"/>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shd w:val="clear" w:color="auto" w:fill="CFF0FC"/>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6"/>
              </w:rPr>
              <w:t>10%</w:t>
            </w:r>
          </w:p>
        </w:tc>
      </w:tr>
      <w:tr>
        <w:trPr>
          <w:trHeight w:val="23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6"/>
              </w:rPr>
              <w:t>12%</w:t>
            </w:r>
          </w:p>
        </w:tc>
        <w:tc>
          <w:tcPr>
            <w:tcW w:w="19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080" w:type="dxa"/>
            <w:vAlign w:val="bottom"/>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shd w:val="clear" w:color="auto" w:fill="CFF0FC"/>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6"/>
              </w:rPr>
              <w:t>13%</w:t>
            </w:r>
          </w:p>
        </w:tc>
        <w:tc>
          <w:tcPr>
            <w:tcW w:w="1620" w:type="dxa"/>
            <w:vAlign w:val="bottom"/>
            <w:gridSpan w:val="3"/>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88"/>
              </w:rPr>
              <w:t>*</w:t>
            </w: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6"/>
              </w:rPr>
              <w:t>18%</w:t>
            </w:r>
          </w:p>
        </w:tc>
        <w:tc>
          <w:tcPr>
            <w:tcW w:w="10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103"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tcPr>
          <w:p>
            <w:pPr>
              <w:spacing w:after="0"/>
              <w:rPr>
                <w:sz w:val="20"/>
                <w:szCs w:val="20"/>
                <w:color w:val="auto"/>
              </w:rPr>
            </w:pPr>
          </w:p>
        </w:tc>
        <w:tc>
          <w:tcPr>
            <w:tcW w:w="18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June</w:t>
            </w:r>
          </w:p>
        </w:tc>
      </w:tr>
      <w:tr>
        <w:trPr>
          <w:trHeight w:val="250"/>
        </w:trPr>
        <w:tc>
          <w:tcPr>
            <w:tcW w:w="728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43"/>
        </w:trPr>
        <w:tc>
          <w:tcPr>
            <w:tcW w:w="7280" w:type="dxa"/>
            <w:vAlign w:val="bottom"/>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20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10%</w:t>
            </w: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20%</w:t>
            </w: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20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r>
      <w:tr>
        <w:trPr>
          <w:trHeight w:val="22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____________________</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Comprehensive Income</w:t>
      </w:r>
    </w:p>
    <w:p>
      <w:pPr>
        <w:spacing w:after="0" w:line="121"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Our comprehensive income generally consists of unrealized gains or losses on our available-for-sale securities. We recognize foreign currency remeasurement adjustments and foreign currency transaction gains and losses in our condensed consolidated statements of operations as the U.S. dollar is the functional currency of our foreign entities.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 Activities</w:t>
      </w:r>
    </w:p>
    <w:p>
      <w:pPr>
        <w:spacing w:after="0" w:line="121"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In the first quarter of fiscal 2024, we initiated restructuring actions primarily intended to focus on key growth initiatives, reduce costs and align our business in response to market conditions. As a result of this restructuring, we incurred $9.1 million in restructuring charges. The restructuring costs related to these activities were recorded to the restructuring costs line item within our condensed consolidated statements of operations.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restructuring activity and related charges during the periods presented (in millions):</w:t>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2" w:name="page23"/>
    <w:bookmarkEnd w:id="22"/>
    <w:p>
      <w:pPr>
        <w:jc w:val="cente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192"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Nine Months</w:t>
      </w:r>
    </w:p>
    <w:p>
      <w:pPr>
        <w:spacing w:after="0" w:line="22" w:lineRule="exact"/>
        <w:rPr>
          <w:sz w:val="20"/>
          <w:szCs w:val="20"/>
          <w:color w:val="auto"/>
        </w:rPr>
      </w:pPr>
    </w:p>
    <w:p>
      <w:pPr>
        <w:ind w:left="7720"/>
        <w:spacing w:after="0"/>
        <w:tabs>
          <w:tab w:leader="none" w:pos="10180" w:val="left"/>
        </w:tabs>
        <w:rPr>
          <w:sz w:val="20"/>
          <w:szCs w:val="20"/>
          <w:color w:val="auto"/>
        </w:rPr>
      </w:pPr>
      <w:r>
        <w:rPr>
          <w:rFonts w:ascii="Times New Roman" w:cs="Times New Roman" w:eastAsia="Times New Roman" w:hAnsi="Times New Roman"/>
          <w:sz w:val="18"/>
          <w:szCs w:val="18"/>
          <w:color w:val="auto"/>
        </w:rPr>
        <w:t>Three Months Ended</w:t>
      </w:r>
      <w:r>
        <w:rPr>
          <w:sz w:val="20"/>
          <w:szCs w:val="20"/>
          <w:color w:val="auto"/>
        </w:rPr>
        <w:tab/>
      </w:r>
      <w:r>
        <w:rPr>
          <w:rFonts w:ascii="Times New Roman" w:cs="Times New Roman" w:eastAsia="Times New Roman" w:hAnsi="Times New Roman"/>
          <w:sz w:val="18"/>
          <w:szCs w:val="18"/>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13970</wp:posOffset>
            </wp:positionV>
            <wp:extent cx="22091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09165" cy="8255"/>
                    </a:xfrm>
                    <a:prstGeom prst="rect">
                      <a:avLst/>
                    </a:prstGeom>
                    <a:noFill/>
                  </pic:spPr>
                </pic:pic>
              </a:graphicData>
            </a:graphic>
          </wp:anchor>
        </w:drawing>
      </w:r>
    </w:p>
    <w:p>
      <w:pPr>
        <w:spacing w:after="0" w:line="1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26035</wp:posOffset>
            </wp:positionV>
            <wp:extent cx="22091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209165"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w:t>
            </w:r>
          </w:p>
        </w:tc>
        <w:tc>
          <w:tcPr>
            <w:tcW w:w="7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(0.2 )</w:t>
            </w:r>
          </w:p>
        </w:tc>
        <w:tc>
          <w:tcPr>
            <w:tcW w:w="6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7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r>
      <w:tr>
        <w:trPr>
          <w:trHeight w:val="236"/>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During the three and nine months ended March 2024, the restructuring and related charges of $0.2 million and $9.1 million, respectively, was primarily attributable to severance and employee-related benefits.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2023, no restructuring charges were recorded.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 w:name="page24"/>
    <w:bookmarkEnd w:id="23"/>
    <w:p>
      <w:pPr>
        <w:ind w:right="122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for the quarter ended March 30, 2024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Core IoT and Enterprise and Automotive product applications market for a substantial portion of our revenue; risks related to the volatility of our net revenue from our solutions for Core IoT and Enterprise and Automotive product applications; our dependence on one or more large customers;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regional instabilities and hostilities (including the Israel-Hamas war) and the risks as identified in the “Risk Factors,” “Management’s Discussion and Analysis of Financial Condition and Results of Operations” and “Business” sections of our Annual Report on Form 10-K for the fiscal year ended June 24, 2023,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94"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Original Equipment Manufacturers, or OEMs.</w:t>
      </w:r>
    </w:p>
    <w:p>
      <w:pPr>
        <w:spacing w:after="0" w:line="7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recognize revenue when control of the promised goods or services is transferred to our customers in an amount that reflects the consideration we expect to receive in exchange for those goods or services. Nearly all of our revenue, except an inconsequential amount, is recognized at a point in time, either on shipment or delivery of the product, depending on customer terms and conditions.</w:t>
      </w:r>
    </w:p>
    <w:p>
      <w:pPr>
        <w:spacing w:after="0" w:line="69"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Many of our customers have manufacturing operations in China, and many of our OEM customers have established design centers in Asia. With our global presence, including offices in China, France, Germany, Hong Kong, India, Israel, Japan, Korea, Poland, Switzerland, Taiwan, the U.K., and the U.S., we are well positioned to provide local sales, operational, and engineering support services to our existing customers, as well as potential new customers, on a global basis.</w:t>
      </w:r>
    </w:p>
    <w:p>
      <w:pPr>
        <w:spacing w:after="0" w:line="7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24" w:name="page25"/>
    <w:bookmarkEnd w:id="24"/>
    <w:p>
      <w:pPr>
        <w:ind w:right="120"/>
        <w:spacing w:after="0" w:line="281" w:lineRule="auto"/>
        <w:rPr>
          <w:sz w:val="20"/>
          <w:szCs w:val="20"/>
          <w:color w:val="auto"/>
        </w:rPr>
      </w:pPr>
      <w:r>
        <w:rPr>
          <w:rFonts w:ascii="Times New Roman" w:cs="Times New Roman" w:eastAsia="Times New Roman" w:hAnsi="Times New Roman"/>
          <w:sz w:val="18"/>
          <w:szCs w:val="18"/>
          <w:color w:val="auto"/>
        </w:rPr>
        <w:t>associated with our indirect manufacturing operations personnel. Additionally, we charge all warranty costs, losses on inventory purchase obligations, and the provision for excess and obsolete inventories to cost of revenue.</w:t>
      </w:r>
    </w:p>
    <w:p>
      <w:pPr>
        <w:spacing w:after="0" w:line="5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 business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w:t>
      </w:r>
    </w:p>
    <w:p>
      <w:pPr>
        <w:spacing w:after="0" w:line="74"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3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Acquired intangibles amortization, included in operating expenses, consists primarily of amortization of customer relationship and tradename intangible assets recognized under the purchase method for business combinations.</w:t>
      </w:r>
    </w:p>
    <w:p>
      <w:pPr>
        <w:spacing w:after="0" w:line="55"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Restructuring costs primarily reflect severance costs related to the restructuring of our operations to reduce operating expenses and gain efficiencies from our recent acquisitions. See Note 17. Restructuring Activities to the consolidated financial statements contained elsewhere in this Report.</w:t>
      </w:r>
    </w:p>
    <w:p>
      <w:pPr>
        <w:spacing w:after="0" w:line="31"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Interest and other expense, net, primarily reflects interest expense on our Senior Notes (as defined herein), Term Loan Facility (as defined herein) and revolving line of credit as well as the amortization of debt issuance costs and discount on our debt, partially offset by interest income earned on our cash, cash equivalents and short-term investments.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Broadcom</w:t>
      </w:r>
    </w:p>
    <w:p>
      <w:pPr>
        <w:spacing w:after="0" w:line="119"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In July 2023, we entered into a transaction with Broadcom to extend the exclusivity period of certain developed technologies and to license certain technology assets for an aggregate consideration of $130.0 million, which was paid in cash in the first quarter of fiscal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Emza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25, 2022, we acquired all of the outstanding shares of Emza for total purchase consideration of $15.8 million, which was paid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Emza are included in our condensed consolidated financial statements for the periods from October 25,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nine months ended March 2024, compared with our critical accounting policies and estimates disclosed in Management’s Discussion and Analysis of Financial Condition and Results of Operations included in our Annual Report on Form 10-K for the fiscal year ended June 24,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Current Economic Conditions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majority of our sales and manufacturing occurs outside of the United States, we are exposed to and impacted by global macroeconomic factors, U.S. and foreign government policies and foreign exchange fluctuations. There is uncertainty surrounding macroeconomic factors in the U.S., and globally, characterized by the supply chain environment, inflationary pressure, rising interest rates, and workforce reductions. We believe these macroeconomic conditions, including soft corporate spending on information technology hardware, coupled with the global political climate and unrest, including the ongoing Israel-Hamas war, continue to be the primary drivers for the overall reduction in orders from our customer base. We continue to believe a rebound in demand is likely to extend into late calendar 2024, and potentially beyond 2024. In addition, although we currently do not believe inflation in the costs of goods will have a material impact on our results of operations, it is possible that elevated inflation could increase our cost of goods sold and/or operating expenses and reduce our net income. Further, interest rates remain elevated and have increased our borrowing costs on our variable rate Term Loan Facility and could potentially limit our borrowing capacity if a future acquisition opportunity requiring financing presents itself.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5" w:name="page26"/>
    <w:bookmarkEnd w:id="25"/>
    <w:p>
      <w:pPr>
        <w:ind w:left="760"/>
        <w:spacing w:after="0"/>
        <w:rPr>
          <w:sz w:val="20"/>
          <w:szCs w:val="20"/>
          <w:color w:val="auto"/>
        </w:rPr>
      </w:pPr>
      <w:r>
        <w:rPr>
          <w:rFonts w:ascii="Times New Roman" w:cs="Times New Roman" w:eastAsia="Times New Roman" w:hAnsi="Times New Roman"/>
          <w:sz w:val="18"/>
          <w:szCs w:val="18"/>
          <w:i w:val="1"/>
          <w:iCs w:val="1"/>
          <w:color w:val="auto"/>
        </w:rPr>
        <w:t>The Israel-Hamas War</w:t>
      </w:r>
    </w:p>
    <w:p>
      <w:pPr>
        <w:spacing w:after="0" w:line="29"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8"/>
          <w:szCs w:val="18"/>
          <w:color w:val="auto"/>
        </w:rPr>
        <w:t>Although our employees in our Israel office have the ability to work remotely and business continuity plans are in place to address any medium-or long-term disruptions that could result from the closure of this office, the office closure and general effects of employees operating in a region at war could have a negative impact on our operations. Further, a number of our employees in Israel are members of the military reserves who have been subject to activation in response to the war, and it is possible that these employees may be re-activated if the Israel-Hamas war continues. While we also have business continuity plans in place to address the safety of our employees and continue product development in the event of reduced employee availability in the region during the war, it could affect the timing of projects in the short-term as work is shifted to other team members where necessary.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40" w:firstLine="554"/>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2024, we changed the classification of our product categories to more closely align with the strategic focus of the Company. Certain reclassifications have been made to the prior period revenue presentation to conform to the current period revenue presentation. Certain of the data used in our condensed consolidated statements of operations for the periods indicated, together with comparative absolute and percentage changes in these amounts, were as follows (in millions, except percentages):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Three Months Ended March</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Nine Months Ended March</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6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(57.0 )</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(29.7 %)$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80" w:type="dxa"/>
            <w:vAlign w:val="bottom"/>
          </w:tcPr>
          <w:p>
            <w:pPr>
              <w:spacing w:after="0"/>
              <w:rPr>
                <w:sz w:val="20"/>
                <w:szCs w:val="20"/>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(286.1 )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0" w:type="dxa"/>
            <w:vAlign w:val="bottom"/>
          </w:tcPr>
          <w:p>
            <w:pPr>
              <w:spacing w:after="0"/>
              <w:rPr>
                <w:sz w:val="1"/>
                <w:szCs w:val="1"/>
                <w:color w:val="auto"/>
              </w:rPr>
            </w:pPr>
          </w:p>
        </w:tc>
      </w:tr>
      <w:tr>
        <w:trPr>
          <w:trHeight w:val="25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6"/>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(36.0 %)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(288.3 )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3"/>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43"/>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(52.9 %)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56"/>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(136.7 %)</w:t>
            </w:r>
          </w:p>
        </w:tc>
        <w:tc>
          <w:tcPr>
            <w:tcW w:w="0" w:type="dxa"/>
            <w:vAlign w:val="bottom"/>
          </w:tcPr>
          <w:p>
            <w:pPr>
              <w:spacing w:after="0" w:line="20" w:lineRule="exact"/>
              <w:rPr>
                <w:sz w:val="1"/>
                <w:szCs w:val="1"/>
                <w:color w:val="auto"/>
              </w:rPr>
            </w:pPr>
          </w:p>
        </w:tc>
      </w:tr>
      <w:tr>
        <w:trPr>
          <w:trHeight w:val="228"/>
        </w:trPr>
        <w:tc>
          <w:tcPr>
            <w:tcW w:w="3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(150.9 %)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(262.8 )</w:t>
            </w: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04"/>
        </w:trPr>
        <w:tc>
          <w:tcPr>
            <w:tcW w:w="302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(Loss) income before provision for</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(185.7 %)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(151.6 %)</w:t>
            </w:r>
          </w:p>
        </w:tc>
        <w:tc>
          <w:tcPr>
            <w:tcW w:w="0" w:type="dxa"/>
            <w:vAlign w:val="bottom"/>
          </w:tcPr>
          <w:p>
            <w:pPr>
              <w:spacing w:after="0"/>
              <w:rPr>
                <w:sz w:val="1"/>
                <w:szCs w:val="1"/>
                <w:color w:val="auto"/>
              </w:rPr>
            </w:pPr>
          </w:p>
        </w:tc>
      </w:tr>
      <w:tr>
        <w:trPr>
          <w:trHeight w:val="25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(22.0 )</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(131.0 %)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(28.5 )</w:t>
            </w:r>
          </w:p>
        </w:tc>
        <w:tc>
          <w:tcPr>
            <w:tcW w:w="124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15"/>
                <w:szCs w:val="15"/>
                <w:color w:val="auto"/>
              </w:rPr>
              <w:t>(274.0 %)</w:t>
            </w:r>
            <w:r>
              <w:rPr>
                <w:rFonts w:ascii="Times New Roman" w:cs="Times New Roman" w:eastAsia="Times New Roman" w:hAnsi="Times New Roman"/>
                <w:sz w:val="27"/>
                <w:szCs w:val="27"/>
                <w:color w:val="auto"/>
                <w:vertAlign w:val="superscript"/>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(179.7 )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-2662555</wp:posOffset>
            </wp:positionV>
            <wp:extent cx="7132320" cy="290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-1574800</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-949960</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290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-2216785</wp:posOffset>
            </wp:positionV>
            <wp:extent cx="7132320" cy="162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-1891665</wp:posOffset>
            </wp:positionV>
            <wp:extent cx="7132320" cy="162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Certain of the data used in our condensed consolidated statements of operations presented here as a percentage of net revenue for the periods indicated were as follows:</w:t>
      </w: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2"/>
                <w:szCs w:val="22"/>
                <w:color w:val="auto"/>
              </w:rPr>
            </w:pPr>
          </w:p>
        </w:tc>
        <w:tc>
          <w:tcPr>
            <w:tcW w:w="14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March</w:t>
            </w:r>
          </w:p>
        </w:tc>
        <w:tc>
          <w:tcPr>
            <w:tcW w:w="7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March</w:t>
            </w:r>
          </w:p>
        </w:tc>
        <w:tc>
          <w:tcPr>
            <w:tcW w:w="7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18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5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Operating (loss) income</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80" w:type="dxa"/>
            <w:vAlign w:val="bottom"/>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vMerge w:val="continue"/>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(17.8 %)</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5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(0.4 %)</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80" w:type="dxa"/>
            <w:vAlign w:val="bottom"/>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vMerge w:val="continue"/>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(18.2 %)</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5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(0.7 %)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(10.9 %)</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-2379980</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62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Net revenue was $237.3 million for the three months ended March 2024, compared with $326.6 million for the three months ended March 2023, a decrease of $89.3 million, or 27.3%, as customers continue to exercise caution in their overall spend amidst the current global macroeconomic environment. Of this net revenue, $134.7 million, or 56.8%, was from Enterprise and Automotive product applications, $55.3 million, or 23.3%, was from Mobile product applications, and $47.3 million, or 19.9%, was from Core IoT product applications. Revenue decreased in most of our product applications for the three months ended March 2024. Net revenue from Enterprise and Automotive product applications decreased as a result of lower average selling prices (which decreased 13.3%) due to product sales mix and a decrease in units sold (which decreased 19.0%). Net revenue from Mobile product applications increased due to an increase in units sold (which increased 67.5%), as demand increased for our products in the mobile market, partially offset by a decrease in average selling prices (which decreased 20.6%) due to our product sales mix. Net revenue from Core IoT product applications decreased due to a decline in units sold (which decreased 35.7%) related to certain end customers' decline in demand and desire to reduce their inventory holdings and a net decrease of $32.0 million in revenue from the licensing of certain of our IP, partially offset by an increase in average selling prices (which increased 19.1%) due to our product sales mix compared to the same period a year ago.</w:t>
      </w:r>
    </w:p>
    <w:p>
      <w:pPr>
        <w:spacing w:after="0" w:line="8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Net revenue was $712.0 million for the nine months ended March 2024, compared with $1,127.8 million for the nine months ended March 2023, a decrease of $415.8 million, or 36.9%, as customers continue to exercise caution in their overall spend amidst the current global macroeconomic environment. Of this net revenue, $426.1 million, or 59.9%, was from Enterprise and Automotive product applications, $162.6 million, or 22.8% was from Mobile product applications, and $123.3 million, or 17.3%, was from Core IoT product applications. Revenue decreased in most of our product applications for the nine months ended March 2024. Net revenue from Enterprise and Automotive product applications decreased as a result of lower average selling prices (which decreased 21.5%) due to product sales mix and a decrease in units sold (which decreased 29.1%). This decrease in revenue from Enterprise and Automotive product applications was partially offset by $30.0 million in revenue from the licensing of certain of our IP. Net revenue from Mobile product applications increased due to an increase in units sold (which increased 75.0%), as demand increased for our products in the mobile market, partially offset by a decrease in average selling prices (which decreased 35.7%) due to our product sales mix. Net revenue from Core IoT product applications decreased due to a decline in units sold (which decreased 50.5%) related to certain end customers' decline in demand and desire to reduce their inventory holdings and a net decrease of $32.0 million in revenue from the licensing of certain of our IP, partially offset by an increase in average selling prices (which increased 1.3%) due to our product sales mix compared to the same period a year ago.</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jc w:val="both"/>
        <w:ind w:right="540" w:firstLine="509"/>
        <w:spacing w:after="0" w:line="265" w:lineRule="auto"/>
        <w:rPr>
          <w:sz w:val="20"/>
          <w:szCs w:val="20"/>
          <w:color w:val="auto"/>
        </w:rPr>
      </w:pPr>
      <w:r>
        <w:rPr>
          <w:rFonts w:ascii="Times New Roman" w:cs="Times New Roman" w:eastAsia="Times New Roman" w:hAnsi="Times New Roman"/>
          <w:sz w:val="18"/>
          <w:szCs w:val="18"/>
          <w:color w:val="auto"/>
        </w:rPr>
        <w:t>Gross margin as a percentage of net revenue was 46.5%, or $110.3 million, for the three months ended March 2024, compared with 52.8%, or $172.3 million, for the three months ended March 2023. The net 630 basis point decrease in gross margin for the three months ended March 2024 was primarily due to product sales mix and a decrease in revenue from the licensing of certain of our IP.</w:t>
      </w:r>
    </w:p>
    <w:p>
      <w:pPr>
        <w:spacing w:after="0" w:line="6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Gross margin as a percentage of net revenue was 45.8% or $326.4 million, for the nine months ended March 2024, compared with 54.5%, or $614.7 million, for the nine months ended March 2023. The net 870 basis point decrease in gross margin for the nine</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94" w:right="239" w:bottom="1440" w:gutter="0" w:footer="0" w:header="0"/>
        </w:sectPr>
      </w:pPr>
    </w:p>
    <w:bookmarkStart w:id="27" w:name="page28"/>
    <w:bookmarkEnd w:id="27"/>
    <w:p>
      <w:pPr>
        <w:ind w:right="580"/>
        <w:spacing w:after="0" w:line="281" w:lineRule="auto"/>
        <w:rPr>
          <w:sz w:val="20"/>
          <w:szCs w:val="20"/>
          <w:color w:val="auto"/>
        </w:rPr>
      </w:pPr>
      <w:r>
        <w:rPr>
          <w:rFonts w:ascii="Times New Roman" w:cs="Times New Roman" w:eastAsia="Times New Roman" w:hAnsi="Times New Roman"/>
          <w:sz w:val="18"/>
          <w:szCs w:val="18"/>
          <w:color w:val="auto"/>
        </w:rPr>
        <w:t>months ended March 2024 was primarily due an increase in the excess obsolescence reserve and product sales mix, partially offset by an increase in revenue from the licensing of certain of our IP.</w:t>
      </w:r>
    </w:p>
    <w:p>
      <w:pPr>
        <w:spacing w:after="0" w:line="5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are fully accretive to our gross margin.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decreased $4.5 million to $83.4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2024, compared with $87.9 million for the three months ended March 2023. The decrease in research and development expenses was primarily driven by a $4.3 million decrease in wages and related costs as a result of the restructuring action initiated during the first quarter of fiscal 2024, a $1.4 million decrease in variable compensation costs and a $0.8 million decrease in amortization of prepaid development costs, partially offset by an increase in stock-based compensation charges of $2.9 million.</w:t>
      </w:r>
    </w:p>
    <w:p>
      <w:pPr>
        <w:spacing w:after="0" w:line="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$14.8 million to $251.9 million for the nine months ended March 2024, compared with $266.7 million for the nine months ended March 2023. The decrease in research and development expenses was primarily driven by a $8.2 million decrease in wages and related costs as a result of the restructuring action initiated during the first quarter of fiscal 2024, a $5.8 million decrease in amortization of prepaid development costs that were fully amortized at the end of fiscal 2023, and a $5.8 million decrease in variable compensation cost, partially offset by an increase in stock-based compensation of $6.2 million.</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decreased $1.2 million to $40.5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2024, compared with $41.7 million for the three months ended March 2023. The decrease in selling, general, and administrative expenses was primarily driven by a $2.9 million decrease in stock-based compensation charges relating to our performance-based stock awards granted during the first quarter of fiscal 2024, partially offset by a $1.6 million increase in professional services.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Selling, general, and administrative expenses decreased $6.3 million to $122.5 million for the nine months ended March 2024, compared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$128.8 million for the nine months ended March 2023. The decrease in selling, general, and administrative expenses was primarily driven by a $6.5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stock-based compensation charges related to forfeitures of equity awards of certain executive officers and a $2.5 million decrease in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partially offset by a $2.5 million increase in professional services.</w:t>
      </w:r>
    </w:p>
    <w:p>
      <w:pPr>
        <w:spacing w:after="0" w:line="9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Acquired Intangibles Amortization</w:t>
      </w:r>
      <w:r>
        <w:rPr>
          <w:rFonts w:ascii="Times New Roman" w:cs="Times New Roman" w:eastAsia="Times New Roman" w:hAnsi="Times New Roman"/>
          <w:sz w:val="18"/>
          <w:szCs w:val="18"/>
          <w:color w:val="auto"/>
        </w:rPr>
        <w:t>. Amortization of acquisition-related intangibles of $18.3 million for the three months ended March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$13.9 million, or 43%, compared to $32.2 million for the same period a year ago. Amortization of acquisition-related intangibles of $59.9 million for the nine months ended March 2024 decreased by $37.5 million, or 39%, compared to $97.4 million amortization for the same period a year ago. The decrease was primarily due to certain acquisition-related intangibles being fully amortized in the first half of the current fiscal year.</w:t>
      </w:r>
    </w:p>
    <w:p>
      <w:pPr>
        <w:spacing w:after="0" w:line="70" w:lineRule="exact"/>
        <w:rPr>
          <w:sz w:val="20"/>
          <w:szCs w:val="20"/>
          <w:color w:val="auto"/>
        </w:rPr>
      </w:pPr>
    </w:p>
    <w:p>
      <w:pPr>
        <w:ind w:right="14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Interest and Other Expense, Net</w:t>
      </w:r>
      <w:r>
        <w:rPr>
          <w:rFonts w:ascii="Times New Roman" w:cs="Times New Roman" w:eastAsia="Times New Roman" w:hAnsi="Times New Roman"/>
          <w:sz w:val="18"/>
          <w:szCs w:val="18"/>
          <w:color w:val="auto"/>
        </w:rPr>
        <w:t>. Interest and other expense, net, primarily includes interest on our debt, amortization of debt discount and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partially offset by interest income earned on our cash, cash equivalents and short-term investments.</w:t>
      </w:r>
    </w:p>
    <w:p>
      <w:pPr>
        <w:spacing w:after="0" w:line="5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Interest and other expense, net, decreased by $1.1 million to $5.9 million for the three months ended March 2024, as compared to $7.0 million for the three months ended March 2023. Interest income of $9.8 million for the three months ended March 2024 increased by $1.4 million and is due to the rise in interest rates period-over-period. Interest expense and the amortization of debt issuance costs on the $600 million incremental Term Loan Facility of $11.9 million for three months ended March 2024 increased by $0.5 million compared to $11.4 million for the same period a year ago.</w:t>
      </w:r>
    </w:p>
    <w:p>
      <w:pPr>
        <w:spacing w:after="0" w:line="7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Interest and other expense, net, decreased by $4.6 million to $17.4 million for the nine months ended March 2024, as compared to $22.0 million for the nine months ended March 2023. Interest income of $30.8 million for the nine months ended March 2024 increased by $13.3 million and is due to the rise in interest rates period-over-period. Interest expense and the amortization of debt issuance costs on the $600 million incremental Term Loan Facility of $35.9 million for the nine months ended March 2024 increased by $9.5 million, primarily driven by an increase in the average interest rate of approximately 215 basis points during the first nine months in fiscal 2024 compared to the same period a year ago.</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account for income taxes under the asset and liability method. The provision for income taxes recorded in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8" w:name="page29"/>
    <w:bookmarkEnd w:id="28"/>
    <w:p>
      <w:pPr>
        <w:ind w:right="340"/>
        <w:spacing w:after="0" w:line="281" w:lineRule="auto"/>
        <w:rPr>
          <w:sz w:val="20"/>
          <w:szCs w:val="20"/>
          <w:color w:val="auto"/>
        </w:rPr>
      </w:pPr>
      <w:r>
        <w:rPr>
          <w:rFonts w:ascii="Times New Roman" w:cs="Times New Roman" w:eastAsia="Times New Roman" w:hAnsi="Times New Roman"/>
          <w:sz w:val="18"/>
          <w:szCs w:val="18"/>
          <w:color w:val="auto"/>
        </w:rPr>
        <w:t>several factors, including our ability to accurately forecast annual income before provision for income taxes in each of the tax jurisdictions in which we operate.</w:t>
      </w:r>
    </w:p>
    <w:p>
      <w:pPr>
        <w:spacing w:after="0" w:line="55" w:lineRule="exact"/>
        <w:rPr>
          <w:sz w:val="20"/>
          <w:szCs w:val="20"/>
          <w:color w:val="auto"/>
        </w:rPr>
      </w:pPr>
    </w:p>
    <w:p>
      <w:pPr>
        <w:ind w:right="580" w:firstLine="554"/>
        <w:spacing w:after="0" w:line="281" w:lineRule="auto"/>
        <w:rPr>
          <w:sz w:val="20"/>
          <w:szCs w:val="20"/>
          <w:color w:val="auto"/>
        </w:rPr>
      </w:pPr>
      <w:r>
        <w:rPr>
          <w:rFonts w:ascii="Times New Roman" w:cs="Times New Roman" w:eastAsia="Times New Roman" w:hAnsi="Times New Roman"/>
          <w:sz w:val="18"/>
          <w:szCs w:val="18"/>
          <w:color w:val="auto"/>
        </w:rPr>
        <w:t>See “Note 14. Income Taxes” in the Notes to the Unaudited Condensed Consolidated Financial Statements for additional information on our provision for income taxes.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Our cash and cash equivalents were $828.1 million as of March 2024, compared with $924.7 million as of June 2023, representing a decrease of $96.6 million. The decrease is primarily related to a $130.0 million payment to Broadcom for the purchase and prepayment of intangible assets, partially offset by cash provided by operating activities of $70.9 million.</w:t>
      </w:r>
    </w:p>
    <w:p>
      <w:pPr>
        <w:spacing w:after="0" w:line="69"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March 2024, $504.7 million of cash, cash equivalents and short-term investments was held by our foreign subsidiaries. If these funds are needed for our operations in the United States, we would be able to repatriate substantially all of these funds without a material impact on our provision for income taxes.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Operating activities during the nine months ended March 2024 generated $70.9 million compared 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$237.0 million net cash generated during the nine months ended March 2023. For the nine months ended March 2024, the primary operating activities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for non-cash charges of $176.8 million and a net change in operating assets and liabilities of $23.2 million. The net change in operating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liabilities was primarily attributable to a $20.1 million decrease in accounts receivable primarily related to the normal variations in the timing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collections and billings, an $8.7 million decrease in gross inventories as we continue our efforts to control inventory investment while turning over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 accumulated during the first half of fiscal 2023 and a $22.8 million increase in accounts payable due to the timing of payments made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vendors, partially offset by a $20.3 million decrease in accrued compensation primarily related to the payment of our annual bonus in the first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2024 and a $46.9 million decrease in income taxes payable.</w:t>
      </w:r>
    </w:p>
    <w:p>
      <w:pPr>
        <w:spacing w:after="0" w:line="98"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2024, our days sales outstanding was 55 days compared to 60 days at the same period a year ago. Our annual inventory turns stayed consistent at four period over period.</w:t>
      </w:r>
    </w:p>
    <w:p>
      <w:pPr>
        <w:spacing w:after="0" w:line="5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Cash used in investing activities during the nine months ended March 2024 was $146.7 million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by investing activities of $28.1 million during the nine months ended March 2023. Net cash used in investing activities for the nine months ended March 2024 consisted of $130.0 million paid to Broadcom as a prepayment to acquire developed technologies and to extend the exclusivity for certain products for an additional three-year period, $16.6 million to purchase short-term investments and $26.1 million for purchases of property and equipment, partially offset by $26.0 million in proceeds from the maturities of our short-term investments.</w:t>
      </w:r>
    </w:p>
    <w:p>
      <w:pPr>
        <w:spacing w:after="0" w:line="7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March 2023 was $28.1 million and consisted of $15.5 million net cash paid to acquire Emza and $29.0 million for purchases of property and equipment, partially offset by $16.3 million proceeds from the maturities of our short-term investments.</w:t>
      </w:r>
    </w:p>
    <w:p>
      <w:pPr>
        <w:spacing w:after="0" w:line="6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Cash used in financing activities for the nine months ended March 2024 was $20.4 million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$134.2 million used by financing activities for the nine months ended March 2023. Net cash used by financing activities for the nine months ended March 2024 consisted of $33.7 million used for payroll taxes on the delivery of the underlying shares for share-based awards, partially offset by $15.9 million proceeds from issuance of shares.</w:t>
      </w:r>
    </w:p>
    <w:p>
      <w:pPr>
        <w:spacing w:after="0" w:line="72"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March 2023 was $134.2 million and consisted of $52.2 million used for payroll taxes on the delivery of the underlying shares for share-based awards, and $100.1 million used to repurchase our common stock, partially offset by $17.6 million proceeds from issuance of shares.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Common Stock Repurchase Program</w:t>
      </w:r>
      <w:r>
        <w:rPr>
          <w:rFonts w:ascii="Times New Roman" w:cs="Times New Roman" w:eastAsia="Times New Roman" w:hAnsi="Times New Roman"/>
          <w:sz w:val="18"/>
          <w:szCs w:val="18"/>
          <w:color w:val="auto"/>
        </w:rPr>
        <w:t>. As of April 2023, our board had cumulatively authorized $2.3 billion for our common stock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March 2024, we purchased, net of issuances for settlement of our convertible notes, 30,116,439 shares of our common stock in the open market for an aggregate cost of $878.0 million. During the nine months ended March 2024, we did not repurchase shares of our common stock. As of March 2024, the remaining available authorization under our common stock repurchase program was $893.9 million.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In March 2021, we completed an offering of $400.0 million aggregate principal amount of 4.0% senior notes due 2029, or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a private offering. The Senior Notes were issued pursuant to an Indenture, dated as of March 11, 2021, by and among our company, the guarantors named therein and Wells Fargo Bank, National Association, as trustee. The Senior Notes requires bi-annual interest only payments in June and December of each year. For the nine months ended March 2024, we paid interest expense of $8.0 million on the Senior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9" w:name="page30"/>
    <w:bookmarkEnd w:id="29"/>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Bank Credit Facility</w:t>
      </w:r>
      <w:r>
        <w:rPr>
          <w:rFonts w:ascii="Times New Roman" w:cs="Times New Roman" w:eastAsia="Times New Roman" w:hAnsi="Times New Roman"/>
          <w:sz w:val="18"/>
          <w:szCs w:val="18"/>
          <w:color w:val="auto"/>
        </w:rPr>
        <w:t>. On March 16, 2023, we entered into the Second Amendment, and on July 28, 2023, we entered into the Third Amendment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Credit Agreement, dated March 11, 2021. The Second Amendment replaces the LIBOR-based interest rate applicable to borrowings under the Credit Agreement with SOFR-based interest rate. The Third Amendment provides that the consolidated interest coverage ratio financial covenant only applies if, as of the last day of any fiscal quarter, our aggregate cash and cash equivalents balance is less than $450 million. 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March 2024, there was no balance outstanding under the revolving credit facility.</w:t>
      </w:r>
    </w:p>
    <w:p>
      <w:pPr>
        <w:spacing w:after="0" w:line="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 In December 2021, we entered into that certain First Amendment and Lender Joinder Agreement to the Credit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establish a new $600.0 million incremental term loan facility, or the Term Loan Facility. The Term Loan Facility was advanced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 For nine months ended March 2024, we repaid $6.0 million of the principal outstanding on the Term Loan Facility.</w:t>
      </w:r>
    </w:p>
    <w:p>
      <w:pPr>
        <w:spacing w:after="0" w:line="76" w:lineRule="exact"/>
        <w:rPr>
          <w:sz w:val="20"/>
          <w:szCs w:val="20"/>
          <w:color w:val="auto"/>
        </w:rPr>
      </w:pPr>
    </w:p>
    <w:p>
      <w:pPr>
        <w:ind w:left="520" w:right="40"/>
        <w:spacing w:after="0" w:line="281" w:lineRule="auto"/>
        <w:rPr>
          <w:sz w:val="20"/>
          <w:szCs w:val="20"/>
          <w:color w:val="auto"/>
        </w:rPr>
      </w:pPr>
      <w:r>
        <w:rPr>
          <w:rFonts w:ascii="Times New Roman" w:cs="Times New Roman" w:eastAsia="Times New Roman" w:hAnsi="Times New Roman"/>
          <w:sz w:val="18"/>
          <w:szCs w:val="18"/>
          <w:color w:val="auto"/>
        </w:rPr>
        <w:t>See “Note 12. Debt” in the Notes to the Unaudited Condensed Consolidated Financial Statements for additional information on our outstanding debt obligations.</w:t>
      </w:r>
    </w:p>
    <w:p>
      <w:pPr>
        <w:spacing w:after="0" w:line="53"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$100 Million Shelf Registration</w:t>
      </w:r>
      <w:r>
        <w:rPr>
          <w:rFonts w:ascii="Times New Roman" w:cs="Times New Roman" w:eastAsia="Times New Roman" w:hAnsi="Times New Roman"/>
          <w:sz w:val="18"/>
          <w:szCs w:val="18"/>
          <w:color w:val="auto"/>
        </w:rPr>
        <w:t>. We have registered an aggregate of $100.0 million of common stock and preferred stock for issuance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6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Working Capital Needs</w:t>
      </w:r>
      <w:r>
        <w:rPr>
          <w:rFonts w:ascii="Times New Roman" w:cs="Times New Roman" w:eastAsia="Times New Roman" w:hAnsi="Times New Roman"/>
          <w:sz w:val="18"/>
          <w:szCs w:val="18"/>
          <w:color w:val="auto"/>
        </w:rPr>
        <w:t>. We believe our existing cash and cash equivalents, anticipated cash flows from operating activities, anticipated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financing activities, and available credit under our revolving credit facility, will be sufficient to meet our working capital and other cash requirements, including small tuck-in acquisitions,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85"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material contractual obligations and commercial commitments as of March 2024 were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0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6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6"/>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6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tcBorders>
              <w:bottom w:val="single" w:sz="8" w:color="CFF0FC"/>
            </w:tcBorders>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Purchase obligations and other commitments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-187960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1540" w:hanging="514"/>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principal and interest payable through the maturity date of the underlying contractual obligation.</w:t>
      </w:r>
    </w:p>
    <w:p>
      <w:pPr>
        <w:spacing w:after="0" w:line="116" w:lineRule="exact"/>
        <w:rPr>
          <w:rFonts w:ascii="Times New Roman" w:cs="Times New Roman" w:eastAsia="Times New Roman" w:hAnsi="Times New Roman"/>
          <w:sz w:val="18"/>
          <w:szCs w:val="18"/>
          <w:color w:val="auto"/>
        </w:rPr>
      </w:pPr>
    </w:p>
    <w:p>
      <w:pPr>
        <w:ind w:left="520" w:right="240" w:firstLine="506"/>
        <w:spacing w:after="0" w:line="281" w:lineRule="auto"/>
        <w:tabs>
          <w:tab w:leader="none" w:pos="15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and other commitments include payments due for inventory purchase obligations with contract manufacturers, long-term software tool licenses, and other licenses.</w:t>
      </w:r>
    </w:p>
    <w:p>
      <w:pPr>
        <w:spacing w:after="0" w:line="55"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The amounts in the table above exclude gross unrecognized tax benefits related to uncertain tax positions of $43.6 million. As of March 2024, we were unable to make a reasonably reliable estimate of when cash settlement with a taxing authority may occur in connection with our gross unrecognized tax benefit.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Except as described below, as of March 30, 2024, our market risk related to interest rates on our cash and cash equivalents, and foreign currency exchange risks has not changed materially from the risks disclosed in Item 7A of our Annual Report on Form 10-K for the fiscal year ended June 24,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Debt</w:t>
      </w:r>
    </w:p>
    <w:p>
      <w:pPr>
        <w:spacing w:after="0" w:line="12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With our outstanding debt, we are exposed to various forms of market risk, including the potential losses arising from adverse changes in interest rates on our outstanding Term Loan Facility. See “Note 12. Debt” for further information.</w:t>
      </w:r>
    </w:p>
    <w:p>
      <w:pPr>
        <w:spacing w:after="0" w:line="55"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ultimate realized gain or loss with respect to interest rate fluctuations will depend on interest rates and the exposures that arise during the period. As an example, a hypothetical increase or decrease in the interest rate by 1% or 100 basis points, the quarterly interest expense would have increased or decreased by approximately $1.5 million based on the outstanding balance of our Term Loan as of March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Although many of the restrictions and containment measures implemented by governmental authorities in response to the COVID-19 pandemic have been lifted or scaled back, some of our employees, including many located in Israel as a result of the Israel-Hamas war, continue to work from home, or on a hybrid basis. Established business continuity plans remain in place in order to mitigate the impact to our control environment, operating procedures, data, and internal controls. The design of our processes and controls allows for remote execution with accessibility to secure data.</w:t>
      </w:r>
    </w:p>
    <w:p>
      <w:pPr>
        <w:spacing w:after="0" w:line="7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Principal Financial Officer, we conducted an evaluation of the effectiveness of the design and operation of our disclosure controls and procedures (as defined in Rules 13a-15(e) and 15d-15(e) under the Exchange Act). Based on this evaluation, our Chief Executive Officer and Principal Financial Officer, as of March 30, 2024,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Principal Financial Officer, as appropriate, to allow timely decisions regarding required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We assessed, with the participation of our Chief Executive Officer and Principal Financial Officer, any change in our internal control over financial reporting as of the end of the fiscal quarter covered by this Report.</w:t>
      </w:r>
    </w:p>
    <w:p>
      <w:pPr>
        <w:spacing w:after="0" w:line="55"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period ended March 2024, that have materially affected, or are reasonably likely to materially affect, our internal control over financial reporting.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52525"/>
        </w:rPr>
        <w:t xml:space="preserve">Investing in our common stock involves a high degree of risk. You should carefully consider the risks and uncertainties described below and all information contained in this report before you decide to invest in our common stock. </w:t>
      </w:r>
      <w:r>
        <w:rPr>
          <w:rFonts w:ascii="Times New Roman" w:cs="Times New Roman" w:eastAsia="Times New Roman" w:hAnsi="Times New Roman"/>
          <w:sz w:val="18"/>
          <w:szCs w:val="18"/>
          <w:color w:val="000000"/>
        </w:rPr>
        <w:t>Our business, financial condition, results of operations or prospects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could also be harmed by risks and uncertainties not currently known to us or that we currently do not believe are material. If any of the risks actually occur, our business, financial condition, cash flows, liquidity and results of operations could adversely impact our business. In that event, the market price of our common stock could decline, and you could lose part or all of your investment. </w:t>
      </w:r>
      <w:r>
        <w:rPr>
          <w:rFonts w:ascii="Times New Roman" w:cs="Times New Roman" w:eastAsia="Times New Roman" w:hAnsi="Times New Roman"/>
          <w:sz w:val="18"/>
          <w:szCs w:val="18"/>
          <w:color w:val="252525"/>
        </w:rPr>
        <w:t>Therefore, you should not consider the following discussion to be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complete statement of all the potential risks or uncertainties that we face.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Markets and Customers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on our solutions for the Core IoT, Enterprise and Automotive and Mobile product applications markets for a substantial portion of our revenue, and any downturn in sales of these products would adversely affect our business, revenue, operating results, and financial condition.</w:t>
      </w:r>
    </w:p>
    <w:p>
      <w:pPr>
        <w:spacing w:after="0" w:line="6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currently depend on our solutions for the Core IoT, Enterprise and Automotive and Mobile product applications markets for a substantial portion of our revenue. Any downturn in sales of our products into any of these markets would adversely affect our business, revenue, operating results, and financial condition. Similarly, a softening of demand in any of these markets, or a slowdown of growth in any of these markets because of changes in customer preferences, the emergence of applications not including our solutions, or other factors would cause our business, operating results, and financial position to suffer.</w:t>
      </w:r>
    </w:p>
    <w:p>
      <w:pPr>
        <w:spacing w:after="0" w:line="17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sales comes from one or more large customers, the loss of which could harm our business, financial condition, and operating results.</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two customers accounted for 22% of our net revenue in the third quarter of fiscal 2024. During the third quarter of fiscal 2024, we had two OEM customers that integrated our products into their products representing 20%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86"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7"/>
          <w:szCs w:val="17"/>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related to recessions, inflation, stagflation and other macroeconomic conditions.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Customer demand for our products may be impacted by weak macroeconomic conditions, inflation, stagflation, recessionary or lower-growth environments, rising interest rates, equity market volatility or other negative economic factors in the U.S. or other nations. For example, under these conditions or expectation of such conditions, our customers may cancel orders, delay purchasing decisions or reduce their use of our services. In addition, these economic conditions could result in higher inventory levels and the possibility of resulting excess capacity charges from our manufacturing partners if we need to slow production to reduce inventory levels. Further, in the event of a recession or threat of a recession, our manufacturing partners, suppliers, distributors, and other third-party partners may suffer their own financial and economic challenges, and as a result they may demand pricing accommodations, delay payment, or become insolvent, which could harm our ability to meet our customer demands or collect revenue or otherwise harm our business. Similarly, disruptions in financial and/or credit markets may impact our ability to manage normal commercial relationships with our manufacturing partners, customers, suppliers and creditors and might prevent us from accessing preferred sources of liquidity and causing our borrowing costs to potentially increase. Thus, if general macroeconomic conditions, conditions in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2" w:name="page33"/>
    <w:bookmarkEnd w:id="32"/>
    <w:p>
      <w:pPr>
        <w:ind w:right="500"/>
        <w:spacing w:after="0" w:line="281" w:lineRule="auto"/>
        <w:rPr>
          <w:sz w:val="20"/>
          <w:szCs w:val="20"/>
          <w:color w:val="auto"/>
        </w:rPr>
      </w:pPr>
      <w:r>
        <w:rPr>
          <w:rFonts w:ascii="Times New Roman" w:cs="Times New Roman" w:eastAsia="Times New Roman" w:hAnsi="Times New Roman"/>
          <w:sz w:val="18"/>
          <w:szCs w:val="18"/>
          <w:color w:val="auto"/>
        </w:rPr>
        <w:t>the semiconductor industry, or conditions in our customer end markets continue to deteriorate or experience a sustained period of weakness or slower growth, our business and financial results could be materially and adversely affected.</w:t>
      </w:r>
    </w:p>
    <w:p>
      <w:pPr>
        <w:spacing w:after="0" w:line="16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we are subject to risk from inflation and increasing market prices of certain components and supplies, which are incorporated into our end products or used by our manufacturing partners or suppliers to manufacture our end products. These components and supplies have, from time-to-time, become restricted. Additionally, general market factors and conditions have in the past, and may in the future, affect pricing of such components and supplies (such as inflation or supply chain constraints). See also, “Our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for other reasons.”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consumer electronics industry has experienced significant economic downturns at various times. These downturns are characterized by diminished product demand, accelerated erosion of average selling prices, production overcapacity, and increased inventory and credit risk.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7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We cannot assure you that our product solutions for new markets will be successful or that we will be able to continue to generate significant revenue from these markets.</w:t>
      </w:r>
    </w:p>
    <w:p>
      <w:pPr>
        <w:spacing w:after="0" w:line="50"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Our product solutions may not be successful in new markets. Various target markets for our product solutions, such as Core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growth of these markets;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technologies and product solutions to address the needs of these markets, the price and performance requirements of OEMs, and the preferences of end users; and</w:t>
      </w:r>
    </w:p>
    <w:p>
      <w:pPr>
        <w:spacing w:after="0" w:line="54"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OEMs with solutions that provide advantages in terms of size, power consumption, reliability, durability, performance, and value-added features compared with alternative solutions.</w:t>
      </w:r>
    </w:p>
    <w:p>
      <w:pPr>
        <w:spacing w:after="0" w:line="16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17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and build relationships with our customers, or our customers’ products that utilize our solutions do not gain widespread market acceptance, our revenue may stagnate or decline.</w:t>
      </w:r>
    </w:p>
    <w:p>
      <w:pPr>
        <w:spacing w:after="0" w:line="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do not sell any products to end users and we do not control or influence the manufacture, promotion, distribution, or pricing of the products that incorporate our solutions. Instead, we design various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solutions. Even if our technologies successfully meet our customers' price and performance goals, our sales could decline or fail to develop if our customers do not achieve commercial success in selling their products that incorporate our solutions.</w:t>
      </w:r>
    </w:p>
    <w:p>
      <w:pPr>
        <w:spacing w:after="0" w:line="18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must maintain our relationships with our existing customers and expand our relationships with OEMs in new markets. Our customers generally do not provide us with firm, long-term volume purchase commitments, opting instead to issue purchase orders that they can cancel, reduce, or delay, subject to certain limitations. In order to meet the expectations of our customers, we must provide innovative solutions on a timely and cost-effective basis. This requires us to match our design and production capacity with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3" w:name="page34"/>
    <w:bookmarkEnd w:id="33"/>
    <w:p>
      <w:pPr>
        <w:ind w:right="180"/>
        <w:spacing w:after="0" w:line="281" w:lineRule="auto"/>
        <w:rPr>
          <w:sz w:val="20"/>
          <w:szCs w:val="20"/>
          <w:color w:val="auto"/>
        </w:rPr>
      </w:pPr>
      <w:r>
        <w:rPr>
          <w:rFonts w:ascii="Times New Roman" w:cs="Times New Roman" w:eastAsia="Times New Roman" w:hAnsi="Times New Roman"/>
          <w:sz w:val="18"/>
          <w:szCs w:val="18"/>
          <w:color w:val="auto"/>
        </w:rPr>
        <w:t>customer demand, maintain satisfactory delivery schedules, and meet performance goals. If we are unable to achieve these goals for any reason, our sales may decline or fail to develop, which would result in decreasing revenue.</w:t>
      </w:r>
    </w:p>
    <w:p>
      <w:pPr>
        <w:spacing w:after="0" w:line="163"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solutions. Our failure to identify potential growth opportunities in the markets in which we operate, particularly in the Core IoT market, or our failure to establish and maintain relationships with OEMs in those markets, would prevent our business from growing in those markets.</w:t>
      </w:r>
    </w:p>
    <w:p>
      <w:pPr>
        <w:spacing w:after="0" w:line="286"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other reasons.</w:t>
      </w:r>
    </w:p>
    <w:p>
      <w:pPr>
        <w:spacing w:after="0" w:line="17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expect that the average unit selling prices of our products will continue to be subject to significant pricing pressures. In addition, our more recently introduced products tend to have higher associated costs because of initial overall development and production expenses. Therefore, over time, we may not be able to maintain or improve our gross margins. Our financial results could suffer if we are unable to offset any reductions in our average selling prices by other cost reductions through efficiencies, introduction of higher margin products and other means.</w:t>
      </w:r>
    </w:p>
    <w:p>
      <w:pPr>
        <w:spacing w:after="0" w:line="1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attract new customers or retain existing customers, we may offer certain price concessions to certain customers, which could cause our average selling prices and gross margins to decline. In the past, we have reduced the average selling prices of our products in anticipation of future competitive pricing pressures, new product introductions by us or by our competitors and other factors. We expect to continue to have to reduce prices of existing products in the future. Moreover, because of the wide price differences across the markets we serve, the mix and types of performance capabilities of our products sold may affect the average selling prices of our products and have a substantial impact on our revenue and gross margin. We may enter new markets in which a significant amount of competition exists, and this may require us to sell our products with lower gross margins than we earn in our established businesses. If we are successful in growing revenue in these markets, our overall gross margin may decline. Fluctuations in the mix and types of our products may also affect the extent to which we are able to recover the fixed costs and investments associated with a particular product, and as a result may harm our financial results.</w:t>
      </w:r>
    </w:p>
    <w:p>
      <w:pPr>
        <w:spacing w:after="0" w:line="1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Additionally, because we do not operate our own manufacturing, assembly, testing or packaging facilities, we are not able to reduce our costs as rapidly as companies that operate their own facilities and our costs may even increase, which could also reduce our gross margins. Our gross margin could also be impacted, for example, by the following factors: increased costs (including increased costs caused by tariffs, inflation, higher interest rates, or supply chain constraints); loss of cost savings if parts ordering does not correctly anticipate product demand or if the financial health of either our manufacturers partners or our suppliers deteriorates; excess inventory, or inventory holding and obsolescence charges. In addition, we are subject to risks from fluctuating market prices of certain components, which are incorporated into our products or used by our suppliers to manufacture our products. Supplies of these components may from time-to-time become restricted, or general market factors and conditions such as inflation or supply chain constraints have in the past affected and may in the future affect pricing of such commodities. Any increase in the price of components used in our products will adversely affect our gross margins.</w:t>
      </w:r>
    </w:p>
    <w:p>
      <w:pPr>
        <w:spacing w:after="0" w:line="18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order and shipment uncertainties. If we are unable to accurately predict customer demand, we may hold excess or obsolete inventory, which would reduce our gross margin. Conversely, we may have insufficient inventory or be unable to obtain the supplies or contract manufacturing capacity to meet that demand, which would result in lost revenue opportunities and potential loss of market share as well as damaged customer relationships.</w:t>
      </w:r>
    </w:p>
    <w:p>
      <w:pPr>
        <w:spacing w:after="0" w:line="1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typically sell products pursuant to purchase orders rather than long-term purchase commitments. Some of our customers have, and others may in the future, cancel or defer purchase orders on short notice without incurring a significant penalty. In addition, customers who have purchase commitments may not honor those commitments. Due to their inability to predict demand or other reasons during our fiscal 2024, some of our customers have accumulated excess inventories and, as a consequence, they either have deferred or they may defer future purchases of our products. We cannot accurately predict what or how many products our customers will need in the future. Anticipating demand is difficult because our customers face unpredictable demand for their own products and are increasingly focused more on cash preservation and tighter inventory management.</w:t>
      </w:r>
    </w:p>
    <w:p>
      <w:pPr>
        <w:spacing w:after="0" w:line="186"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place orders with our suppliers based on forecasts of customer demand and, in some instances, may establish buffer inventories to accommodate anticipated demand. Our forecasts are based on multiple assumptions, each of which may introduce error into our estimates. For example, our ability to accurately forecast customer demand may be impaired by the delays inherent in our customer’s product development processes, which may include extensive qualification and testing of components included in their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t>products, including ours. In many cases, they design their products to use components from multiple suppliers. This creates the risk that our customers may decide to cancel or change product plans for products incorporating our semiconductor solutions prior to completion, which makes it even more difficult to forecast customer demand. In addition, while many of our customers are subject to purchase orders or other agreements that do not allow for cancellation, there can be no assurance that these customers will honor these contract terms and cancellation of these orders may adversely affect our business operations and demand forecast which is the basis for us to have products made.</w:t>
      </w:r>
    </w:p>
    <w:p>
      <w:pPr>
        <w:spacing w:after="0" w:line="182"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Our products are incorporated into complex devices and systems, which creates supply chain cross-dependencies. Due to cross dependencies, supply chain disruptions have in the past, and may in the future, negatively impact the demand for our products. We have a limited ability to predict the timing of a supply chain correction. If we cannot predict future customer demand or supply chain disruptions, then we may hold excess or obsolete inventory.</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Moreover, significant supply chain disruption may negatively impact the timing of our product shipments and revenue shipment linearity, which may impact and extend our cash conversion cycle. In addition, the market share of our customers could be adversely impacted on a long-term basis due to any continued supply chain disruption, which could negatively affect our results of operations.</w:t>
      </w:r>
    </w:p>
    <w:p>
      <w:pPr>
        <w:spacing w:after="0" w:line="18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overestimate customer demand, our excess or obsolete inventory may increase significantly, which would reduce our gross margin and adversely affect our financial results. The risk of obsolescence and/or excess inventory is heightened for semiconductor solutions due to the rapidly changing market for these types of products. Conversely, if we underestimate customer demand or if insufficient manufacturing capacity is available, we would miss revenue opportunities and potentially lose market share and damage our customer relationships. In addition, any future significant cancellations or deferrals of product orders, or the return of previously sold products, could materially and adversely affect our profit margins, increase product obsolescence and restrict our ability to fund our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Supply Chain</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5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depend on our contract manufacturers and semiconductor fabricators to maintain high levels of productivity and satisfactory delivery schedules at manufacturing and assembly facilities located primarily in Asia. We provide our contract manufacturers with six-month rolling forecasts of our production requirements. We generally do not, however, have long-term agreements with our contract manufacturers that guarantee production capacity, prices, lead times, or delivery schedules. If end customer demand declines, these long-term capacity agreements could result in significant write-downs of inventory.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enable us to meet our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w:t>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Shortages of components and materials may delay or reduce our sales and increase our costs, thereby harming our operating results.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Product Development</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lengthy development periods and product acceptance cycles, which can result in development and engineering costs without any future revenue.</w:t>
      </w:r>
    </w:p>
    <w:p>
      <w:pPr>
        <w:spacing w:after="0" w:line="5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provide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markets in which we operate, the emergence of new products not including our product solutions, rapid changes in the markets in which we operate, and competitive pressures may result in lower demand for our product solutions and reduced unit margins.</w:t>
      </w:r>
    </w:p>
    <w:p>
      <w:pPr>
        <w:spacing w:after="0" w:line="18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keep pace with technological innovations, our products may not remain competitive and our revenue and operating results may suffer.</w:t>
      </w:r>
    </w:p>
    <w:p>
      <w:pPr>
        <w:spacing w:after="0" w:line="13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may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solutions.</w:t>
      </w:r>
    </w:p>
    <w:p>
      <w:pPr>
        <w:spacing w:after="0" w:line="1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6" w:name="page37"/>
    <w:bookmarkEnd w:id="36"/>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right="500" w:firstLine="509"/>
        <w:spacing w:after="0" w:line="265" w:lineRule="auto"/>
        <w:rPr>
          <w:sz w:val="20"/>
          <w:szCs w:val="20"/>
          <w:color w:val="auto"/>
        </w:rPr>
      </w:pPr>
      <w:r>
        <w:rPr>
          <w:rFonts w:ascii="Times New Roman" w:cs="Times New Roman" w:eastAsia="Times New Roman" w:hAnsi="Times New Roman"/>
          <w:sz w:val="18"/>
          <w:szCs w:val="18"/>
          <w:color w:val="auto"/>
        </w:rPr>
        <w:t>Our future operating results will depend to a significant extent on our ability to continue to provide new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6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development of new solutions for customer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advances in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quality standards;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advantages;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cost-effective solutions;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the design and introduction of new solutions.</w:t>
      </w:r>
    </w:p>
    <w:p>
      <w:pPr>
        <w:spacing w:after="0" w:line="225"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Our inability to enhance our existing product solutions and develop new product solutions on a timely basis could harm our operating results and impede our growth.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in Israel may materially and adversely affect our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employees located in Israel. As a result, political, economic and military conditions in Israel may directly affect our business. In October 2023, Hamas conducted several terrorist attacks in Israel resulting in the Israel-Hamas war, forcing the closure of our offices in Israel for several days. Recent conflicts between Iran and Israel may escalate into a wider Middle East crisis, further impacting regional stability</w:t>
      </w:r>
      <w:r>
        <w:rPr>
          <w:rFonts w:ascii="Arial" w:cs="Arial" w:eastAsia="Arial" w:hAnsi="Arial"/>
          <w:sz w:val="18"/>
          <w:szCs w:val="18"/>
          <w:color w:val="0D0D0D"/>
        </w:rPr>
        <w:t>.</w:t>
      </w:r>
      <w:r>
        <w:rPr>
          <w:rFonts w:ascii="Times New Roman" w:cs="Times New Roman" w:eastAsia="Times New Roman" w:hAnsi="Times New Roman"/>
          <w:sz w:val="18"/>
          <w:szCs w:val="18"/>
          <w:color w:val="auto"/>
        </w:rPr>
        <w:t xml:space="preserve"> Any armed conflicts, terrorist activities or political instability involving Israel or other countries in the region could adversely affect our business, results of operations, financial condition, cash flows and prospects. Although the Israeli Government currently covers the reinstatement value of direct damages that are caused by terrorist attacks or acts of war, we cannot ensure stockholders that this coverage will be maintained or will be adequate in the event we submit a claim.</w:t>
      </w:r>
    </w:p>
    <w:p>
      <w:pPr>
        <w:spacing w:after="0" w:line="77" w:lineRule="exact"/>
        <w:rPr>
          <w:sz w:val="20"/>
          <w:szCs w:val="20"/>
          <w:color w:val="auto"/>
        </w:rPr>
      </w:pPr>
    </w:p>
    <w:p>
      <w:pPr>
        <w:ind w:right="120" w:firstLine="554"/>
        <w:spacing w:after="0" w:line="255" w:lineRule="auto"/>
        <w:rPr>
          <w:sz w:val="20"/>
          <w:szCs w:val="20"/>
          <w:color w:val="auto"/>
        </w:rPr>
      </w:pPr>
      <w:r>
        <w:rPr>
          <w:rFonts w:ascii="Times New Roman" w:cs="Times New Roman" w:eastAsia="Times New Roman" w:hAnsi="Times New Roman"/>
          <w:sz w:val="18"/>
          <w:szCs w:val="18"/>
          <w:color w:val="auto"/>
        </w:rPr>
        <w:t>Our operations could also be disrupted by the absence for significant periods of one or more key employees or a significant number of other employees because of military service. Some of our employees in Israel are obliged to perform military reserve duty, and in certain emergency circumstances, employees may be called to immediate and unlimited active duty. In October 2023, a number of our employees in Israel were activated for military duty, and although they have returned full-time to the office, some or all of them may be re-activated if the Israel-Hamas war continues. While we have business continuity plans in place to address the safety of our employees and to continue product development in the event of reduced employee availability in the region during the war, any of the foregoing circumstances could have a material adverse effect on our business, results of operations, financial condition, cash flows and prospects.</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we become subject to product returns or claims resulting from defects in our products, we may incur significant costs resulting in a decrease in revenue.</w:t>
      </w:r>
    </w:p>
    <w:p>
      <w:pPr>
        <w:spacing w:after="0" w:line="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develop complex products in an evolving marketplace and generally warrant our products for a period of 12 months from the date of delivery. Despite testing by us and our customers, defects may be found in existing or new products. We handle product quality matters sustainably by working on a one-on-one basis with our customers. We have never formally recalled a product or had a mass defect that affected an entire product line. Nevertheless,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finance the growth of our business and the development of new products, which could have an adverse effect on our operating results.</w:t>
      </w:r>
    </w:p>
    <w:p>
      <w:pPr>
        <w:spacing w:after="0" w:line="121"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7" w:name="page38"/>
    <w:bookmarkEnd w:id="37"/>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From time-to-time, we may seek additional equity or debt financing to provide for funds required to expand our business, including through acquisitions. We cannot predict the timing or amount of any such requirements at this time. If such financing is not available 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International Sales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import, export and economic sanction laws may expose us to liability, increase our costs and adversely affect our operating results.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operating results.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operating results.</w:t>
      </w:r>
    </w:p>
    <w:p>
      <w:pPr>
        <w:spacing w:after="0" w:line="18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Changes to international trade policy and rising concerns of international tariffs, including tariffs applied to goods traded between the U.S. and China, could materially and adversely affect our business and results of operations.</w:t>
      </w:r>
    </w:p>
    <w:p>
      <w:pPr>
        <w:spacing w:after="0" w:line="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product solutions. Any interruptions to supply could result in delay or cancellation of our products, which could adversely affect our business and operating results.</w:t>
      </w:r>
    </w:p>
    <w:p>
      <w:pPr>
        <w:spacing w:after="0" w:line="182"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Our manufacturing and assembly operations are primarily conducted in Taiwan, China, and Korea by contract manufacturers and semiconductor fabricators. We have sales and logistics operations in Hong Kong, and sales and engineering design support operations in China, France, Germany, India, Israel, Japan, Korea, Poland, Switzerland, Taiwan, and the U.K. These international operations expose us to various economic, political, regulatory, and other risks that could adversely affect our operations and operating results, including the following:</w:t>
      </w:r>
    </w:p>
    <w:p>
      <w:pPr>
        <w:spacing w:after="0" w:line="7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a multinational organization;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environmental laws and regulations, including in response to climate change;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38" w:name="page39"/>
    <w:bookmarkEnd w:id="38"/>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employee turnover or labor unrest;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collecting accounts receivable;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compliance with a variety of foreign laws;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currency exchange rates;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certain parts of the world;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earthquakes or tsunamis.</w:t>
      </w:r>
    </w:p>
    <w:p>
      <w:pPr>
        <w:spacing w:after="0" w:line="225"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could be adversely affected by fluctuations in the value of the U.S. dollar against foreign currencies.</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w:t>
      </w:r>
    </w:p>
    <w:p>
      <w:pPr>
        <w:spacing w:after="0" w:line="17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Employees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key personnel who would be difficult to replace, and our business will likely be harmed if we lose their services or cannot hire additional qualified personnel.</w:t>
      </w:r>
    </w:p>
    <w:p>
      <w:pPr>
        <w:spacing w:after="0" w:line="5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substantially on the efforts and abilities of our senior management and other key personnel. The competition for qualified management and key personnel, especially engineers, is intense.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U.S., could delay the development and sale of our products, disrupt our business, and interfere with our ability to execute our business plan.</w:t>
      </w:r>
    </w:p>
    <w:p>
      <w:pPr>
        <w:spacing w:after="0" w:line="18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33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compete successfully and continue growing as a company depends on our ability to adequately protect our proprietary technology and confidential information.</w:t>
      </w:r>
    </w:p>
    <w:p>
      <w:pPr>
        <w:spacing w:after="0" w:line="5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We protect our proprietary technology and confidential information through the use of patents, trade secrets, trademarks, copyrights, confidentiality agreements and other contractual provisions. The process of seeking patent protection is lengthy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9" w:name="page40"/>
    <w:bookmarkEnd w:id="39"/>
    <w:p>
      <w:pPr>
        <w:ind w:right="220"/>
        <w:spacing w:after="0" w:line="255" w:lineRule="auto"/>
        <w:rPr>
          <w:sz w:val="20"/>
          <w:szCs w:val="20"/>
          <w:color w:val="auto"/>
        </w:rPr>
      </w:pPr>
      <w:r>
        <w:rPr>
          <w:rFonts w:ascii="Times New Roman" w:cs="Times New Roman" w:eastAsia="Times New Roman" w:hAnsi="Times New Roman"/>
          <w:sz w:val="18"/>
          <w:szCs w:val="18"/>
          <w:color w:val="auto"/>
        </w:rPr>
        <w:t>expensive. Further, there can be no assurance that even if a patent is issued, that it will not be challenged, invalidated, or circumvented, or that the rights granted under the patents will provide us with meaningful protection or any commercial advantage. Failure to obtain trademark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U.S.</w:t>
      </w:r>
    </w:p>
    <w:p>
      <w:pPr>
        <w:spacing w:after="0" w:line="18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that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89"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We may pursue, and from time-to-time defend, litigation to enforce our intellectual property rights, to protect our trade secrets, and to determine the validity and scope of the proprietary rights of others. Litigation whether successful or unsuccessful, could result in substantial costs and diversion of resources, which could have a material adverse effect on our business, financial condition, and operating results.</w:t>
      </w:r>
    </w:p>
    <w:p>
      <w:pPr>
        <w:spacing w:after="0" w:line="17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our technologies and products do not and will not infringe issued patents or other third-party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81" w:lineRule="exact"/>
        <w:rPr>
          <w:sz w:val="20"/>
          <w:szCs w:val="20"/>
          <w:color w:val="auto"/>
        </w:rPr>
      </w:pPr>
    </w:p>
    <w:p>
      <w:pPr>
        <w:jc w:val="both"/>
        <w:ind w:right="220" w:firstLine="509"/>
        <w:spacing w:after="0" w:line="280" w:lineRule="auto"/>
        <w:rPr>
          <w:sz w:val="20"/>
          <w:szCs w:val="20"/>
          <w:color w:val="auto"/>
        </w:rPr>
      </w:pPr>
      <w:r>
        <w:rPr>
          <w:rFonts w:ascii="Times New Roman" w:cs="Times New Roman" w:eastAsia="Times New Roman" w:hAnsi="Times New Roman"/>
          <w:sz w:val="17"/>
          <w:szCs w:val="17"/>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 Any breach or violation of the terms and conditions specified in these license agreements could have significant adverse consequences on our operations and financial performance and may result in legal action, monetary penalties, or the termination of the license, which would impact our ability to offer certain products or services</w:t>
      </w:r>
      <w:r>
        <w:rPr>
          <w:rFonts w:ascii="Arial" w:cs="Arial" w:eastAsia="Arial" w:hAnsi="Arial"/>
          <w:sz w:val="15"/>
          <w:szCs w:val="15"/>
          <w:color w:val="auto"/>
        </w:rPr>
        <w:t>.</w:t>
      </w:r>
    </w:p>
    <w:p>
      <w:pPr>
        <w:spacing w:after="0" w:line="166"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that we undertake could be difficult to integrate, disrupt our business, dilute stockholder value, and harm our operating results.</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expect to continue to pursue opportunities to acquire other businesses and technologies in order to complement our current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0" w:name="page41"/>
    <w:bookmarkEnd w:id="40"/>
    <w:p>
      <w:pPr>
        <w:ind w:right="40"/>
        <w:spacing w:after="0" w:line="258" w:lineRule="auto"/>
        <w:rPr>
          <w:sz w:val="20"/>
          <w:szCs w:val="20"/>
          <w:color w:val="auto"/>
        </w:rPr>
      </w:pPr>
      <w:r>
        <w:rPr>
          <w:rFonts w:ascii="Times New Roman" w:cs="Times New Roman" w:eastAsia="Times New Roman" w:hAnsi="Times New Roman"/>
          <w:sz w:val="18"/>
          <w:szCs w:val="18"/>
          <w:color w:val="auto"/>
        </w:rPr>
        <w:t>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7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core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strain on our financial and managerial controls, reporting systems and procedures;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liabilities which we agree to assume;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acquisition;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operations, technologies, or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and businesses in which we have little or no prior experience;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acquired businesses to achieve expected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customers, suppliers, or personnel of acquired businesses;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to create uniform standards, controls, procedures, policies, and information systems.</w:t>
      </w:r>
    </w:p>
    <w:p>
      <w:pPr>
        <w:spacing w:after="0" w:line="22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material environmental liabilities as a result of prior operations at an acquired company.</w:t>
      </w:r>
    </w:p>
    <w:p>
      <w:pPr>
        <w:spacing w:after="0" w:line="13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 in July 2017 of Conexant Systems,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2"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Factors Related to Our Indebtedness</w:t>
      </w:r>
    </w:p>
    <w:p>
      <w:pPr>
        <w:spacing w:after="0" w:line="225"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color w:val="auto"/>
        </w:rPr>
        <w:t>Our indebtedness could adversely affect our financial condition or operating flexibility and prevent us from fulfilling our obligations outstanding under our credit agreement, our 4.000% senior notes due 2029, or the Senior Notes, and other indebtedness we may incur from time-to-time.</w:t>
      </w:r>
    </w:p>
    <w:p>
      <w:pPr>
        <w:spacing w:after="0" w:line="2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March 11, 2021, we completed the offering of the Senior Notes in the aggregate principal amount of $400.0 million, with a corresponding amendment and restatement of our credit agreement, or as amended and supplemented, the Credit Agreement, with the lenders party thereto, or the Lenders, and Wells Fargo Bank, National Association, or the Administrative Agent, as administrative agent for the Lenders. The Senior Notes include a mandatory semi-annual payment of a 4.000% coupon. We are permitted under the indenture governing our Senior Notes and the Credit Agreement to incur additional debt under certain conditions, including additional secured debt. If new debt were to be incurred in the future, the related risks that we now face could intensify.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level of indebtedness could have significant consequences on our future operations, including:</w:t>
      </w:r>
    </w:p>
    <w:p>
      <w:pPr>
        <w:spacing w:after="0" w:line="117" w:lineRule="exact"/>
        <w:rPr>
          <w:sz w:val="20"/>
          <w:szCs w:val="20"/>
          <w:color w:val="auto"/>
        </w:rPr>
      </w:pPr>
    </w:p>
    <w:p>
      <w:pPr>
        <w:ind w:left="1020" w:right="18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payment and other obligations under the Notes, the Credit Agreement, or our other outstanding debt from time-to-time;</w:t>
      </w:r>
    </w:p>
    <w:p>
      <w:pPr>
        <w:spacing w:after="0" w:line="54"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risking an event of default if we fail to comply with the financial and other covenants contained in the Notes indenture or the Credit Agreement, which could result in the Senior Notes or any outstanding bank debt becoming immediately due and payable and could permit the lenders under the Credit Agreement to foreclose on the assets securing such bank debt;</w:t>
      </w:r>
    </w:p>
    <w:p>
      <w:pPr>
        <w:spacing w:after="0" w:line="69"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debt with variable interest rates, including the debt that we may incur under the Credit Agreement;</w:t>
      </w:r>
    </w:p>
    <w:p>
      <w:pPr>
        <w:spacing w:after="0" w:line="54" w:lineRule="exact"/>
        <w:rPr>
          <w:rFonts w:ascii="Times New Roman" w:cs="Times New Roman" w:eastAsia="Times New Roman" w:hAnsi="Times New Roman"/>
          <w:sz w:val="18"/>
          <w:szCs w:val="18"/>
          <w:color w:val="auto"/>
        </w:rPr>
      </w:pPr>
    </w:p>
    <w:p>
      <w:pPr>
        <w:ind w:left="1020" w:right="22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54" w:lineRule="exact"/>
        <w:rPr>
          <w:rFonts w:ascii="Times New Roman" w:cs="Times New Roman" w:eastAsia="Times New Roman" w:hAnsi="Times New Roman"/>
          <w:sz w:val="18"/>
          <w:szCs w:val="18"/>
          <w:color w:val="auto"/>
        </w:rPr>
      </w:pPr>
    </w:p>
    <w:p>
      <w:pPr>
        <w:ind w:left="1020" w:right="22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Our business may not generate sufficient cash flow from operations and future borrowings may not be available to us under the Credit Agreement, the indenture governing the Senior Notes or otherwise in an amount sufficient to enable us to pay our debt or to fund our other liquidity needs.</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Rising interest rates increase the cost of our outstanding borrowings under our Term Loan Facility and could adversely affect our net income or loss.</w:t>
      </w:r>
    </w:p>
    <w:p>
      <w:pPr>
        <w:spacing w:after="0" w:line="158"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Our Term Loan Facility is a variable-rate obligation that exposes us to interest rate risk. When interest rates increase, our debt service obligations and our interest expense increase, even if our outstanding borrowings remain the same. Our net income and cash flows, including cash available for servicing indebtedness, will correspondingly decrease.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covenants in the Credit Agreement and Senior Notes impose restrictions that may limit our operating and financial flexibility.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 (viii) amend, modify, prepay or redeem subordinated indebtedness; (ix) enter into certain restrictive agreements; and (x) engage in a new line of business. In addition, the Credit Agreement contains financial covenants that (i) require the ratio of the amount of our consolidated total indebtedness to consolidated EBITDA to be less than certain maximum ratio levels, and (ii) require the ratio of the amount of our consolidated EBITDA to consolidated interest expense to be greater than a certain minimum ratio level.</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2" w:name="page43"/>
    <w:bookmarkEnd w:id="42"/>
    <w:p>
      <w:pPr>
        <w:ind w:right="440"/>
        <w:spacing w:after="0" w:line="281" w:lineRule="auto"/>
        <w:rPr>
          <w:sz w:val="20"/>
          <w:szCs w:val="20"/>
          <w:color w:val="auto"/>
        </w:rPr>
      </w:pPr>
      <w:r>
        <w:rPr>
          <w:rFonts w:ascii="Times New Roman" w:cs="Times New Roman" w:eastAsia="Times New Roman" w:hAnsi="Times New Roman"/>
          <w:sz w:val="18"/>
          <w:szCs w:val="18"/>
          <w:color w:val="auto"/>
        </w:rPr>
        <w:t>addition, complying with these covenants may also cause us to take actions that may make it more difficult for us to successfully execute our business strategy and compete against companies that are not subject to such restrictions.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0"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The failure to manage our planned growth effectively could strain our resources, which would impede our ability to increase revenue. We have increased the number of our solutions in the past and may plan to further expand the number and diversity of our solutions and their use in the future. Our ability to manage our planned diversification and growth effectively will require us to:</w:t>
      </w:r>
    </w:p>
    <w:p>
      <w:pPr>
        <w:spacing w:after="0" w:line="6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hire, train, retain, and motivate additional employees, including employees outside the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plan, expand, or cost-effectively reduce our facilities to meet headcount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global operational, financial, and management infrastructure;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development and production capacity.</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expansion and diversification of our product and customer base, we may increase our personnel and make other expenditures to meet demand for our expanding product offerings, including offerings in the Core IoT market, the Enterprise and Automotive applications market, and the Mobile product applications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security breaches or cyberattacks.</w:t>
      </w:r>
    </w:p>
    <w:p>
      <w:pPr>
        <w:spacing w:after="0" w:line="229"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15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3" w:name="page44"/>
    <w:bookmarkEnd w:id="43"/>
    <w:p>
      <w:pPr>
        <w:ind w:right="140"/>
        <w:spacing w:after="0" w:line="265" w:lineRule="auto"/>
        <w:rPr>
          <w:sz w:val="20"/>
          <w:szCs w:val="20"/>
          <w:color w:val="auto"/>
        </w:rPr>
      </w:pPr>
      <w:r>
        <w:rPr>
          <w:rFonts w:ascii="Times New Roman" w:cs="Times New Roman" w:eastAsia="Times New Roman" w:hAnsi="Times New Roman"/>
          <w:sz w:val="18"/>
          <w:szCs w:val="18"/>
          <w:color w:val="auto"/>
        </w:rPr>
        <w:t>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effective tax rate may be volatile from period to period and impact our net income.</w:t>
      </w:r>
    </w:p>
    <w:p>
      <w:pPr>
        <w:spacing w:after="0" w:line="20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 number of factors can drive volatility in our effective tax rate from period to period, which could cause significant variability in our financial results and cash payments including:</w:t>
      </w:r>
    </w:p>
    <w:p>
      <w:pPr>
        <w:spacing w:after="0" w:line="68"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and mix of profits earned and location of assets across jurisdictions with varying tax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or legal entity operating structure;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including payment of interest and penalties;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statute of limitation;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valuation of deferred tax assets and liabilities, and in the valuation allowance for deferred tax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our estimated taxes and provision for income taxes upon finalization of tax returns;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impairments of goodwill;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 including foreign tax credits, US R&amp;D credits and refundable tax credits;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or foreign tax laws or their interpretation, including the global implementation of a minimum tax under Pillar Two of the OECD Base Erosion and Profit Sharing (the "BEPS") 2.0 initiative;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GAAP; and</w:t>
      </w:r>
    </w:p>
    <w:p>
      <w:pPr>
        <w:spacing w:after="0" w:line="116"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repatriate non-US earnings for which we have not previously provided for incremental taxes including any local country withholding taxes incurred upon repatriation.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governmental laws, regulations and other legal obligations related to privacy and data protection.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collect, use, and store personally identifiable information, or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our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charter documents and Delaware law could make it more difficult for a third-party to acquire us and discourage a takeover.</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third-party’s efforts in, replacing a majority of directors.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wide fluctuations in response to various factors, including the following:</w:t>
      </w:r>
    </w:p>
    <w:p>
      <w:pPr>
        <w:spacing w:after="0" w:line="5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industry or securities analysts or our failure to meet such estimates;</w:t>
      </w:r>
    </w:p>
    <w:p>
      <w:pPr>
        <w:spacing w:after="0" w:line="116"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market factors or perceived market factors, including rumors, whether or not correct, involving us, our customers, our suppliers, our competitors, or a potential acquisition of our company;</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or new pricing policies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alliances by us, our competitors, or our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orders;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held by investors;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federal and state laws and regulations affecting our industry; and</w:t>
      </w:r>
    </w:p>
    <w:p>
      <w:pPr>
        <w:spacing w:after="0" w:line="116" w:lineRule="exact"/>
        <w:rPr>
          <w:rFonts w:ascii="Times New Roman" w:cs="Times New Roman" w:eastAsia="Times New Roman" w:hAnsi="Times New Roman"/>
          <w:sz w:val="18"/>
          <w:szCs w:val="18"/>
          <w:color w:val="auto"/>
        </w:rPr>
      </w:pPr>
    </w:p>
    <w:p>
      <w:pPr>
        <w:ind w:left="1020" w:right="18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financial market conditions or occurrences, including market volatility resulting from geopolitical risks, and rivalries, acts of war, terrorist attacks, cybersecurity attacks, health pandemics, financial market technological glitches and interruptions of trading activity.</w:t>
      </w:r>
    </w:p>
    <w:p>
      <w:pPr>
        <w:spacing w:after="0" w:line="139" w:lineRule="exact"/>
        <w:rPr>
          <w:sz w:val="20"/>
          <w:szCs w:val="20"/>
          <w:color w:val="auto"/>
        </w:rPr>
      </w:pPr>
    </w:p>
    <w:p>
      <w:pPr>
        <w:ind w:right="400" w:firstLine="509"/>
        <w:spacing w:after="0" w:line="260" w:lineRule="auto"/>
        <w:rPr>
          <w:sz w:val="20"/>
          <w:szCs w:val="20"/>
          <w:color w:val="auto"/>
        </w:rPr>
      </w:pPr>
      <w:r>
        <w:rPr>
          <w:rFonts w:ascii="Times New Roman" w:cs="Times New Roman" w:eastAsia="Times New Roman" w:hAnsi="Times New Roman"/>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1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6" w:right="479" w:bottom="1440" w:gutter="0" w:footer="0" w:header="0"/>
        </w:sectPr>
      </w:pPr>
    </w:p>
    <w:bookmarkStart w:id="45" w:name="page46"/>
    <w:bookmarkEnd w:id="45"/>
    <w:p>
      <w:pPr>
        <w:ind w:right="412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From April 2005 through April 2023, our Board of Directors cumulatively authorized the repurchase of up to $2.3 billion of our common stock under our stock repurchase program, which will expire at the end of July 2025. As of March 2024, the remaining amount authorized for the repurchase of our common stock was $893.9 million. During the three months ended March 2024, we did not repurchase any shares under our common stock repurchase program.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firstLine="554"/>
        <w:spacing w:after="0" w:line="265" w:lineRule="auto"/>
        <w:rPr>
          <w:sz w:val="20"/>
          <w:szCs w:val="20"/>
          <w:color w:val="auto"/>
        </w:rPr>
      </w:pPr>
      <w:r>
        <w:rPr>
          <w:rFonts w:ascii="Times New Roman" w:cs="Times New Roman" w:eastAsia="Times New Roman" w:hAnsi="Times New Roman"/>
          <w:sz w:val="18"/>
          <w:szCs w:val="18"/>
          <w:color w:val="auto"/>
        </w:rPr>
        <w:t>During the fiscal quarter ended March 30, 2024,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6"/>
          </w:tcPr>
          <w:p>
            <w:pPr>
              <w:spacing w:after="0"/>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Synaptics Incorporated Amended and Restated Certificate of Incorporation (incorporated by reference to the registrant's Current Report on</w:t>
              </w:r>
            </w:hyperlink>
          </w:p>
        </w:tc>
      </w:tr>
      <w:tr>
        <w:trPr>
          <w:trHeight w:val="20"/>
        </w:trPr>
        <w:tc>
          <w:tcPr>
            <w:tcW w:w="116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6"/>
          </w:tcPr>
          <w:p>
            <w:pPr>
              <w:spacing w:after="0" w:line="195"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Form 8-K as filed with the SEC on October 26,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6"/>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Third Amended and Restated Bylaws (incorporated by reference to the registrant’s Current Report on Form 8-K as filed with the SEC on</w:t>
              </w:r>
            </w:hyperlink>
          </w:p>
        </w:tc>
      </w:tr>
      <w:tr>
        <w:trPr>
          <w:trHeight w:val="20"/>
        </w:trPr>
        <w:tc>
          <w:tcPr>
            <w:tcW w:w="116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9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6"/>
          </w:tcPr>
          <w:p>
            <w:pPr>
              <w:spacing w:after="0" w:line="195"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August 2, 2010)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Principal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140" w:type="dxa"/>
            <w:vAlign w:val="bottom"/>
            <w:tcBorders>
              <w:right w:val="single" w:sz="8" w:color="0000EE"/>
            </w:tcBorders>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 and Principal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120" w:type="dxa"/>
            <w:vAlign w:val="bottom"/>
            <w:tcBorders>
              <w:right w:val="single" w:sz="8" w:color="0000EE"/>
            </w:tcBorders>
            <w:gridSpan w:val="4"/>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39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7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57" w:lineRule="exact"/>
        <w:rPr>
          <w:sz w:val="20"/>
          <w:szCs w:val="20"/>
          <w:color w:val="auto"/>
        </w:rPr>
      </w:pPr>
    </w:p>
    <w:p>
      <w:pPr>
        <w:ind w:left="1160" w:right="240" w:hanging="1139"/>
        <w:spacing w:after="0" w:line="281"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378" w:lineRule="exact"/>
        <w:rPr>
          <w:rFonts w:ascii="Times New Roman" w:cs="Times New Roman" w:eastAsia="Times New Roman" w:hAnsi="Times New Roman"/>
          <w:sz w:val="18"/>
          <w:szCs w:val="18"/>
          <w:color w:val="auto"/>
        </w:rPr>
      </w:pPr>
    </w:p>
    <w:p>
      <w:pPr>
        <w:ind w:left="52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14300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SYNAPTICS INCORPORATED</w:t>
            </w:r>
          </w:p>
        </w:tc>
      </w:tr>
      <w:tr>
        <w:trPr>
          <w:trHeight w:val="49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40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E. Hurlston</w:t>
            </w:r>
          </w:p>
        </w:tc>
      </w:tr>
      <w:tr>
        <w:trPr>
          <w:trHeight w:val="204"/>
        </w:trPr>
        <w:tc>
          <w:tcPr>
            <w:tcW w:w="3480" w:type="dxa"/>
            <w:vAlign w:val="bottom"/>
          </w:tcPr>
          <w:p>
            <w:pPr>
              <w:spacing w:after="0"/>
              <w:rPr>
                <w:sz w:val="17"/>
                <w:szCs w:val="17"/>
                <w:color w:val="auto"/>
              </w:rPr>
            </w:pPr>
          </w:p>
        </w:tc>
        <w:tc>
          <w:tcPr>
            <w:tcW w:w="4020" w:type="dxa"/>
            <w:vAlign w:val="bottom"/>
          </w:tcPr>
          <w:p>
            <w:pPr>
              <w:ind w:left="282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Michael E. Hurlston</w:t>
            </w:r>
          </w:p>
        </w:tc>
      </w:tr>
      <w:tr>
        <w:trPr>
          <w:trHeight w:val="216"/>
        </w:trPr>
        <w:tc>
          <w:tcPr>
            <w:tcW w:w="34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80" w:type="dxa"/>
            <w:vAlign w:val="bottom"/>
          </w:tcPr>
          <w:p>
            <w:pPr>
              <w:spacing w:after="0"/>
              <w:rPr>
                <w:sz w:val="20"/>
                <w:szCs w:val="20"/>
                <w:color w:val="auto"/>
              </w:rPr>
            </w:pPr>
          </w:p>
        </w:tc>
        <w:tc>
          <w:tcPr>
            <w:tcW w:w="40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15"/>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9, 2024</w:t>
            </w:r>
          </w:p>
        </w:tc>
        <w:tc>
          <w:tcPr>
            <w:tcW w:w="40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Esther Song</w:t>
            </w:r>
          </w:p>
        </w:tc>
      </w:tr>
      <w:tr>
        <w:trPr>
          <w:trHeight w:val="204"/>
        </w:trPr>
        <w:tc>
          <w:tcPr>
            <w:tcW w:w="3480" w:type="dxa"/>
            <w:vAlign w:val="bottom"/>
          </w:tcPr>
          <w:p>
            <w:pPr>
              <w:spacing w:after="0"/>
              <w:rPr>
                <w:sz w:val="17"/>
                <w:szCs w:val="17"/>
                <w:color w:val="auto"/>
              </w:rPr>
            </w:pPr>
          </w:p>
        </w:tc>
        <w:tc>
          <w:tcPr>
            <w:tcW w:w="4020" w:type="dxa"/>
            <w:vAlign w:val="bottom"/>
          </w:tcPr>
          <w:p>
            <w:pPr>
              <w:ind w:left="282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Esther Song</w:t>
            </w:r>
          </w:p>
        </w:tc>
      </w:tr>
      <w:tr>
        <w:trPr>
          <w:trHeight w:val="216"/>
        </w:trPr>
        <w:tc>
          <w:tcPr>
            <w:tcW w:w="3480" w:type="dxa"/>
            <w:vAlign w:val="bottom"/>
          </w:tcPr>
          <w:p>
            <w:pPr>
              <w:spacing w:after="0"/>
              <w:rPr>
                <w:sz w:val="18"/>
                <w:szCs w:val="18"/>
                <w:color w:val="auto"/>
              </w:rPr>
            </w:pPr>
          </w:p>
        </w:tc>
        <w:tc>
          <w:tcPr>
            <w:tcW w:w="40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34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61"/>
        </w:trPr>
        <w:tc>
          <w:tcPr>
            <w:tcW w:w="3480" w:type="dxa"/>
            <w:vAlign w:val="bottom"/>
          </w:tcPr>
          <w:p>
            <w:pPr>
              <w:spacing w:after="0"/>
              <w:rPr>
                <w:sz w:val="24"/>
                <w:szCs w:val="24"/>
                <w:color w:val="auto"/>
              </w:rPr>
            </w:pPr>
          </w:p>
        </w:tc>
        <w:tc>
          <w:tcPr>
            <w:tcW w:w="4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48</w:t>
            </w:r>
          </w:p>
        </w:tc>
        <w:tc>
          <w:tcPr>
            <w:tcW w:w="3740" w:type="dxa"/>
            <w:vAlign w:val="bottom"/>
          </w:tcPr>
          <w:p>
            <w:pPr>
              <w:spacing w:after="0"/>
              <w:rPr>
                <w:sz w:val="24"/>
                <w:szCs w:val="24"/>
                <w:color w:val="auto"/>
              </w:rPr>
            </w:pPr>
          </w:p>
        </w:tc>
      </w:tr>
      <w:tr>
        <w:trPr>
          <w:trHeight w:val="762"/>
        </w:trPr>
        <w:tc>
          <w:tcPr>
            <w:tcW w:w="34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Michael E. Hurlston, certify that:</w:t>
      </w:r>
    </w:p>
    <w:p>
      <w:pPr>
        <w:spacing w:after="0" w:line="117" w:lineRule="exact"/>
        <w:rPr>
          <w:sz w:val="20"/>
          <w:szCs w:val="20"/>
          <w:color w:val="auto"/>
        </w:rPr>
      </w:pPr>
    </w:p>
    <w:p>
      <w:pPr>
        <w:ind w:left="700" w:hanging="183"/>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116" w:lineRule="exact"/>
        <w:rPr>
          <w:rFonts w:ascii="Times New Roman" w:cs="Times New Roman" w:eastAsia="Times New Roman" w:hAnsi="Times New Roman"/>
          <w:sz w:val="18"/>
          <w:szCs w:val="18"/>
          <w:color w:val="auto"/>
        </w:rPr>
      </w:pPr>
    </w:p>
    <w:p>
      <w:pPr>
        <w:ind w:right="60" w:firstLine="517"/>
        <w:spacing w:after="0" w:line="312" w:lineRule="auto"/>
        <w:tabs>
          <w:tab w:leader="none" w:pos="68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1"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right="80" w:firstLine="517"/>
        <w:spacing w:after="0" w:line="265"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firstLine="506"/>
        <w:spacing w:after="0" w:line="265" w:lineRule="auto"/>
        <w:tabs>
          <w:tab w:leader="none" w:pos="12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520" w:right="200" w:firstLine="506"/>
        <w:spacing w:after="0" w:line="265" w:lineRule="auto"/>
        <w:tabs>
          <w:tab w:leader="none" w:pos="12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320" w:firstLine="506"/>
        <w:spacing w:after="0" w:line="281" w:lineRule="auto"/>
        <w:tabs>
          <w:tab w:leader="none" w:pos="12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520" w:right="280" w:firstLine="506"/>
        <w:spacing w:after="0" w:line="265" w:lineRule="auto"/>
        <w:tabs>
          <w:tab w:leader="none" w:pos="12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right="40" w:firstLine="517"/>
        <w:spacing w:after="0" w:line="281"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540" w:firstLine="506"/>
        <w:spacing w:after="0" w:line="281" w:lineRule="auto"/>
        <w:tabs>
          <w:tab w:leader="none" w:pos="12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20" w:firstLine="506"/>
        <w:spacing w:after="0" w:line="281" w:lineRule="auto"/>
        <w:tabs>
          <w:tab w:leader="none" w:pos="12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6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49" w:name="page50"/>
    <w:bookmarkEnd w:id="4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Synaptics Incorporated (the “Company”) for the quarterly period ended March 30, 2024, as filed with the Securities and Exchange Commission on the date hereof (the “Report”), I, Michael E. Hurlston, Chief Executive Officer and Principal Financial Officer of the Company, certify, to the best of my knowledge and belief, pursuant to 18 U.S.C. § 1350, as adopted pursuant to § 906 of the Sarbanes-Oxley Act of 2002, that:</w:t>
      </w:r>
    </w:p>
    <w:p>
      <w:pPr>
        <w:spacing w:after="0" w:line="74"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Financial Officer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lvl w:ilvl="1">
      <w:lvlJc w:val="left"/>
      <w:lvlText w:val="%2"/>
      <w:numFmt w:val="decimal"/>
      <w:start w:val="10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09" Type="http://schemas.openxmlformats.org/officeDocument/2006/relationships/hyperlink" Target="https://www.sec.gov/Archives/edgar/data/817720/000119312523264071/d511153dex31.htm" TargetMode="External"/><Relationship Id="rId310" Type="http://schemas.openxmlformats.org/officeDocument/2006/relationships/hyperlink" Target="https://www.sec.gov/Archives/edgar/data/817720/000095012310070616/c04076exv3w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2024-05-09T16:34:12Z</dcterms:created>
  <dcterms:modified xsi:type="dcterms:W3CDTF">2024-05-09T16:34:12Z</dcterms:modified>
</cp:coreProperties>
</file>