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140970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159385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540" w:right="120" w:hanging="519"/>
        <w:spacing w:after="0" w:line="243"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5"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For the quarterly period ended September 24, 2022</w:t>
      </w:r>
    </w:p>
    <w:p>
      <w:pPr>
        <w:spacing w:after="0" w:line="202" w:lineRule="exact"/>
        <w:rPr>
          <w:sz w:val="24"/>
          <w:szCs w:val="24"/>
          <w:color w:val="auto"/>
        </w:rPr>
      </w:pPr>
    </w:p>
    <w:p>
      <w:pPr>
        <w:ind w:left="540" w:right="120" w:hanging="519"/>
        <w:spacing w:after="0" w:line="243"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85"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154305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SYNAPTICS INCORPORATED</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141605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400" w:type="dxa"/>
            <w:vAlign w:val="bottom"/>
          </w:tcPr>
          <w:p>
            <w:pPr>
              <w:spacing w:after="0"/>
              <w:rPr>
                <w:sz w:val="18"/>
                <w:szCs w:val="18"/>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tcPr>
          <w:p>
            <w:pPr>
              <w:jc w:val="center"/>
              <w:ind w:right="1277"/>
              <w:spacing w:after="0"/>
              <w:rPr>
                <w:sz w:val="20"/>
                <w:szCs w:val="20"/>
                <w:color w:val="auto"/>
              </w:rPr>
            </w:pPr>
            <w:r>
              <w:rPr>
                <w:rFonts w:ascii="Arial" w:cs="Arial" w:eastAsia="Arial" w:hAnsi="Arial"/>
                <w:sz w:val="18"/>
                <w:szCs w:val="18"/>
                <w:b w:val="1"/>
                <w:bCs w:val="1"/>
                <w:color w:val="auto"/>
                <w:w w:val="89"/>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77"/>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4"/>
              </w:rPr>
              <w:t>1109 McKay Drive</w:t>
            </w:r>
          </w:p>
        </w:tc>
        <w:tc>
          <w:tcPr>
            <w:tcW w:w="3180" w:type="dxa"/>
            <w:vAlign w:val="bottom"/>
          </w:tcPr>
          <w:p>
            <w:pPr>
              <w:spacing w:after="0"/>
              <w:rPr>
                <w:sz w:val="24"/>
                <w:szCs w:val="24"/>
                <w:color w:val="auto"/>
              </w:rPr>
            </w:pPr>
          </w:p>
        </w:tc>
      </w:tr>
      <w:tr>
        <w:trPr>
          <w:trHeight w:val="211"/>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272"/>
        </w:trPr>
        <w:tc>
          <w:tcPr>
            <w:tcW w:w="1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40" w:type="dxa"/>
            <w:vAlign w:val="bottom"/>
            <w:gridSpan w:val="3"/>
          </w:tcPr>
          <w:p>
            <w:pPr>
              <w:jc w:val="center"/>
              <w:ind w:left="1102"/>
              <w:spacing w:after="0"/>
              <w:rPr>
                <w:sz w:val="20"/>
                <w:szCs w:val="20"/>
                <w:color w:val="auto"/>
              </w:rPr>
            </w:pPr>
            <w:r>
              <w:rPr>
                <w:rFonts w:ascii="Arial" w:cs="Arial" w:eastAsia="Arial" w:hAnsi="Arial"/>
                <w:sz w:val="18"/>
                <w:szCs w:val="18"/>
                <w:b w:val="1"/>
                <w:bCs w:val="1"/>
                <w:color w:val="auto"/>
                <w:w w:val="90"/>
              </w:rPr>
              <w:t>(408) 904-1100</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180" w:type="dxa"/>
            <w:vAlign w:val="bottom"/>
          </w:tcPr>
          <w:p>
            <w:pPr>
              <w:spacing w:after="0"/>
              <w:rPr>
                <w:sz w:val="23"/>
                <w:szCs w:val="23"/>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228"/>
        </w:trPr>
        <w:tc>
          <w:tcPr>
            <w:tcW w:w="1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304"/>
        </w:trPr>
        <w:tc>
          <w:tcPr>
            <w:tcW w:w="75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377"/>
        </w:trPr>
        <w:tc>
          <w:tcPr>
            <w:tcW w:w="14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1400" w:type="dxa"/>
            <w:vAlign w:val="bottom"/>
            <w:gridSpan w:val="2"/>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3"/>
        </w:trPr>
        <w:tc>
          <w:tcPr>
            <w:tcW w:w="384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580" w:type="dxa"/>
            <w:vAlign w:val="bottom"/>
            <w:gridSpan w:val="3"/>
          </w:tcPr>
          <w:p>
            <w:pPr>
              <w:jc w:val="center"/>
              <w:ind w:right="1400"/>
              <w:spacing w:after="0"/>
              <w:rPr>
                <w:sz w:val="20"/>
                <w:szCs w:val="20"/>
                <w:color w:val="auto"/>
              </w:rPr>
            </w:pPr>
            <w:r>
              <w:rPr>
                <w:rFonts w:ascii="Arial" w:cs="Arial" w:eastAsia="Arial" w:hAnsi="Arial"/>
                <w:sz w:val="18"/>
                <w:szCs w:val="18"/>
                <w:color w:val="auto"/>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242" w:lineRule="exact"/>
        <w:rPr>
          <w:sz w:val="24"/>
          <w:szCs w:val="24"/>
          <w:color w:val="auto"/>
        </w:rPr>
      </w:pPr>
    </w:p>
    <w:p>
      <w:pPr>
        <w:ind w:right="2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2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2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27, 2022, the Company had 39,870,971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7" w:right="439" w:bottom="1440" w:gutter="0" w:footer="0" w:header="0"/>
        </w:sectPr>
      </w:pPr>
    </w:p>
    <w:bookmarkStart w:id="1" w:name="page2"/>
    <w:bookmarkEnd w:id="1"/>
    <w:p>
      <w:pPr>
        <w:ind w:left="4340"/>
        <w:spacing w:after="0"/>
        <w:rPr>
          <w:sz w:val="20"/>
          <w:szCs w:val="20"/>
          <w:color w:val="auto"/>
        </w:rPr>
      </w:pPr>
      <w:r>
        <w:rPr>
          <w:rFonts w:ascii="Arial" w:cs="Arial" w:eastAsia="Arial" w:hAnsi="Arial"/>
          <w:sz w:val="18"/>
          <w:szCs w:val="18"/>
          <w:b w:val="1"/>
          <w:bCs w:val="1"/>
          <w:color w:val="auto"/>
        </w:rPr>
        <w:t>SYNAPTICS INCORPORATED</w:t>
      </w:r>
    </w:p>
    <w:p>
      <w:pPr>
        <w:spacing w:after="0" w:line="2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QUARTERLY REPORT ON FORM 10-Q</w:t>
      </w:r>
    </w:p>
    <w:p>
      <w:pPr>
        <w:jc w:val="center"/>
        <w:ind w:right="40"/>
        <w:spacing w:after="0"/>
        <w:rPr>
          <w:sz w:val="20"/>
          <w:szCs w:val="20"/>
          <w:color w:val="auto"/>
        </w:rPr>
      </w:pPr>
      <w:r>
        <w:rPr>
          <w:rFonts w:ascii="Arial" w:cs="Arial" w:eastAsia="Arial" w:hAnsi="Arial"/>
          <w:sz w:val="18"/>
          <w:szCs w:val="18"/>
          <w:b w:val="1"/>
          <w:bCs w:val="1"/>
          <w:color w:val="auto"/>
        </w:rPr>
        <w:t>FOR THE QUARTER ENDED SEPTEMBER 24, 2022</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60" w:type="dxa"/>
            <w:vAlign w:val="bottom"/>
            <w:gridSpan w:val="6"/>
            <w:vMerge w:val="restart"/>
          </w:tcPr>
          <w:p>
            <w:pPr>
              <w:spacing w:after="0"/>
              <w:rPr>
                <w:sz w:val="20"/>
                <w:szCs w:val="20"/>
                <w:color w:val="auto"/>
              </w:rPr>
            </w:pPr>
            <w:r>
              <w:rPr>
                <w:rFonts w:ascii="Arial" w:cs="Arial" w:eastAsia="Arial" w:hAnsi="Arial"/>
                <w:sz w:val="18"/>
                <w:szCs w:val="18"/>
                <w:color w:val="0000FF"/>
                <w:w w:val="91"/>
              </w:rPr>
              <w:t>Part I. Financial Information</w:t>
            </w:r>
          </w:p>
        </w:tc>
        <w:tc>
          <w:tcPr>
            <w:tcW w:w="20" w:type="dxa"/>
            <w:vAlign w:val="bottom"/>
            <w:vMerge w:val="restart"/>
          </w:tcPr>
          <w:p>
            <w:pPr>
              <w:spacing w:after="0"/>
              <w:rPr>
                <w:sz w:val="2"/>
                <w:szCs w:val="2"/>
                <w:color w:val="auto"/>
              </w:rPr>
            </w:pPr>
          </w:p>
        </w:tc>
        <w:tc>
          <w:tcPr>
            <w:tcW w:w="8620" w:type="dxa"/>
            <w:vAlign w:val="bottom"/>
            <w:gridSpan w:val="11"/>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60" w:type="dxa"/>
            <w:vAlign w:val="bottom"/>
            <w:tcBorders>
              <w:bottom w:val="single" w:sz="8" w:color="0000FF"/>
            </w:tcBorders>
            <w:gridSpan w:val="6"/>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862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540" w:type="dxa"/>
            <w:vAlign w:val="bottom"/>
            <w:gridSpan w:val="16"/>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Sheets—September 24, 2022 and June 25, 2022</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w w:val="98"/>
              </w:rPr>
              <w:t>Condensed Consolidated Statements of Operations—Three Months Ended September 24, 2022 and September 25, 2021</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w w:val="91"/>
              </w:rPr>
              <w:t>Condensed Consolidated Statements of Stockholders’ Equity—Three Months Ended September 24, 2022 and September 25, 2021</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w w:val="97"/>
              </w:rPr>
              <w:t>Condensed Consolidated Statements of Cash Flows—Three Months Ended September 24, 2022 and September 25, 2021</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54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954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220" w:type="dxa"/>
            <w:vAlign w:val="bottom"/>
            <w:tcBorders>
              <w:left w:val="single" w:sz="8" w:color="0000FF"/>
            </w:tcBorders>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954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18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Part II. Other Information</w:t>
            </w:r>
          </w:p>
        </w:tc>
        <w:tc>
          <w:tcPr>
            <w:tcW w:w="20" w:type="dxa"/>
            <w:vAlign w:val="bottom"/>
            <w:tcBorders>
              <w:bottom w:val="single" w:sz="8" w:color="0000EE"/>
            </w:tcBorders>
          </w:tcPr>
          <w:p>
            <w:pPr>
              <w:spacing w:after="0"/>
              <w:rPr>
                <w:sz w:val="24"/>
                <w:szCs w:val="24"/>
                <w:color w:val="auto"/>
              </w:rPr>
            </w:pPr>
          </w:p>
        </w:tc>
        <w:tc>
          <w:tcPr>
            <w:tcW w:w="882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54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954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54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954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7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20" w:type="dxa"/>
            <w:vAlign w:val="bottom"/>
          </w:tcPr>
          <w:p>
            <w:pPr>
              <w:jc w:val="center"/>
              <w:ind w:left="3590"/>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0"/>
        </w:trPr>
        <w:tc>
          <w:tcPr>
            <w:tcW w:w="752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0"/>
        </w:trPr>
        <w:tc>
          <w:tcPr>
            <w:tcW w:w="7840" w:type="dxa"/>
            <w:vAlign w:val="bottom"/>
            <w:gridSpan w:val="2"/>
          </w:tcPr>
          <w:p>
            <w:pPr>
              <w:jc w:val="center"/>
              <w:ind w:left="327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840" w:type="dxa"/>
            <w:vAlign w:val="bottom"/>
            <w:gridSpan w:val="2"/>
          </w:tcPr>
          <w:p>
            <w:pPr>
              <w:jc w:val="center"/>
              <w:ind w:left="32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20" w:type="dxa"/>
            <w:vAlign w:val="bottom"/>
          </w:tcPr>
          <w:p>
            <w:pPr>
              <w:jc w:val="center"/>
              <w:ind w:left="3590"/>
              <w:spacing w:after="0"/>
              <w:rPr>
                <w:sz w:val="20"/>
                <w:szCs w:val="20"/>
                <w:color w:val="auto"/>
              </w:rPr>
            </w:pPr>
            <w:r>
              <w:rPr>
                <w:rFonts w:ascii="Arial" w:cs="Arial" w:eastAsia="Arial" w:hAnsi="Arial"/>
                <w:sz w:val="18"/>
                <w:szCs w:val="18"/>
                <w:color w:val="auto"/>
                <w:w w:val="90"/>
              </w:rPr>
              <w:t>(in millions, except par value and share amounts)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20" w:type="dxa"/>
            <w:vAlign w:val="bottom"/>
          </w:tcPr>
          <w:p>
            <w:pPr>
              <w:jc w:val="center"/>
              <w:ind w:left="359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6"/>
        </w:trPr>
        <w:tc>
          <w:tcPr>
            <w:tcW w:w="7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8"/>
              </w:rPr>
              <w:t>September</w:t>
            </w:r>
          </w:p>
        </w:tc>
        <w:tc>
          <w:tcPr>
            <w:tcW w:w="36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w:t>
            </w:r>
          </w:p>
        </w:tc>
      </w:tr>
      <w:tr>
        <w:trPr>
          <w:trHeight w:val="234"/>
        </w:trPr>
        <w:tc>
          <w:tcPr>
            <w:tcW w:w="7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520" w:type="dxa"/>
            <w:vAlign w:val="bottom"/>
            <w:shd w:val="clear" w:color="auto" w:fill="CFF0FC"/>
          </w:tcPr>
          <w:p>
            <w:pPr>
              <w:ind w:left="33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r>
      <w:tr>
        <w:trPr>
          <w:trHeight w:val="174"/>
        </w:trPr>
        <w:tc>
          <w:tcPr>
            <w:tcW w:w="7520" w:type="dxa"/>
            <w:vAlign w:val="bottom"/>
            <w:shd w:val="clear" w:color="auto" w:fill="CFF0FC"/>
          </w:tcPr>
          <w:p>
            <w:pPr>
              <w:ind w:left="120"/>
              <w:spacing w:after="0" w:line="175" w:lineRule="exact"/>
              <w:rPr>
                <w:sz w:val="20"/>
                <w:szCs w:val="20"/>
                <w:color w:val="auto"/>
              </w:rPr>
            </w:pPr>
            <w:r>
              <w:rPr>
                <w:rFonts w:ascii="Arial" w:cs="Arial" w:eastAsia="Arial" w:hAnsi="Arial"/>
                <w:sz w:val="18"/>
                <w:szCs w:val="18"/>
                <w:color w:val="auto"/>
              </w:rPr>
              <w:t>Accounts receivable, net of allowances of $6.2 and $6.0 at September 2022 and June 2022,</w:t>
            </w: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1,411.8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18"/>
                <w:szCs w:val="18"/>
                <w:color w:val="auto"/>
              </w:rPr>
            </w:pPr>
          </w:p>
        </w:tc>
      </w:tr>
      <w:tr>
        <w:trPr>
          <w:trHeight w:val="174"/>
        </w:trPr>
        <w:tc>
          <w:tcPr>
            <w:tcW w:w="75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Property and equipment at cost, net of accumulated depreciation of $127.7 and $122.8 at</w:t>
            </w: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2022 and June 2022, respectively</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806.6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intangibles, net</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2,824.8</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20" w:type="dxa"/>
            <w:vAlign w:val="bottom"/>
            <w:shd w:val="clear" w:color="auto" w:fill="CFF0FC"/>
          </w:tcPr>
          <w:p>
            <w:pPr>
              <w:ind w:left="17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r>
      <w:tr>
        <w:trPr>
          <w:trHeight w:val="209"/>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1,499.7</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4"/>
        </w:trPr>
        <w:tc>
          <w:tcPr>
            <w:tcW w:w="7520" w:type="dxa"/>
            <w:vAlign w:val="bottom"/>
          </w:tcPr>
          <w:p>
            <w:pPr>
              <w:ind w:left="200"/>
              <w:spacing w:after="0" w:line="175" w:lineRule="exact"/>
              <w:rPr>
                <w:sz w:val="20"/>
                <w:szCs w:val="20"/>
                <w:color w:val="auto"/>
              </w:rPr>
            </w:pPr>
            <w:r>
              <w:rPr>
                <w:rFonts w:ascii="Arial" w:cs="Arial" w:eastAsia="Arial" w:hAnsi="Arial"/>
                <w:sz w:val="18"/>
                <w:szCs w:val="18"/>
                <w:color w:val="auto"/>
                <w:w w:val="98"/>
              </w:rPr>
              <w:t>$0.001 par value; 120,000,000 shares authorized, 68,229,513 and 67,745,800 shares issued,</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520" w:type="dxa"/>
            <w:vAlign w:val="bottom"/>
          </w:tcPr>
          <w:p>
            <w:pPr>
              <w:ind w:left="200"/>
              <w:spacing w:after="0" w:line="189" w:lineRule="exact"/>
              <w:rPr>
                <w:sz w:val="20"/>
                <w:szCs w:val="20"/>
                <w:color w:val="auto"/>
              </w:rPr>
            </w:pPr>
            <w:r>
              <w:rPr>
                <w:rFonts w:ascii="Arial" w:cs="Arial" w:eastAsia="Arial" w:hAnsi="Arial"/>
                <w:sz w:val="18"/>
                <w:szCs w:val="18"/>
                <w:color w:val="auto"/>
              </w:rPr>
              <w:t>and 39,985,261 and 39,621,179 shares outstanding, at September 2022 and June 2022,</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16"/>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FF0FC"/>
          </w:tcPr>
          <w:p>
            <w:pPr>
              <w:spacing w:after="0"/>
              <w:rPr>
                <w:sz w:val="18"/>
                <w:szCs w:val="18"/>
                <w:color w:val="auto"/>
              </w:rPr>
            </w:pPr>
          </w:p>
        </w:tc>
      </w:tr>
      <w:tr>
        <w:trPr>
          <w:trHeight w:val="174"/>
        </w:trPr>
        <w:tc>
          <w:tcPr>
            <w:tcW w:w="7520" w:type="dxa"/>
            <w:vAlign w:val="bottom"/>
          </w:tcPr>
          <w:p>
            <w:pPr>
              <w:ind w:left="120"/>
              <w:spacing w:after="0" w:line="175" w:lineRule="exact"/>
              <w:rPr>
                <w:sz w:val="20"/>
                <w:szCs w:val="20"/>
                <w:color w:val="auto"/>
              </w:rPr>
            </w:pPr>
            <w:r>
              <w:rPr>
                <w:rFonts w:ascii="Arial" w:cs="Arial" w:eastAsia="Arial" w:hAnsi="Arial"/>
                <w:sz w:val="18"/>
                <w:szCs w:val="18"/>
                <w:color w:val="auto"/>
              </w:rPr>
              <w:t>Treasury stock: 28,244,252 and 28,124,621 common shares</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at September 2022 and June 2022, respectively, at cost</w:t>
            </w:r>
          </w:p>
        </w:tc>
        <w:tc>
          <w:tcPr>
            <w:tcW w:w="32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(707.9 )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(694.5 )</w:t>
            </w:r>
          </w:p>
        </w:tc>
      </w:tr>
      <w:tr>
        <w:trPr>
          <w:trHeight w:val="216"/>
        </w:trPr>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8"/>
                <w:szCs w:val="18"/>
                <w:color w:val="auto"/>
              </w:rPr>
            </w:pPr>
          </w:p>
        </w:tc>
      </w:tr>
      <w:tr>
        <w:trPr>
          <w:trHeight w:val="20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2,824.8</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-4289425</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-4289425</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-3338830</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-2208530</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-1643380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586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920" w:type="dxa"/>
            <w:vAlign w:val="bottom"/>
          </w:tcPr>
          <w:p>
            <w:pPr>
              <w:spacing w:after="0"/>
              <w:rPr>
                <w:sz w:val="17"/>
                <w:szCs w:val="17"/>
                <w:color w:val="auto"/>
              </w:rPr>
            </w:pPr>
          </w:p>
        </w:tc>
        <w:tc>
          <w:tcPr>
            <w:tcW w:w="58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920" w:type="dxa"/>
            <w:vAlign w:val="bottom"/>
          </w:tcPr>
          <w:p>
            <w:pPr>
              <w:spacing w:after="0"/>
              <w:rPr>
                <w:sz w:val="17"/>
                <w:szCs w:val="17"/>
                <w:color w:val="auto"/>
              </w:rPr>
            </w:pPr>
          </w:p>
        </w:tc>
        <w:tc>
          <w:tcPr>
            <w:tcW w:w="5860" w:type="dxa"/>
            <w:vAlign w:val="bottom"/>
            <w:gridSpan w:val="2"/>
          </w:tcPr>
          <w:p>
            <w:pPr>
              <w:jc w:val="center"/>
              <w:ind w:right="410"/>
              <w:spacing w:after="0" w:line="202" w:lineRule="exact"/>
              <w:rPr>
                <w:sz w:val="20"/>
                <w:szCs w:val="20"/>
                <w:color w:val="auto"/>
              </w:rPr>
            </w:pPr>
            <w:r>
              <w:rPr>
                <w:rFonts w:ascii="Arial" w:cs="Arial" w:eastAsia="Arial" w:hAnsi="Arial"/>
                <w:sz w:val="18"/>
                <w:szCs w:val="18"/>
                <w:color w:val="auto"/>
                <w:w w:val="90"/>
              </w:rPr>
              <w:t>(in millions, except per share data)</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920" w:type="dxa"/>
            <w:vAlign w:val="bottom"/>
          </w:tcPr>
          <w:p>
            <w:pPr>
              <w:spacing w:after="0"/>
              <w:rPr>
                <w:sz w:val="18"/>
                <w:szCs w:val="18"/>
                <w:color w:val="auto"/>
              </w:rPr>
            </w:pPr>
          </w:p>
        </w:tc>
        <w:tc>
          <w:tcPr>
            <w:tcW w:w="5860" w:type="dxa"/>
            <w:vAlign w:val="bottom"/>
            <w:gridSpan w:val="2"/>
          </w:tcPr>
          <w:p>
            <w:pPr>
              <w:jc w:val="center"/>
              <w:ind w:right="410"/>
              <w:spacing w:after="0"/>
              <w:rPr>
                <w:sz w:val="20"/>
                <w:szCs w:val="20"/>
                <w:color w:val="auto"/>
              </w:rPr>
            </w:pPr>
            <w:r>
              <w:rPr>
                <w:rFonts w:ascii="Arial" w:cs="Arial" w:eastAsia="Arial" w:hAnsi="Arial"/>
                <w:sz w:val="18"/>
                <w:szCs w:val="18"/>
                <w:color w:val="auto"/>
                <w:w w:val="92"/>
              </w:rPr>
              <w:t>(unaudited)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48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8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3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r>
      <w:tr>
        <w:trPr>
          <w:trHeight w:val="209"/>
        </w:trPr>
        <w:tc>
          <w:tcPr>
            <w:tcW w:w="2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Gross margin</w:t>
            </w:r>
          </w:p>
        </w:tc>
        <w:tc>
          <w:tcPr>
            <w:tcW w:w="48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4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w w:val="99"/>
              </w:rPr>
              <w:t>Selling, general, and administrative</w:t>
            </w: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Acquired intangibles amortization</w:t>
            </w:r>
          </w:p>
        </w:tc>
        <w:tc>
          <w:tcPr>
            <w:tcW w:w="4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48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09"/>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48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112.0</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expense, net</w:t>
            </w:r>
          </w:p>
        </w:tc>
        <w:tc>
          <w:tcPr>
            <w:tcW w:w="4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(8.3 )</w:t>
            </w: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(5.9 )</w:t>
            </w: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w w:val="90"/>
              </w:rPr>
              <w:t>Loss on redemption of convertible notes</w:t>
            </w: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(8.1 )</w:t>
            </w:r>
          </w:p>
        </w:tc>
      </w:tr>
      <w:tr>
        <w:trPr>
          <w:trHeight w:val="209"/>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Income before provision for income taxes and equity investment loss</w:t>
            </w: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3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investment loss</w:t>
            </w:r>
          </w:p>
        </w:tc>
        <w:tc>
          <w:tcPr>
            <w:tcW w:w="48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8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per share:</w:t>
            </w:r>
          </w:p>
        </w:tc>
        <w:tc>
          <w:tcPr>
            <w:tcW w:w="4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Basic</w:t>
            </w:r>
          </w:p>
        </w:tc>
        <w:tc>
          <w:tcPr>
            <w:tcW w:w="58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92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Diluted</w:t>
            </w:r>
          </w:p>
        </w:tc>
        <w:tc>
          <w:tcPr>
            <w:tcW w:w="48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2920" w:type="dxa"/>
            <w:vAlign w:val="bottom"/>
          </w:tcPr>
          <w:p>
            <w:pPr>
              <w:ind w:left="20"/>
              <w:spacing w:after="0" w:line="196" w:lineRule="exact"/>
              <w:rPr>
                <w:sz w:val="20"/>
                <w:szCs w:val="20"/>
                <w:color w:val="auto"/>
              </w:rPr>
            </w:pPr>
            <w:r>
              <w:rPr>
                <w:rFonts w:ascii="Arial" w:cs="Arial" w:eastAsia="Arial" w:hAnsi="Arial"/>
                <w:sz w:val="18"/>
                <w:szCs w:val="18"/>
                <w:color w:val="auto"/>
                <w:w w:val="94"/>
              </w:rPr>
              <w:t>Shares used in computing net income:</w:t>
            </w:r>
          </w:p>
        </w:tc>
        <w:tc>
          <w:tcPr>
            <w:tcW w:w="4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2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48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2920" w:type="dxa"/>
            <w:vAlign w:val="bottom"/>
          </w:tcPr>
          <w:p>
            <w:pPr>
              <w:ind w:left="120"/>
              <w:spacing w:after="0" w:line="196" w:lineRule="exact"/>
              <w:rPr>
                <w:sz w:val="20"/>
                <w:szCs w:val="20"/>
                <w:color w:val="auto"/>
              </w:rPr>
            </w:pPr>
            <w:r>
              <w:rPr>
                <w:rFonts w:ascii="Arial" w:cs="Arial" w:eastAsia="Arial" w:hAnsi="Arial"/>
                <w:sz w:val="18"/>
                <w:szCs w:val="18"/>
                <w:color w:val="auto"/>
              </w:rPr>
              <w:t>Diluted</w:t>
            </w:r>
          </w:p>
        </w:tc>
        <w:tc>
          <w:tcPr>
            <w:tcW w:w="48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w:t>
            </w:r>
          </w:p>
        </w:tc>
        <w:tc>
          <w:tcPr>
            <w:tcW w:w="3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w:t>
            </w:r>
          </w:p>
        </w:tc>
        <w:tc>
          <w:tcPr>
            <w:tcW w:w="10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-2773680</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-1934210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-1095375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-487680</wp:posOffset>
            </wp:positionV>
            <wp:extent cx="124142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14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124142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1425" cy="18859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346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color w:val="auto"/>
        </w:rPr>
        <w:t>(in millions,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jc w:val="center"/>
              <w:ind w:right="2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2280" w:type="dxa"/>
            <w:vAlign w:val="bottom"/>
            <w:gridSpan w:val="4"/>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160" w:type="dxa"/>
            <w:vAlign w:val="bottom"/>
          </w:tcPr>
          <w:p>
            <w:pPr>
              <w:spacing w:after="0"/>
              <w:rPr>
                <w:sz w:val="19"/>
                <w:szCs w:val="19"/>
                <w:color w:val="auto"/>
              </w:rPr>
            </w:pPr>
          </w:p>
        </w:tc>
        <w:tc>
          <w:tcPr>
            <w:tcW w:w="2280" w:type="dxa"/>
            <w:vAlign w:val="bottom"/>
            <w:tcBorders>
              <w:bottom w:val="single" w:sz="8" w:color="auto"/>
            </w:tcBorders>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9"/>
                <w:szCs w:val="19"/>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9"/>
                <w:szCs w:val="19"/>
                <w:color w:val="auto"/>
              </w:rPr>
            </w:pPr>
          </w:p>
        </w:tc>
        <w:tc>
          <w:tcPr>
            <w:tcW w:w="14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Retained</w:t>
            </w:r>
          </w:p>
        </w:tc>
        <w:tc>
          <w:tcPr>
            <w:tcW w:w="220" w:type="dxa"/>
            <w:vAlign w:val="bottom"/>
          </w:tcPr>
          <w:p>
            <w:pPr>
              <w:spacing w:after="0"/>
              <w:rPr>
                <w:sz w:val="19"/>
                <w:szCs w:val="19"/>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center"/>
              <w:ind w:right="130"/>
              <w:spacing w:after="0" w:line="164"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0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48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77"/>
              </w:rPr>
              <w:t>loss</w:t>
            </w:r>
          </w:p>
        </w:tc>
        <w:tc>
          <w:tcPr>
            <w:tcW w:w="1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67,745,800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(694.5</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1,038.5</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6"/>
              </w:rPr>
              <w:t>Other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168"/>
        </w:trPr>
        <w:tc>
          <w:tcPr>
            <w:tcW w:w="2160" w:type="dxa"/>
            <w:vAlign w:val="bottom"/>
            <w:tcBorders>
              <w:top w:val="single" w:sz="8" w:color="CFF0FC"/>
            </w:tcBorders>
          </w:tcPr>
          <w:p>
            <w:pPr>
              <w:ind w:left="200"/>
              <w:spacing w:after="0" w:line="168" w:lineRule="exact"/>
              <w:rPr>
                <w:sz w:val="20"/>
                <w:szCs w:val="20"/>
                <w:color w:val="auto"/>
              </w:rPr>
            </w:pPr>
            <w:r>
              <w:rPr>
                <w:rFonts w:ascii="Arial" w:cs="Arial" w:eastAsia="Arial" w:hAnsi="Arial"/>
                <w:sz w:val="18"/>
                <w:szCs w:val="18"/>
                <w:color w:val="auto"/>
              </w:rPr>
              <w:t>Total comprehensive</w:t>
            </w:r>
          </w:p>
        </w:tc>
        <w:tc>
          <w:tcPr>
            <w:tcW w:w="102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6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8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60" w:type="dxa"/>
            <w:vAlign w:val="bottom"/>
          </w:tcPr>
          <w:p>
            <w:pPr>
              <w:ind w:left="200"/>
              <w:spacing w:after="0"/>
              <w:rPr>
                <w:sz w:val="20"/>
                <w:szCs w:val="20"/>
                <w:color w:val="auto"/>
              </w:rPr>
            </w:pPr>
            <w:r>
              <w:rPr>
                <w:rFonts w:ascii="Arial" w:cs="Arial" w:eastAsia="Arial" w:hAnsi="Arial"/>
                <w:sz w:val="18"/>
                <w:szCs w:val="18"/>
                <w:color w:val="auto"/>
              </w:rPr>
              <w:t>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FF0FC"/>
          </w:tcPr>
          <w:p>
            <w:pPr>
              <w:ind w:left="120"/>
              <w:spacing w:after="0" w:line="168" w:lineRule="exact"/>
              <w:rPr>
                <w:sz w:val="20"/>
                <w:szCs w:val="20"/>
                <w:color w:val="auto"/>
              </w:rPr>
            </w:pPr>
            <w:r>
              <w:rPr>
                <w:rFonts w:ascii="Arial" w:cs="Arial" w:eastAsia="Arial" w:hAnsi="Arial"/>
                <w:sz w:val="18"/>
                <w:szCs w:val="18"/>
                <w:color w:val="auto"/>
                <w:w w:val="94"/>
              </w:rPr>
              <w:t>Issuance of common stock</w:t>
            </w: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for share-based award</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compensation plans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483,713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line="175" w:lineRule="exact"/>
              <w:rPr>
                <w:sz w:val="20"/>
                <w:szCs w:val="20"/>
                <w:color w:val="auto"/>
              </w:rPr>
            </w:pPr>
            <w:r>
              <w:rPr>
                <w:rFonts w:ascii="Arial" w:cs="Arial" w:eastAsia="Arial" w:hAnsi="Arial"/>
                <w:sz w:val="18"/>
                <w:szCs w:val="18"/>
                <w:color w:val="auto"/>
              </w:rPr>
              <w:t>Payroll taxes for deferred</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20"/>
              <w:spacing w:after="0"/>
              <w:rPr>
                <w:sz w:val="20"/>
                <w:szCs w:val="20"/>
                <w:color w:val="auto"/>
              </w:rPr>
            </w:pPr>
            <w:r>
              <w:rPr>
                <w:rFonts w:ascii="Arial" w:cs="Arial" w:eastAsia="Arial" w:hAnsi="Arial"/>
                <w:sz w:val="18"/>
                <w:szCs w:val="18"/>
                <w:color w:val="auto"/>
              </w:rPr>
              <w:t>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(31.4 )</w:t>
            </w:r>
          </w:p>
        </w:tc>
        <w:tc>
          <w:tcPr>
            <w:tcW w:w="1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174"/>
        </w:trPr>
        <w:tc>
          <w:tcPr>
            <w:tcW w:w="2160" w:type="dxa"/>
            <w:vAlign w:val="bottom"/>
            <w:shd w:val="clear" w:color="auto" w:fill="CFF0FC"/>
          </w:tcPr>
          <w:p>
            <w:pPr>
              <w:ind w:left="120"/>
              <w:spacing w:after="0" w:line="175" w:lineRule="exact"/>
              <w:rPr>
                <w:sz w:val="20"/>
                <w:szCs w:val="20"/>
                <w:color w:val="auto"/>
              </w:rPr>
            </w:pPr>
            <w:r>
              <w:rPr>
                <w:rFonts w:ascii="Arial" w:cs="Arial" w:eastAsia="Arial" w:hAnsi="Arial"/>
                <w:sz w:val="18"/>
                <w:szCs w:val="18"/>
                <w:color w:val="auto"/>
              </w:rPr>
              <w:t>Common stock</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repurchased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(13.4 )</w:t>
            </w: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Arial" w:cs="Arial" w:eastAsia="Arial" w:hAnsi="Arial"/>
                <w:sz w:val="18"/>
                <w:szCs w:val="18"/>
                <w:color w:val="auto"/>
                <w:w w:val="91"/>
              </w:rPr>
              <w:t>Share-based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Balance at September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68,229,513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-24765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-7620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346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color w:val="auto"/>
        </w:rPr>
        <w:t>(in millions,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2280" w:type="dxa"/>
            <w:vAlign w:val="bottom"/>
            <w:gridSpan w:val="4"/>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120" w:type="dxa"/>
            <w:vAlign w:val="bottom"/>
          </w:tcPr>
          <w:p>
            <w:pPr>
              <w:spacing w:after="0"/>
              <w:rPr>
                <w:sz w:val="19"/>
                <w:szCs w:val="19"/>
                <w:color w:val="auto"/>
              </w:rPr>
            </w:pPr>
          </w:p>
        </w:tc>
        <w:tc>
          <w:tcPr>
            <w:tcW w:w="2280" w:type="dxa"/>
            <w:vAlign w:val="bottom"/>
            <w:tcBorders>
              <w:bottom w:val="single" w:sz="8" w:color="auto"/>
            </w:tcBorders>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9"/>
                <w:szCs w:val="19"/>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2"/>
              </w:rPr>
              <w:t>Treasury</w:t>
            </w:r>
          </w:p>
        </w:tc>
        <w:tc>
          <w:tcPr>
            <w:tcW w:w="12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19"/>
                <w:szCs w:val="19"/>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90"/>
              <w:spacing w:after="0" w:line="164" w:lineRule="exact"/>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0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77"/>
              </w:rPr>
              <w:t>loss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Earnings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66,963,006</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120" w:type="dxa"/>
            <w:vAlign w:val="bottom"/>
            <w:shd w:val="clear" w:color="auto" w:fill="CFF0FC"/>
          </w:tcPr>
          <w:p>
            <w:pPr>
              <w:ind w:left="120"/>
              <w:spacing w:after="0" w:line="175" w:lineRule="exact"/>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20" w:type="dxa"/>
            <w:vAlign w:val="bottom"/>
            <w:tcBorders>
              <w:top w:val="single" w:sz="8" w:color="CFF0FC"/>
            </w:tcBorders>
          </w:tcPr>
          <w:p>
            <w:pPr>
              <w:ind w:left="200"/>
              <w:spacing w:after="0" w:line="168" w:lineRule="exact"/>
              <w:rPr>
                <w:sz w:val="20"/>
                <w:szCs w:val="20"/>
                <w:color w:val="auto"/>
              </w:rPr>
            </w:pPr>
            <w:r>
              <w:rPr>
                <w:rFonts w:ascii="Arial" w:cs="Arial" w:eastAsia="Arial" w:hAnsi="Arial"/>
                <w:sz w:val="18"/>
                <w:szCs w:val="18"/>
                <w:color w:val="auto"/>
              </w:rPr>
              <w:t>Total comprehensive</w:t>
            </w:r>
          </w:p>
        </w:tc>
        <w:tc>
          <w:tcPr>
            <w:tcW w:w="102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20" w:type="dxa"/>
            <w:vAlign w:val="bottom"/>
          </w:tcPr>
          <w:p>
            <w:pPr>
              <w:ind w:left="200"/>
              <w:spacing w:after="0"/>
              <w:rPr>
                <w:sz w:val="20"/>
                <w:szCs w:val="20"/>
                <w:color w:val="auto"/>
              </w:rPr>
            </w:pPr>
            <w:r>
              <w:rPr>
                <w:rFonts w:ascii="Arial" w:cs="Arial" w:eastAsia="Arial" w:hAnsi="Arial"/>
                <w:sz w:val="18"/>
                <w:szCs w:val="18"/>
                <w:color w:val="auto"/>
              </w:rPr>
              <w:t>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20" w:type="dxa"/>
            <w:vAlign w:val="bottom"/>
            <w:shd w:val="clear" w:color="auto" w:fill="CFF0FC"/>
          </w:tcPr>
          <w:p>
            <w:pPr>
              <w:ind w:left="120"/>
              <w:spacing w:after="0" w:line="168" w:lineRule="exact"/>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stock for share-based</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award compensation</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384,866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20" w:type="dxa"/>
            <w:vAlign w:val="bottom"/>
          </w:tcPr>
          <w:p>
            <w:pPr>
              <w:ind w:left="120"/>
              <w:spacing w:after="0" w:line="175" w:lineRule="exact"/>
              <w:rPr>
                <w:sz w:val="20"/>
                <w:szCs w:val="20"/>
                <w:color w:val="auto"/>
              </w:rPr>
            </w:pPr>
            <w:r>
              <w:rPr>
                <w:rFonts w:ascii="Arial" w:cs="Arial" w:eastAsia="Arial" w:hAnsi="Arial"/>
                <w:sz w:val="18"/>
                <w:szCs w:val="18"/>
                <w:color w:val="auto"/>
                <w:w w:val="98"/>
              </w:rPr>
              <w:t>Payroll taxes for deferred</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174"/>
        </w:trPr>
        <w:tc>
          <w:tcPr>
            <w:tcW w:w="2120" w:type="dxa"/>
            <w:vAlign w:val="bottom"/>
            <w:shd w:val="clear" w:color="auto" w:fill="CFF0FC"/>
          </w:tcPr>
          <w:p>
            <w:pPr>
              <w:ind w:left="120"/>
              <w:spacing w:after="0" w:line="175" w:lineRule="exact"/>
              <w:rPr>
                <w:sz w:val="20"/>
                <w:szCs w:val="20"/>
                <w:color w:val="auto"/>
              </w:rPr>
            </w:pPr>
            <w:r>
              <w:rPr>
                <w:rFonts w:ascii="Arial" w:cs="Arial" w:eastAsia="Arial" w:hAnsi="Arial"/>
                <w:sz w:val="18"/>
                <w:szCs w:val="18"/>
                <w:color w:val="auto"/>
              </w:rPr>
              <w:t>Redemption of</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debt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(518.2 )</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74"/>
        </w:trPr>
        <w:tc>
          <w:tcPr>
            <w:tcW w:w="2120" w:type="dxa"/>
            <w:vAlign w:val="bottom"/>
          </w:tcPr>
          <w:p>
            <w:pPr>
              <w:ind w:left="120"/>
              <w:spacing w:after="0" w:line="175" w:lineRule="exact"/>
              <w:rPr>
                <w:sz w:val="20"/>
                <w:szCs w:val="20"/>
                <w:color w:val="auto"/>
              </w:rPr>
            </w:pPr>
            <w:r>
              <w:rPr>
                <w:rFonts w:ascii="Arial" w:cs="Arial" w:eastAsia="Arial" w:hAnsi="Arial"/>
                <w:sz w:val="18"/>
                <w:szCs w:val="18"/>
                <w:color w:val="auto"/>
              </w:rPr>
              <w:t>Share-based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20" w:type="dxa"/>
            <w:vAlign w:val="bottom"/>
            <w:vMerge w:val="restart"/>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3"/>
              </w:rPr>
              <w:t>Balance at September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67,347,872</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(694.5</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60"/>
        <w:spacing w:after="0" w:line="234" w:lineRule="auto"/>
        <w:rPr>
          <w:sz w:val="20"/>
          <w:szCs w:val="20"/>
          <w:color w:val="auto"/>
        </w:rPr>
      </w:pPr>
      <w:r>
        <w:rPr>
          <w:rFonts w:ascii="Arial" w:cs="Arial" w:eastAsia="Arial" w:hAnsi="Arial"/>
          <w:sz w:val="18"/>
          <w:szCs w:val="18"/>
          <w:color w:val="auto"/>
        </w:rPr>
        <w:t>(in millions)</w:t>
      </w:r>
    </w:p>
    <w:p>
      <w:pPr>
        <w:ind w:left="5180"/>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September</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7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64.6</w:t>
            </w:r>
          </w:p>
        </w:tc>
        <w:tc>
          <w:tcPr>
            <w:tcW w:w="28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Share-based compensation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Acquired intangibles amortization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redemption of convertible notes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02"/>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right-of-use assets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Amortization of debt discount and issuance costs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cost of development services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Provision for inventory excess and obsolescence</w:t>
            </w:r>
          </w:p>
        </w:tc>
        <w:tc>
          <w:tcPr>
            <w:tcW w:w="960" w:type="dxa"/>
            <w:vAlign w:val="bottom"/>
          </w:tcPr>
          <w:p>
            <w:pPr>
              <w:spacing w:after="0"/>
              <w:rPr>
                <w:sz w:val="17"/>
                <w:szCs w:val="17"/>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02"/>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Equity investment loss</w:t>
            </w:r>
          </w:p>
        </w:tc>
        <w:tc>
          <w:tcPr>
            <w:tcW w:w="960" w:type="dxa"/>
            <w:vAlign w:val="bottom"/>
          </w:tcPr>
          <w:p>
            <w:pPr>
              <w:spacing w:after="0"/>
              <w:rPr>
                <w:sz w:val="17"/>
                <w:szCs w:val="17"/>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remeasurement gain</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(1.3 )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receivable, net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(41.4 )</w:t>
            </w:r>
          </w:p>
        </w:tc>
      </w:tr>
      <w:tr>
        <w:trPr>
          <w:trHeight w:val="202"/>
        </w:trPr>
        <w:tc>
          <w:tcPr>
            <w:tcW w:w="772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(9.7 )</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02"/>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(3.2 )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(5.0 )</w:t>
            </w:r>
          </w:p>
        </w:tc>
      </w:tr>
      <w:tr>
        <w:trPr>
          <w:trHeight w:val="202"/>
        </w:trPr>
        <w:tc>
          <w:tcPr>
            <w:tcW w:w="7720" w:type="dxa"/>
            <w:vAlign w:val="bottom"/>
          </w:tcPr>
          <w:p>
            <w:pPr>
              <w:ind w:left="30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(9.8 )</w:t>
            </w:r>
          </w:p>
        </w:tc>
      </w:tr>
      <w:tr>
        <w:trPr>
          <w:trHeight w:val="202"/>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(17.6 )</w:t>
            </w: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300"/>
              <w:spacing w:after="0"/>
              <w:rPr>
                <w:sz w:val="20"/>
                <w:szCs w:val="20"/>
                <w:color w:val="auto"/>
              </w:rPr>
            </w:pPr>
            <w:r>
              <w:rPr>
                <w:rFonts w:ascii="Arial" w:cs="Arial" w:eastAsia="Arial" w:hAnsi="Arial"/>
                <w:sz w:val="16"/>
                <w:szCs w:val="16"/>
                <w:color w:val="auto"/>
              </w:rPr>
              <w:t>Accrued compensation</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(38.2 )</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(12.3 )</w:t>
            </w:r>
          </w:p>
        </w:tc>
      </w:tr>
      <w:tr>
        <w:trPr>
          <w:trHeight w:val="202"/>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Income taxes payable</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(18.9 )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(6.9 )</w:t>
            </w:r>
          </w:p>
        </w:tc>
      </w:tr>
      <w:tr>
        <w:trPr>
          <w:trHeight w:val="202"/>
        </w:trPr>
        <w:tc>
          <w:tcPr>
            <w:tcW w:w="7720" w:type="dxa"/>
            <w:vAlign w:val="bottom"/>
          </w:tcPr>
          <w:p>
            <w:pPr>
              <w:ind w:left="300"/>
              <w:spacing w:after="0"/>
              <w:rPr>
                <w:sz w:val="20"/>
                <w:szCs w:val="20"/>
                <w:color w:val="auto"/>
              </w:rPr>
            </w:pPr>
            <w:r>
              <w:rPr>
                <w:rFonts w:ascii="Arial" w:cs="Arial" w:eastAsia="Arial" w:hAnsi="Arial"/>
                <w:sz w:val="16"/>
                <w:szCs w:val="16"/>
                <w:color w:val="auto"/>
              </w:rPr>
              <w:t>Other accrued liabilities</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(20.0 )</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maturities of investments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tcPr>
          <w:p>
            <w:pPr>
              <w:ind w:left="120"/>
              <w:spacing w:after="0"/>
              <w:rPr>
                <w:sz w:val="20"/>
                <w:szCs w:val="20"/>
                <w:color w:val="auto"/>
              </w:rPr>
            </w:pPr>
            <w:r>
              <w:rPr>
                <w:rFonts w:ascii="Arial" w:cs="Arial" w:eastAsia="Arial" w:hAnsi="Arial"/>
                <w:sz w:val="16"/>
                <w:szCs w:val="16"/>
                <w:color w:val="auto"/>
              </w:rPr>
              <w:t>Receipt of liquidation payment on equity investment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(6.2 )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12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(4.7 )</w:t>
            </w: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120"/>
              <w:spacing w:after="0"/>
              <w:rPr>
                <w:sz w:val="20"/>
                <w:szCs w:val="20"/>
                <w:color w:val="auto"/>
              </w:rPr>
            </w:pPr>
            <w:r>
              <w:rPr>
                <w:rFonts w:ascii="Arial" w:cs="Arial" w:eastAsia="Arial" w:hAnsi="Arial"/>
                <w:sz w:val="16"/>
                <w:szCs w:val="16"/>
                <w:color w:val="auto"/>
              </w:rPr>
              <w:t>Payment for redemption of convertible notes</w:t>
            </w:r>
          </w:p>
        </w:tc>
        <w:tc>
          <w:tcPr>
            <w:tcW w:w="960" w:type="dxa"/>
            <w:vAlign w:val="bottom"/>
          </w:tcPr>
          <w:p>
            <w:pPr>
              <w:spacing w:after="0"/>
              <w:rPr>
                <w:sz w:val="17"/>
                <w:szCs w:val="17"/>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(505.6 )</w:t>
            </w:r>
          </w:p>
        </w:tc>
      </w:tr>
      <w:tr>
        <w:trPr>
          <w:trHeight w:val="20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issuance of shares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120"/>
              <w:spacing w:after="0"/>
              <w:rPr>
                <w:sz w:val="20"/>
                <w:szCs w:val="20"/>
                <w:color w:val="auto"/>
              </w:rPr>
            </w:pPr>
            <w:r>
              <w:rPr>
                <w:rFonts w:ascii="Arial" w:cs="Arial" w:eastAsia="Arial" w:hAnsi="Arial"/>
                <w:sz w:val="16"/>
                <w:szCs w:val="16"/>
                <w:color w:val="auto"/>
              </w:rPr>
              <w:t>Payroll taxes for deferred stock and market stock units</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(31.4 )</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(27.7 )</w:t>
            </w:r>
          </w:p>
        </w:tc>
      </w:tr>
      <w:tr>
        <w:trPr>
          <w:trHeight w:val="20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Repurchases of common stock</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(13.4 )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(1.5 )</w:t>
            </w:r>
          </w:p>
        </w:tc>
        <w:tc>
          <w:tcPr>
            <w:tcW w:w="600" w:type="dxa"/>
            <w:vAlign w:val="bottom"/>
          </w:tcPr>
          <w:p>
            <w:pPr>
              <w:spacing w:after="0"/>
              <w:rPr>
                <w:sz w:val="17"/>
                <w:szCs w:val="17"/>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Refundable deposit paid to vendor</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(16.6 )</w:t>
            </w:r>
          </w:p>
        </w:tc>
      </w:tr>
      <w:tr>
        <w:trPr>
          <w:trHeight w:val="202"/>
        </w:trPr>
        <w:tc>
          <w:tcPr>
            <w:tcW w:w="7720" w:type="dxa"/>
            <w:vAlign w:val="bottom"/>
          </w:tcPr>
          <w:p>
            <w:pPr>
              <w:ind w:left="120"/>
              <w:spacing w:after="0"/>
              <w:rPr>
                <w:sz w:val="20"/>
                <w:szCs w:val="20"/>
                <w:color w:val="auto"/>
              </w:rPr>
            </w:pPr>
            <w:r>
              <w:rPr>
                <w:rFonts w:ascii="Arial" w:cs="Arial" w:eastAsia="Arial" w:hAnsi="Arial"/>
                <w:sz w:val="16"/>
                <w:szCs w:val="16"/>
                <w:color w:val="auto"/>
              </w:rPr>
              <w:t>Return of deposit received from vendor</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(2.0 )</w:t>
            </w:r>
          </w:p>
        </w:tc>
        <w:tc>
          <w:tcPr>
            <w:tcW w:w="6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(0.5 )</w:t>
            </w: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(489.0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2"/>
        </w:trPr>
        <w:tc>
          <w:tcPr>
            <w:tcW w:w="772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824.0</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836.3</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tcBorders>
              <w:bottom w:val="single" w:sz="8" w:color="auto"/>
            </w:tcBorders>
            <w:shd w:val="clear" w:color="auto" w:fill="CFF0FC"/>
          </w:tcPr>
          <w:p>
            <w:pPr>
              <w:jc w:val="right"/>
              <w:ind w:right="77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867.8</w:t>
            </w: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6"/>
                <w:szCs w:val="16"/>
                <w:color w:val="auto"/>
              </w:rPr>
              <w:t>Cash paid for taxes, net of refunds</w:t>
            </w:r>
          </w:p>
        </w:tc>
        <w:tc>
          <w:tcPr>
            <w:tcW w:w="960" w:type="dxa"/>
            <w:vAlign w:val="bottom"/>
          </w:tcPr>
          <w:p>
            <w:pPr>
              <w:jc w:val="right"/>
              <w:ind w:right="77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48.8</w:t>
            </w:r>
          </w:p>
        </w:tc>
        <w:tc>
          <w:tcPr>
            <w:tcW w:w="28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shd w:val="clear" w:color="auto" w:fill="CFF0FC"/>
          </w:tcPr>
          <w:p>
            <w:pPr>
              <w:jc w:val="right"/>
              <w:ind w:right="77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17"/>
                <w:szCs w:val="17"/>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transactions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 in current liabilities</w:t>
            </w:r>
          </w:p>
        </w:tc>
        <w:tc>
          <w:tcPr>
            <w:tcW w:w="960" w:type="dxa"/>
            <w:vAlign w:val="bottom"/>
            <w:shd w:val="clear" w:color="auto" w:fill="CFF0FC"/>
          </w:tcPr>
          <w:p>
            <w:pPr>
              <w:jc w:val="right"/>
              <w:ind w:right="77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-3167380</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-3167380</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-2645410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-1335405</wp:posOffset>
            </wp:positionV>
            <wp:extent cx="685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-795655</wp:posOffset>
            </wp:positionV>
            <wp:extent cx="125031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50315" cy="1543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7"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25, 2022.</w:t>
      </w:r>
    </w:p>
    <w:p>
      <w:pPr>
        <w:spacing w:after="0" w:line="176"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17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fiscal year is the 52- or 53-week period ending on the last Saturday in June. Our fiscal 2023 and 2022 are 52-week periods ending June 24, 2023 and June 25, 2022, respectively. The fiscal periods presented in this report are 13-week periods ended September 24, 2022, and September 25, 2021,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pandemic related to the novel coronavirus, or COVID-19,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03"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time of purchase. As of September 2022 and June 2022, our cash and cash equivalents had a carrying value of $867.8 million and $824.0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03"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We classify our investments in debt securities as available-for-sale and record these investments at fair value. Investments with an original maturity of three months or less at the date of purchase are considered cash equivalents, while all other investments are classified as short-term based on management’s intent and ability to use the funds in current operations. Unrealized gains and losses are reported as a component of other comprehensive income (loss). Realized gains and losses are determined based on the specific identification method, and are reflected as other income (expense), net in our Condensed Consolidated Statements of Operations. As of September 2022 and June 2022, the total unrealized loss reported within accumulated other comprehensive loss was $1.9 million and $1.8 million, respectively.</w:t>
      </w:r>
    </w:p>
    <w:p>
      <w:pPr>
        <w:spacing w:after="0" w:line="75"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regularly review our investment portfolio to identify and evaluate investments that have indicators of possible impairment. Factors considered in determining whether a loss is other-than-temporary include, but are not limited to: the length of time and extent a security’s fair value has been below its cost, the financial condition and near-term prospects of the investee, the credit quality of the security’s issuer, likelihood of recovery and our intent and ability to hold the security for a period of time sufficient to allow for any anticipated recovery in value. For our debt instruments, we also evaluate whether we have the intent to sell the security, or it is more likely than not that we will be required to sell the security before recovery of its cost basis.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03"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operations and resulted in immaterial amounts in each of the three months ended September 2022 and September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99" w:lineRule="exact"/>
        <w:rPr>
          <w:sz w:val="20"/>
          <w:szCs w:val="20"/>
          <w:color w:val="auto"/>
        </w:rPr>
      </w:pPr>
    </w:p>
    <w:p>
      <w:pPr>
        <w:ind w:right="140" w:firstLine="509"/>
        <w:spacing w:after="0" w:line="260"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Accounting Standards Codification Topic 842 occurs. Operating lease cost for lease payments is recognized on a straight-line basis over the lease term.</w:t>
      </w:r>
    </w:p>
    <w:p>
      <w:pPr>
        <w:spacing w:after="0" w:line="16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elected, for all classes of underlying assets, not to recognize ROU assets and lease liabilities for leases with a term of twelve months or less.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Lease cost for short-term leases is recognized on a straight-line basis over the lease term.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73" w:lineRule="exact"/>
        <w:rPr>
          <w:sz w:val="20"/>
          <w:szCs w:val="20"/>
          <w:color w:val="auto"/>
        </w:rPr>
      </w:pPr>
    </w:p>
    <w:p>
      <w:pPr>
        <w:jc w:val="both"/>
        <w:ind w:right="20" w:firstLine="509"/>
        <w:spacing w:after="0" w:line="30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Balance Sheet Components,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68"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$1.4 million in contract assets recorded on our condensed consolidated balance sheets as of September 2022 and $1.2 million as of June 2022. Contract assets are presented as part of prepaid expenses and other current assets.</w:t>
      </w:r>
    </w:p>
    <w:p>
      <w:pPr>
        <w:spacing w:after="0" w:line="19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Contract liabilities and refund liabilities were $29.9 million and $43.1 million, respectively, as of September 2022 and $27.3 million and $61.3 million, respectively, as of June 2022. Both contract liabilities and refund liabilities are presented as customer obligations in Note 9 Balance Sheet Components. During the three months ended September 2022 and September 2021, we recognized $1.8 million and $2.9 million, respectively, in revenue related to contract liabilities, which was outstanding as of the beginning of each such fiscal year.</w:t>
      </w:r>
    </w:p>
    <w:p>
      <w:pPr>
        <w:spacing w:after="0" w:line="18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As of September 2022,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9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product category is presented in Note 14 Segment, Customers, and Geographical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w w:val="95"/>
              </w:rPr>
              <w:t>Three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September</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6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r>
      <w:tr>
        <w:trPr>
          <w:trHeight w:val="209"/>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10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Shares, basic</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r>
      <w:tr>
        <w:trPr>
          <w:trHeight w:val="216"/>
        </w:trPr>
        <w:tc>
          <w:tcPr>
            <w:tcW w:w="6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Effect of dilutive share-based awards and convertible notes</w:t>
            </w:r>
          </w:p>
        </w:tc>
        <w:tc>
          <w:tcPr>
            <w:tcW w:w="1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60" w:type="dxa"/>
            <w:vAlign w:val="bottom"/>
          </w:tcPr>
          <w:p>
            <w:pPr>
              <w:ind w:left="200"/>
              <w:spacing w:after="0"/>
              <w:rPr>
                <w:sz w:val="20"/>
                <w:szCs w:val="20"/>
                <w:color w:val="auto"/>
              </w:rPr>
            </w:pPr>
            <w:r>
              <w:rPr>
                <w:rFonts w:ascii="Arial" w:cs="Arial" w:eastAsia="Arial" w:hAnsi="Arial"/>
                <w:sz w:val="18"/>
                <w:szCs w:val="18"/>
                <w:color w:val="auto"/>
              </w:rPr>
              <w:t>Shares, diluted</w:t>
            </w: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per share:</w:t>
            </w:r>
          </w:p>
        </w:tc>
        <w:tc>
          <w:tcPr>
            <w:tcW w:w="1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Basic</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0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Diluted</w:t>
            </w:r>
          </w:p>
        </w:tc>
        <w:tc>
          <w:tcPr>
            <w:tcW w:w="1220" w:type="dxa"/>
            <w:vAlign w:val="bottom"/>
            <w:tcBorders>
              <w:bottom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-633095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 which were settled in August 2021.</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7"/>
          <w:szCs w:val="17"/>
          <w:color w:val="auto"/>
        </w:rPr>
        <w:t>Dilutive net income per share amounts do not include the potential weighted average effect of 452,859 and 1,010 shares of common stock related to certain share-based awards that were outstanding during the three months ended September 2022 and September 2021, respectively. These share-based awards were not included in the computation of diluted net income per share because their effect would have been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w w:val="97"/>
              </w:rPr>
              <w:t>September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r>
      <w:tr>
        <w:trPr>
          <w:trHeight w:val="249"/>
        </w:trPr>
        <w:tc>
          <w:tcPr>
            <w:tcW w:w="4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-24765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8"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Short-Term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252525"/>
        </w:rPr>
        <w:t>The following table summarizes our cash, cash equivalents and short-term investments by category at September 2022 and June 2022 (in millions):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64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64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4600" w:type="dxa"/>
            <w:vAlign w:val="bottom"/>
            <w:gridSpan w:val="3"/>
          </w:tcPr>
          <w:p>
            <w:pPr>
              <w:jc w:val="center"/>
              <w:ind w:left="1550"/>
              <w:spacing w:after="0"/>
              <w:rPr>
                <w:sz w:val="20"/>
                <w:szCs w:val="20"/>
                <w:color w:val="auto"/>
              </w:rPr>
            </w:pPr>
            <w:r>
              <w:rPr>
                <w:rFonts w:ascii="Arial" w:cs="Arial" w:eastAsia="Arial" w:hAnsi="Arial"/>
                <w:sz w:val="18"/>
                <w:szCs w:val="18"/>
                <w:color w:val="auto"/>
                <w:w w:val="92"/>
              </w:rPr>
              <w:t>(unaudited)</w:t>
            </w:r>
          </w:p>
        </w:tc>
        <w:tc>
          <w:tcPr>
            <w:tcW w:w="42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September 2022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3"/>
          </w:tcPr>
          <w:p>
            <w:pPr>
              <w:jc w:val="center"/>
              <w:ind w:right="360"/>
              <w:spacing w:after="0" w:line="168" w:lineRule="exact"/>
              <w:rPr>
                <w:sz w:val="20"/>
                <w:szCs w:val="20"/>
                <w:color w:val="auto"/>
              </w:rPr>
            </w:pPr>
            <w:r>
              <w:rPr>
                <w:rFonts w:ascii="Arial" w:cs="Arial" w:eastAsia="Arial" w:hAnsi="Arial"/>
                <w:sz w:val="18"/>
                <w:szCs w:val="18"/>
                <w:color w:val="auto"/>
                <w:w w:val="90"/>
              </w:rPr>
              <w:t>Gross unrealized gain</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80" w:type="dxa"/>
            <w:vAlign w:val="bottom"/>
            <w:vMerge w:val="restart"/>
          </w:tcPr>
          <w:p>
            <w:pPr>
              <w:ind w:left="120"/>
              <w:spacing w:after="0"/>
              <w:rPr>
                <w:sz w:val="20"/>
                <w:szCs w:val="20"/>
                <w:color w:val="auto"/>
              </w:rPr>
            </w:pPr>
            <w:r>
              <w:rPr>
                <w:rFonts w:ascii="Arial" w:cs="Arial" w:eastAsia="Arial" w:hAnsi="Arial"/>
                <w:sz w:val="18"/>
                <w:szCs w:val="18"/>
                <w:color w:val="auto"/>
              </w:rPr>
              <w:t>Cash</w:t>
            </w:r>
          </w:p>
        </w:tc>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Amortized Cost</w:t>
            </w:r>
          </w:p>
        </w:tc>
        <w:tc>
          <w:tcPr>
            <w:tcW w:w="420" w:type="dxa"/>
            <w:vAlign w:val="bottom"/>
          </w:tcPr>
          <w:p>
            <w:pPr>
              <w:spacing w:after="0"/>
              <w:rPr>
                <w:sz w:val="20"/>
                <w:szCs w:val="20"/>
                <w:color w:val="auto"/>
              </w:rPr>
            </w:pPr>
          </w:p>
        </w:tc>
        <w:tc>
          <w:tcPr>
            <w:tcW w:w="14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(loss)</w:t>
            </w:r>
          </w:p>
        </w:tc>
        <w:tc>
          <w:tcPr>
            <w:tcW w:w="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8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418.8</w:t>
            </w:r>
          </w:p>
        </w:tc>
        <w:tc>
          <w:tcPr>
            <w:tcW w:w="420" w:type="dxa"/>
            <w:vAlign w:val="bottom"/>
          </w:tcPr>
          <w:p>
            <w:pPr>
              <w:spacing w:after="0"/>
              <w:rPr>
                <w:sz w:val="18"/>
                <w:szCs w:val="18"/>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390.9</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Certificates of deposit</w:t>
            </w: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Total cash and cash equivalents</w:t>
            </w:r>
          </w:p>
        </w:tc>
        <w:tc>
          <w:tcPr>
            <w:tcW w:w="29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4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Short-term investments:</w:t>
            </w: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3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20" w:type="dxa"/>
            <w:vAlign w:val="bottom"/>
            <w:gridSpan w:val="2"/>
            <w:shd w:val="clear" w:color="auto" w:fill="CFF0FC"/>
          </w:tcPr>
          <w:p>
            <w:pPr>
              <w:jc w:val="right"/>
              <w:ind w:right="1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(2.0 )</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Municipal bonds</w:t>
            </w: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(0.1 )</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46.1</w:t>
            </w:r>
          </w:p>
        </w:tc>
        <w:tc>
          <w:tcPr>
            <w:tcW w:w="420" w:type="dxa"/>
            <w:vAlign w:val="bottom"/>
          </w:tcPr>
          <w:p>
            <w:pPr>
              <w:spacing w:after="0"/>
              <w:rPr>
                <w:sz w:val="18"/>
                <w:szCs w:val="18"/>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2022</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3"/>
          </w:tcPr>
          <w:p>
            <w:pPr>
              <w:jc w:val="center"/>
              <w:ind w:right="360"/>
              <w:spacing w:after="0" w:line="168" w:lineRule="exact"/>
              <w:rPr>
                <w:sz w:val="20"/>
                <w:szCs w:val="20"/>
                <w:color w:val="auto"/>
              </w:rPr>
            </w:pPr>
            <w:r>
              <w:rPr>
                <w:rFonts w:ascii="Arial" w:cs="Arial" w:eastAsia="Arial" w:hAnsi="Arial"/>
                <w:sz w:val="18"/>
                <w:szCs w:val="18"/>
                <w:color w:val="auto"/>
                <w:w w:val="90"/>
              </w:rPr>
              <w:t>Gross unrealized gain</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80" w:type="dxa"/>
            <w:vAlign w:val="bottom"/>
            <w:vMerge w:val="restart"/>
          </w:tcPr>
          <w:p>
            <w:pPr>
              <w:ind w:left="120"/>
              <w:spacing w:after="0"/>
              <w:rPr>
                <w:sz w:val="20"/>
                <w:szCs w:val="20"/>
                <w:color w:val="auto"/>
              </w:rPr>
            </w:pPr>
            <w:r>
              <w:rPr>
                <w:rFonts w:ascii="Arial" w:cs="Arial" w:eastAsia="Arial" w:hAnsi="Arial"/>
                <w:sz w:val="18"/>
                <w:szCs w:val="18"/>
                <w:color w:val="auto"/>
              </w:rPr>
              <w:t>Cash</w:t>
            </w:r>
          </w:p>
        </w:tc>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Amortized Cost</w:t>
            </w:r>
          </w:p>
        </w:tc>
        <w:tc>
          <w:tcPr>
            <w:tcW w:w="420" w:type="dxa"/>
            <w:vAlign w:val="bottom"/>
          </w:tcPr>
          <w:p>
            <w:pPr>
              <w:spacing w:after="0"/>
              <w:rPr>
                <w:sz w:val="20"/>
                <w:szCs w:val="20"/>
                <w:color w:val="auto"/>
              </w:rPr>
            </w:pPr>
          </w:p>
        </w:tc>
        <w:tc>
          <w:tcPr>
            <w:tcW w:w="14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(loss)</w:t>
            </w:r>
          </w:p>
        </w:tc>
        <w:tc>
          <w:tcPr>
            <w:tcW w:w="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8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811.9</w:t>
            </w:r>
          </w:p>
        </w:tc>
        <w:tc>
          <w:tcPr>
            <w:tcW w:w="420" w:type="dxa"/>
            <w:vAlign w:val="bottom"/>
          </w:tcPr>
          <w:p>
            <w:pPr>
              <w:spacing w:after="0"/>
              <w:rPr>
                <w:sz w:val="18"/>
                <w:szCs w:val="18"/>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Total cash and cash equivalents</w:t>
            </w:r>
          </w:p>
        </w:tc>
        <w:tc>
          <w:tcPr>
            <w:tcW w:w="29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4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Short-term investments:</w:t>
            </w: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3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20" w:type="dxa"/>
            <w:vAlign w:val="bottom"/>
            <w:gridSpan w:val="2"/>
            <w:shd w:val="clear" w:color="auto" w:fill="CFF0FC"/>
          </w:tcPr>
          <w:p>
            <w:pPr>
              <w:jc w:val="right"/>
              <w:ind w:right="1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(1.9 )</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Municipal bonds</w:t>
            </w: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(0.1 )</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9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54.0</w:t>
            </w:r>
          </w:p>
        </w:tc>
        <w:tc>
          <w:tcPr>
            <w:tcW w:w="420" w:type="dxa"/>
            <w:vAlign w:val="bottom"/>
          </w:tcPr>
          <w:p>
            <w:pPr>
              <w:spacing w:after="0"/>
              <w:rPr>
                <w:sz w:val="18"/>
                <w:szCs w:val="18"/>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-2722245</wp:posOffset>
            </wp:positionV>
            <wp:extent cx="263715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3715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-2148840</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-2148840</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-744220</wp:posOffset>
            </wp:positionV>
            <wp:extent cx="263715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3715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-170815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-170815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classifies our short-term investments by contractual maturities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September 2022</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2022</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Amortized Cost</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Fair Value</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Amortized Cost</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8"/>
                <w:szCs w:val="18"/>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1 year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Due between 1 year to 5 years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r>
      <w:tr>
        <w:trPr>
          <w:trHeight w:val="249"/>
        </w:trPr>
        <w:tc>
          <w:tcPr>
            <w:tcW w:w="4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6. Fair Value Measurements</w:t>
      </w:r>
    </w:p>
    <w:p>
      <w:pPr>
        <w:spacing w:after="0" w:line="107"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68"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Valuation is based upon unadjusted quoted prices for identical assets or liabilities in active markets.</w:t>
      </w:r>
    </w:p>
    <w:p>
      <w:pPr>
        <w:spacing w:after="0" w:line="116" w:lineRule="exact"/>
        <w:rPr>
          <w:rFonts w:ascii="Arial" w:cs="Arial" w:eastAsia="Arial" w:hAnsi="Arial"/>
          <w:sz w:val="18"/>
          <w:szCs w:val="18"/>
          <w:color w:val="auto"/>
        </w:rPr>
      </w:pPr>
    </w:p>
    <w:p>
      <w:pPr>
        <w:ind w:left="1020" w:right="16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2022 and June 2022, financial assets measured at fair value on a recurring basis are summarized below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20"/>
                <w:szCs w:val="20"/>
                <w:color w:val="auto"/>
              </w:rPr>
              <w:t>September 2022</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3</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 (1)</w:t>
            </w:r>
          </w:p>
        </w:tc>
        <w:tc>
          <w:tcPr>
            <w:tcW w:w="100" w:type="dxa"/>
            <w:vAlign w:val="bottom"/>
          </w:tcPr>
          <w:p>
            <w:pPr>
              <w:spacing w:after="0"/>
              <w:rPr>
                <w:sz w:val="18"/>
                <w:szCs w:val="18"/>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410.9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12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-170815</wp:posOffset>
            </wp:positionV>
            <wp:extent cx="7683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-170815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Excludes $418.8 million in cash held in our bank accounts as of September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20"/>
                <w:szCs w:val="20"/>
                <w:color w:val="auto"/>
              </w:rPr>
              <w:t>June 2022</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3</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(1) Excludes $811.9 million in cash held in our bank accounts as of June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319"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We report our financial instruments at fair value with the exception of the Senior Notes and Term Loan Facility. See Note 11 Debt. The estimated fair value of the Senior Notes and Term Loan Facility was determined based on the trading price of the Senior Notes and Term Loan Facility as of the last day of trading for the period. We consider the fair value of the Senior Notes and Term Loan Facility to be a Level 2 measurement as they are not actively traded in markets.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amounts and estimated fair values of the Senior Notes and Term Loan Facility are as follows for the periods presented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September 2022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June 2022</w:t>
            </w:r>
          </w:p>
        </w:tc>
        <w:tc>
          <w:tcPr>
            <w:tcW w:w="100" w:type="dxa"/>
            <w:vAlign w:val="bottom"/>
          </w:tcPr>
          <w:p>
            <w:pPr>
              <w:spacing w:after="0"/>
              <w:rPr>
                <w:sz w:val="18"/>
                <w:szCs w:val="18"/>
                <w:color w:val="auto"/>
              </w:rPr>
            </w:pPr>
          </w:p>
        </w:tc>
      </w:tr>
      <w:tr>
        <w:trPr>
          <w:trHeight w:val="168"/>
        </w:trPr>
        <w:tc>
          <w:tcPr>
            <w:tcW w:w="38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50"/>
              <w:spacing w:after="0" w:line="168" w:lineRule="exact"/>
              <w:rPr>
                <w:sz w:val="20"/>
                <w:szCs w:val="20"/>
                <w:color w:val="auto"/>
              </w:rPr>
            </w:pPr>
            <w:r>
              <w:rPr>
                <w:rFonts w:ascii="Arial" w:cs="Arial" w:eastAsia="Arial" w:hAnsi="Arial"/>
                <w:sz w:val="18"/>
                <w:szCs w:val="18"/>
                <w:color w:val="auto"/>
                <w:w w:val="91"/>
              </w:rPr>
              <w:t>Carrying</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70"/>
              <w:spacing w:after="0" w:line="168" w:lineRule="exact"/>
              <w:rPr>
                <w:sz w:val="20"/>
                <w:szCs w:val="20"/>
                <w:color w:val="auto"/>
              </w:rPr>
            </w:pPr>
            <w:r>
              <w:rPr>
                <w:rFonts w:ascii="Arial" w:cs="Arial" w:eastAsia="Arial" w:hAnsi="Arial"/>
                <w:sz w:val="18"/>
                <w:szCs w:val="18"/>
                <w:color w:val="auto"/>
                <w:w w:val="89"/>
              </w:rPr>
              <w:t>Estimated Fair</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30"/>
              <w:spacing w:after="0" w:line="168" w:lineRule="exact"/>
              <w:rPr>
                <w:sz w:val="20"/>
                <w:szCs w:val="20"/>
                <w:color w:val="auto"/>
              </w:rPr>
            </w:pPr>
            <w:r>
              <w:rPr>
                <w:rFonts w:ascii="Arial" w:cs="Arial" w:eastAsia="Arial" w:hAnsi="Arial"/>
                <w:sz w:val="18"/>
                <w:szCs w:val="18"/>
                <w:color w:val="auto"/>
                <w:w w:val="96"/>
              </w:rPr>
              <w:t>Carrying</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130"/>
              <w:spacing w:after="0" w:line="168" w:lineRule="exact"/>
              <w:rPr>
                <w:sz w:val="20"/>
                <w:szCs w:val="20"/>
                <w:color w:val="auto"/>
              </w:rPr>
            </w:pPr>
            <w:r>
              <w:rPr>
                <w:rFonts w:ascii="Arial" w:cs="Arial" w:eastAsia="Arial" w:hAnsi="Arial"/>
                <w:sz w:val="18"/>
                <w:szCs w:val="18"/>
                <w:color w:val="auto"/>
                <w:w w:val="93"/>
              </w:rPr>
              <w:t>Estimated Fair</w:t>
            </w:r>
          </w:p>
        </w:tc>
        <w:tc>
          <w:tcPr>
            <w:tcW w:w="100" w:type="dxa"/>
            <w:vAlign w:val="bottom"/>
            <w:shd w:val="clear" w:color="auto" w:fill="CFF0FC"/>
          </w:tcPr>
          <w:p>
            <w:pPr>
              <w:spacing w:after="0"/>
              <w:rPr>
                <w:sz w:val="14"/>
                <w:szCs w:val="14"/>
                <w:color w:val="auto"/>
              </w:rPr>
            </w:pPr>
          </w:p>
        </w:tc>
      </w:tr>
      <w:tr>
        <w:trPr>
          <w:trHeight w:val="230"/>
        </w:trPr>
        <w:tc>
          <w:tcPr>
            <w:tcW w:w="382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Value</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920" w:type="dxa"/>
            <w:vAlign w:val="bottom"/>
            <w:gridSpan w:val="2"/>
          </w:tcPr>
          <w:p>
            <w:pPr>
              <w:jc w:val="center"/>
              <w:ind w:left="15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 Facility due 2028</w:t>
            </w:r>
          </w:p>
        </w:tc>
        <w:tc>
          <w:tcPr>
            <w:tcW w:w="1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820" w:type="dxa"/>
            <w:vAlign w:val="bottom"/>
          </w:tcPr>
          <w:p>
            <w:pPr>
              <w:spacing w:after="0"/>
              <w:rPr>
                <w:sz w:val="24"/>
                <w:szCs w:val="24"/>
                <w:color w:val="auto"/>
              </w:rPr>
            </w:pPr>
          </w:p>
        </w:tc>
        <w:tc>
          <w:tcPr>
            <w:tcW w:w="1920" w:type="dxa"/>
            <w:vAlign w:val="bottom"/>
            <w:gridSpan w:val="2"/>
          </w:tcPr>
          <w:p>
            <w:pPr>
              <w:jc w:val="center"/>
              <w:ind w:left="1610"/>
              <w:spacing w:after="0"/>
              <w:rPr>
                <w:sz w:val="20"/>
                <w:szCs w:val="20"/>
                <w:color w:val="auto"/>
              </w:rPr>
            </w:pPr>
            <w:r>
              <w:rPr>
                <w:rFonts w:ascii="Arial" w:cs="Arial" w:eastAsia="Arial" w:hAnsi="Arial"/>
                <w:sz w:val="18"/>
                <w:szCs w:val="18"/>
                <w:color w:val="auto"/>
                <w:w w:val="89"/>
              </w:rPr>
              <w:t>13</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8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-941070</wp:posOffset>
            </wp:positionV>
            <wp:extent cx="7683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-941070</wp:posOffset>
            </wp:positionV>
            <wp:extent cx="7683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-941070</wp:posOffset>
            </wp:positionV>
            <wp:extent cx="6858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-658495</wp:posOffset>
            </wp:positionV>
            <wp:extent cx="7683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-658495</wp:posOffset>
            </wp:positionV>
            <wp:extent cx="7683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-658495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03"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color w:val="auto"/>
                <w:w w:val="88"/>
              </w:rPr>
              <w:t>September 2022</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color w:val="auto"/>
              </w:rPr>
              <w:t>June 2022</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7"/>
        </w:trPr>
        <w:tc>
          <w:tcPr>
            <w:tcW w:w="2840" w:type="dxa"/>
            <w:vAlign w:val="bottom"/>
          </w:tcPr>
          <w:p>
            <w:pPr>
              <w:spacing w:after="0"/>
              <w:rPr>
                <w:sz w:val="11"/>
                <w:szCs w:val="11"/>
                <w:color w:val="auto"/>
              </w:rPr>
            </w:pPr>
          </w:p>
        </w:tc>
        <w:tc>
          <w:tcPr>
            <w:tcW w:w="1320" w:type="dxa"/>
            <w:vAlign w:val="bottom"/>
            <w:gridSpan w:val="2"/>
          </w:tcPr>
          <w:p>
            <w:pPr>
              <w:jc w:val="center"/>
              <w:ind w:right="280"/>
              <w:spacing w:after="0" w:line="137" w:lineRule="exact"/>
              <w:rPr>
                <w:sz w:val="20"/>
                <w:szCs w:val="20"/>
                <w:color w:val="auto"/>
              </w:rPr>
            </w:pPr>
            <w:r>
              <w:rPr>
                <w:rFonts w:ascii="Arial" w:cs="Arial" w:eastAsia="Arial" w:hAnsi="Arial"/>
                <w:sz w:val="14"/>
                <w:szCs w:val="14"/>
                <w:color w:val="auto"/>
                <w:w w:val="94"/>
              </w:rPr>
              <w:t>Weighted</w:t>
            </w:r>
          </w:p>
        </w:tc>
        <w:tc>
          <w:tcPr>
            <w:tcW w:w="140" w:type="dxa"/>
            <w:vAlign w:val="bottom"/>
          </w:tcPr>
          <w:p>
            <w:pPr>
              <w:spacing w:after="0"/>
              <w:rPr>
                <w:sz w:val="11"/>
                <w:szCs w:val="11"/>
                <w:color w:val="auto"/>
              </w:rPr>
            </w:pPr>
          </w:p>
        </w:tc>
        <w:tc>
          <w:tcPr>
            <w:tcW w:w="760" w:type="dxa"/>
            <w:vAlign w:val="bottom"/>
          </w:tcPr>
          <w:p>
            <w:pPr>
              <w:jc w:val="center"/>
              <w:ind w:right="101"/>
              <w:spacing w:after="0" w:line="137" w:lineRule="exact"/>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101"/>
              <w:spacing w:after="0" w:line="137"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4"/>
        </w:trPr>
        <w:tc>
          <w:tcPr>
            <w:tcW w:w="284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3"/>
                <w:szCs w:val="13"/>
                <w:color w:val="auto"/>
              </w:rPr>
            </w:pPr>
          </w:p>
        </w:tc>
        <w:tc>
          <w:tcPr>
            <w:tcW w:w="760" w:type="dxa"/>
            <w:vAlign w:val="bottom"/>
          </w:tcPr>
          <w:p>
            <w:pPr>
              <w:jc w:val="center"/>
              <w:ind w:right="61"/>
              <w:spacing w:after="0" w:line="153" w:lineRule="exact"/>
              <w:rPr>
                <w:sz w:val="20"/>
                <w:szCs w:val="20"/>
                <w:color w:val="auto"/>
              </w:rPr>
            </w:pPr>
            <w:r>
              <w:rPr>
                <w:rFonts w:ascii="Arial" w:cs="Arial" w:eastAsia="Arial" w:hAnsi="Arial"/>
                <w:sz w:val="14"/>
                <w:szCs w:val="14"/>
                <w:color w:val="auto"/>
                <w:w w:val="94"/>
              </w:rPr>
              <w:t>Carrying</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19"/>
              <w:spacing w:after="0" w:line="153" w:lineRule="exact"/>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3"/>
                <w:szCs w:val="13"/>
                <w:color w:val="auto"/>
              </w:rPr>
            </w:pPr>
          </w:p>
        </w:tc>
        <w:tc>
          <w:tcPr>
            <w:tcW w:w="860" w:type="dxa"/>
            <w:vAlign w:val="bottom"/>
          </w:tcPr>
          <w:p>
            <w:pPr>
              <w:jc w:val="right"/>
              <w:ind w:right="21"/>
              <w:spacing w:after="0" w:line="153" w:lineRule="exact"/>
              <w:rPr>
                <w:sz w:val="20"/>
                <w:szCs w:val="20"/>
                <w:color w:val="auto"/>
              </w:rPr>
            </w:pPr>
            <w:r>
              <w:rPr>
                <w:rFonts w:ascii="Arial" w:cs="Arial" w:eastAsia="Arial" w:hAnsi="Arial"/>
                <w:sz w:val="14"/>
                <w:szCs w:val="14"/>
                <w:color w:val="auto"/>
                <w:w w:val="94"/>
              </w:rPr>
              <w:t>Net Carrying</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61"/>
              <w:spacing w:after="0" w:line="153" w:lineRule="exact"/>
              <w:rPr>
                <w:sz w:val="20"/>
                <w:szCs w:val="20"/>
                <w:color w:val="auto"/>
              </w:rPr>
            </w:pPr>
            <w:r>
              <w:rPr>
                <w:rFonts w:ascii="Arial" w:cs="Arial" w:eastAsia="Arial" w:hAnsi="Arial"/>
                <w:sz w:val="14"/>
                <w:szCs w:val="14"/>
                <w:color w:val="auto"/>
                <w:w w:val="94"/>
              </w:rPr>
              <w:t>Carrying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19"/>
              <w:spacing w:after="0" w:line="153" w:lineRule="exact"/>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3"/>
                <w:szCs w:val="13"/>
                <w:color w:val="auto"/>
              </w:rPr>
            </w:pPr>
          </w:p>
        </w:tc>
        <w:tc>
          <w:tcPr>
            <w:tcW w:w="860" w:type="dxa"/>
            <w:vAlign w:val="bottom"/>
          </w:tcPr>
          <w:p>
            <w:pPr>
              <w:jc w:val="right"/>
              <w:ind w:right="21"/>
              <w:spacing w:after="0" w:line="153" w:lineRule="exact"/>
              <w:rPr>
                <w:sz w:val="20"/>
                <w:szCs w:val="20"/>
                <w:color w:val="auto"/>
              </w:rPr>
            </w:pPr>
            <w:r>
              <w:rPr>
                <w:rFonts w:ascii="Arial" w:cs="Arial" w:eastAsia="Arial" w:hAnsi="Arial"/>
                <w:sz w:val="14"/>
                <w:szCs w:val="14"/>
                <w:color w:val="auto"/>
                <w:w w:val="94"/>
              </w:rPr>
              <w:t>Net Carrying</w:t>
            </w:r>
          </w:p>
        </w:tc>
        <w:tc>
          <w:tcPr>
            <w:tcW w:w="100" w:type="dxa"/>
            <w:vAlign w:val="bottom"/>
          </w:tcPr>
          <w:p>
            <w:pPr>
              <w:spacing w:after="0"/>
              <w:rPr>
                <w:sz w:val="13"/>
                <w:szCs w:val="13"/>
                <w:color w:val="auto"/>
              </w:rPr>
            </w:pPr>
          </w:p>
        </w:tc>
      </w:tr>
      <w:tr>
        <w:trPr>
          <w:trHeight w:val="189"/>
        </w:trPr>
        <w:tc>
          <w:tcPr>
            <w:tcW w:w="28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Life in Years</w:t>
            </w:r>
          </w:p>
        </w:tc>
        <w:tc>
          <w:tcPr>
            <w:tcW w:w="140" w:type="dxa"/>
            <w:vAlign w:val="bottom"/>
          </w:tcPr>
          <w:p>
            <w:pPr>
              <w:spacing w:after="0"/>
              <w:rPr>
                <w:sz w:val="16"/>
                <w:szCs w:val="16"/>
                <w:color w:val="auto"/>
              </w:rPr>
            </w:pPr>
          </w:p>
        </w:tc>
        <w:tc>
          <w:tcPr>
            <w:tcW w:w="760" w:type="dxa"/>
            <w:vAlign w:val="bottom"/>
          </w:tcPr>
          <w:p>
            <w:pPr>
              <w:jc w:val="center"/>
              <w:ind w:right="81"/>
              <w:spacing w:after="0"/>
              <w:rPr>
                <w:sz w:val="20"/>
                <w:szCs w:val="20"/>
                <w:color w:val="auto"/>
              </w:rPr>
            </w:pPr>
            <w:r>
              <w:rPr>
                <w:rFonts w:ascii="Arial" w:cs="Arial" w:eastAsia="Arial" w:hAnsi="Arial"/>
                <w:sz w:val="14"/>
                <w:szCs w:val="14"/>
                <w:color w:val="auto"/>
                <w:w w:val="89"/>
              </w:rPr>
              <w:t>Value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6"/>
                <w:szCs w:val="16"/>
                <w:color w:val="auto"/>
              </w:rPr>
            </w:pPr>
          </w:p>
        </w:tc>
        <w:tc>
          <w:tcPr>
            <w:tcW w:w="860" w:type="dxa"/>
            <w:vAlign w:val="bottom"/>
          </w:tcPr>
          <w:p>
            <w:pPr>
              <w:jc w:val="right"/>
              <w:ind w:right="241"/>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6"/>
                <w:szCs w:val="16"/>
                <w:color w:val="auto"/>
              </w:rPr>
            </w:pPr>
          </w:p>
        </w:tc>
        <w:tc>
          <w:tcPr>
            <w:tcW w:w="860" w:type="dxa"/>
            <w:vAlign w:val="bottom"/>
          </w:tcPr>
          <w:p>
            <w:pPr>
              <w:jc w:val="right"/>
              <w:ind w:right="241"/>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r>
      <w:tr>
        <w:trPr>
          <w:trHeight w:val="196"/>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Audio and video technology</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231.9</w:t>
            </w:r>
          </w:p>
        </w:tc>
        <w:tc>
          <w:tcPr>
            <w:tcW w:w="2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(119.8</w:t>
            </w: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112.1</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232.1</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FF0FC"/>
          </w:tcPr>
          <w:p>
            <w:pPr>
              <w:spacing w:after="0"/>
              <w:rPr>
                <w:sz w:val="17"/>
                <w:szCs w:val="17"/>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color w:val="auto"/>
              </w:rPr>
              <w:t>(93.3 )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(99.7 )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7"/>
                <w:szCs w:val="17"/>
                <w:color w:val="auto"/>
              </w:rPr>
            </w:pPr>
          </w:p>
        </w:tc>
      </w:tr>
      <w:tr>
        <w:trPr>
          <w:trHeight w:val="202"/>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Wireless connectivity technology</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(39.4 )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(33.8 )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FF0FC"/>
          </w:tcPr>
          <w:p>
            <w:pPr>
              <w:spacing w:after="0"/>
              <w:rPr>
                <w:sz w:val="17"/>
                <w:szCs w:val="17"/>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6"/>
                <w:szCs w:val="16"/>
                <w:color w:val="auto"/>
              </w:rPr>
              <w:t>Video interface technology</w:t>
            </w: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color w:val="auto"/>
              </w:rPr>
              <w:t>(59.2 )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(52.4 )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r>
      <w:tr>
        <w:trPr>
          <w:trHeight w:val="202"/>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Licensed technology and other</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7"/>
                <w:szCs w:val="17"/>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6"/>
                <w:szCs w:val="16"/>
                <w:color w:val="auto"/>
              </w:rPr>
              <w:t>Patents</w:t>
            </w: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r>
      <w:tr>
        <w:trPr>
          <w:trHeight w:val="202"/>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7"/>
                <w:szCs w:val="17"/>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6"/>
                <w:szCs w:val="16"/>
                <w:color w:val="auto"/>
              </w:rPr>
              <w:t>In process research and development</w:t>
            </w: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Not applicable</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7"/>
                <w:szCs w:val="17"/>
                <w:color w:val="auto"/>
              </w:rPr>
            </w:pPr>
          </w:p>
        </w:tc>
      </w:tr>
      <w:tr>
        <w:trPr>
          <w:trHeight w:val="236"/>
        </w:trPr>
        <w:tc>
          <w:tcPr>
            <w:tcW w:w="2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Acquired intangibles totals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684.4</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(327.4</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(309.7</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total amortization expense for the acquired intangible assets was $33.0 million and $25.2 million for the three months ended September 2022 and September 2021, respectively. During the three months ended September 2022, and September 2021, $23.5 million and $16.9 million, respectively, of amortization expense was included in our condensed consolidated statements of income in cost of revenue; the remainder was included under operating expenses in acquired intangibles amortization.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3"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were no changes in our goodwill balance for the three months ended September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2034, some of which include options to extend the lease for up to seven years. For the three months ended September 2022 and September 2021, we recorded approximately $3.3 million and $2.8 million, respectively, of operating leases expense. Our short-term leases are immaterial.</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2022 and June 2022, the components of leases are as follows (in millions):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w w:val="97"/>
              </w:rPr>
              <w:t>September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49"/>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Operating lease liabilities</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4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56.1</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-470535</wp:posOffset>
            </wp:positionV>
            <wp:extent cx="94170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1705" cy="1625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-170815</wp:posOffset>
            </wp:positionV>
            <wp:extent cx="5143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545" cy="17145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including from acquisitions, is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54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Three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color w:val="auto"/>
                <w:w w:val="88"/>
              </w:rPr>
              <w:t>September</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w w:val="96"/>
              </w:rPr>
              <w:t>Cash paid for operating leases included in operating cash flows</w:t>
            </w: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74"/>
        </w:trPr>
        <w:tc>
          <w:tcPr>
            <w:tcW w:w="1700" w:type="dxa"/>
            <w:vAlign w:val="bottom"/>
          </w:tcPr>
          <w:p>
            <w:pPr>
              <w:spacing w:after="0"/>
              <w:rPr>
                <w:sz w:val="15"/>
                <w:szCs w:val="15"/>
                <w:color w:val="auto"/>
              </w:rPr>
            </w:pPr>
          </w:p>
        </w:tc>
        <w:tc>
          <w:tcPr>
            <w:tcW w:w="4880" w:type="dxa"/>
            <w:vAlign w:val="bottom"/>
          </w:tcPr>
          <w:p>
            <w:pPr>
              <w:spacing w:after="0" w:line="175" w:lineRule="exact"/>
              <w:rPr>
                <w:sz w:val="20"/>
                <w:szCs w:val="20"/>
                <w:color w:val="auto"/>
              </w:rPr>
            </w:pPr>
            <w:r>
              <w:rPr>
                <w:rFonts w:ascii="Arial" w:cs="Arial" w:eastAsia="Arial" w:hAnsi="Arial"/>
                <w:sz w:val="18"/>
                <w:szCs w:val="18"/>
                <w:color w:val="auto"/>
              </w:rPr>
              <w:t>Supplemental non-cash information related to lease liabilities</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0"/>
        </w:trPr>
        <w:tc>
          <w:tcPr>
            <w:tcW w:w="17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arising from obtaining right-of-use assets</w:t>
            </w: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4880" w:type="dxa"/>
            <w:vAlign w:val="bottom"/>
          </w:tcPr>
          <w:p>
            <w:pPr>
              <w:jc w:val="right"/>
              <w:ind w:right="770"/>
              <w:spacing w:after="0"/>
              <w:rPr>
                <w:sz w:val="20"/>
                <w:szCs w:val="20"/>
                <w:color w:val="auto"/>
              </w:rPr>
            </w:pPr>
            <w:r>
              <w:rPr>
                <w:rFonts w:ascii="Arial" w:cs="Arial" w:eastAsia="Arial" w:hAnsi="Arial"/>
                <w:sz w:val="18"/>
                <w:szCs w:val="18"/>
                <w:color w:val="auto"/>
              </w:rPr>
              <w:t>14</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21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2022, the weighted average remaining lease term is 7.9 years, and the weighted average discount rate is 4.4%.</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5"/>
          </w:tcPr>
          <w:p>
            <w:pPr>
              <w:jc w:val="center"/>
              <w:ind w:right="560"/>
              <w:spacing w:after="0"/>
              <w:rPr>
                <w:sz w:val="20"/>
                <w:szCs w:val="20"/>
                <w:color w:val="auto"/>
              </w:rPr>
            </w:pPr>
            <w:r>
              <w:rPr>
                <w:rFonts w:ascii="Arial" w:cs="Arial" w:eastAsia="Arial" w:hAnsi="Arial"/>
                <w:sz w:val="18"/>
                <w:szCs w:val="18"/>
                <w:color w:val="auto"/>
                <w:w w:val="91"/>
              </w:rPr>
              <w:t>Operating</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left="350"/>
              <w:spacing w:after="0"/>
              <w:rPr>
                <w:sz w:val="20"/>
                <w:szCs w:val="20"/>
                <w:color w:val="auto"/>
              </w:rPr>
            </w:pPr>
            <w:r>
              <w:rPr>
                <w:rFonts w:ascii="Arial" w:cs="Arial" w:eastAsia="Arial" w:hAnsi="Arial"/>
                <w:sz w:val="18"/>
                <w:szCs w:val="18"/>
                <w:color w:val="auto"/>
                <w:w w:val="85"/>
              </w:rPr>
              <w:t>Lease</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jc w:val="center"/>
              <w:ind w:right="540"/>
              <w:spacing w:after="0"/>
              <w:rPr>
                <w:sz w:val="20"/>
                <w:szCs w:val="20"/>
                <w:color w:val="auto"/>
              </w:rPr>
            </w:pPr>
            <w:r>
              <w:rPr>
                <w:rFonts w:ascii="Arial" w:cs="Arial" w:eastAsia="Arial" w:hAnsi="Arial"/>
                <w:sz w:val="18"/>
                <w:szCs w:val="18"/>
                <w:color w:val="auto"/>
                <w:w w:val="87"/>
              </w:rPr>
              <w:t>Payments</w:t>
            </w:r>
          </w:p>
        </w:tc>
        <w:tc>
          <w:tcPr>
            <w:tcW w:w="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(12.1 )</w:t>
            </w:r>
          </w:p>
        </w:tc>
        <w:tc>
          <w:tcPr>
            <w:tcW w:w="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614"/>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9. Balance Sheet Components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740" w:type="dxa"/>
            <w:vAlign w:val="bottom"/>
            <w:gridSpan w:val="3"/>
          </w:tcPr>
          <w:p>
            <w:pPr>
              <w:ind w:left="520"/>
              <w:spacing w:after="0"/>
              <w:rPr>
                <w:sz w:val="20"/>
                <w:szCs w:val="20"/>
                <w:color w:val="auto"/>
              </w:rPr>
            </w:pPr>
            <w:r>
              <w:rPr>
                <w:rFonts w:ascii="Arial" w:cs="Arial" w:eastAsia="Arial" w:hAnsi="Arial"/>
                <w:sz w:val="18"/>
                <w:szCs w:val="18"/>
                <w:color w:val="auto"/>
              </w:rPr>
              <w:t>Other accrued liabilities consisted of the following (in millions):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0"/>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90"/>
              <w:spacing w:after="0"/>
              <w:rPr>
                <w:sz w:val="20"/>
                <w:szCs w:val="20"/>
                <w:color w:val="auto"/>
              </w:rPr>
            </w:pPr>
            <w:r>
              <w:rPr>
                <w:rFonts w:ascii="Arial" w:cs="Arial" w:eastAsia="Arial" w:hAnsi="Arial"/>
                <w:sz w:val="18"/>
                <w:szCs w:val="18"/>
                <w:color w:val="auto"/>
                <w:w w:val="86"/>
              </w:rPr>
              <w:t>September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Inventory obligations</w:t>
            </w:r>
          </w:p>
        </w:tc>
        <w:tc>
          <w:tcPr>
            <w:tcW w:w="1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439"/>
        </w:trPr>
        <w:tc>
          <w:tcPr>
            <w:tcW w:w="6740" w:type="dxa"/>
            <w:vAlign w:val="bottom"/>
            <w:gridSpan w:val="3"/>
          </w:tcPr>
          <w:p>
            <w:pPr>
              <w:ind w:left="520"/>
              <w:spacing w:after="0"/>
              <w:rPr>
                <w:sz w:val="20"/>
                <w:szCs w:val="20"/>
                <w:color w:val="auto"/>
              </w:rPr>
            </w:pPr>
            <w:r>
              <w:rPr>
                <w:rFonts w:ascii="Arial" w:cs="Arial" w:eastAsia="Arial" w:hAnsi="Arial"/>
                <w:sz w:val="18"/>
                <w:szCs w:val="18"/>
                <w:color w:val="auto"/>
              </w:rPr>
              <w:t>Other long-term liabilities consisted of the following (in millions):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90"/>
              <w:spacing w:after="0"/>
              <w:rPr>
                <w:sz w:val="20"/>
                <w:szCs w:val="20"/>
                <w:color w:val="auto"/>
              </w:rPr>
            </w:pPr>
            <w:r>
              <w:rPr>
                <w:rFonts w:ascii="Arial" w:cs="Arial" w:eastAsia="Arial" w:hAnsi="Arial"/>
                <w:sz w:val="18"/>
                <w:szCs w:val="18"/>
                <w:color w:val="auto"/>
                <w:w w:val="86"/>
              </w:rPr>
              <w:t>September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1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-3176270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-3159125</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-1446530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-1429385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-1446530</wp:posOffset>
            </wp:positionV>
            <wp:extent cx="42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-1429385</wp:posOffset>
            </wp:positionV>
            <wp:extent cx="42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950595"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50595" cy="1625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7940" w:firstLine="8"/>
        <w:spacing w:after="0" w:line="361"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Indemnifications and Contingencies </w:t>
      </w:r>
      <w:r>
        <w:rPr>
          <w:rFonts w:ascii="Arial" w:cs="Arial" w:eastAsia="Arial" w:hAnsi="Arial"/>
          <w:sz w:val="18"/>
          <w:szCs w:val="18"/>
          <w:i w:val="1"/>
          <w:iCs w:val="1"/>
          <w:color w:val="auto"/>
        </w:rPr>
        <w:t>Indemnifications</w:t>
      </w:r>
    </w:p>
    <w:p>
      <w:pPr>
        <w:spacing w:after="0" w:line="2"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3" w:lineRule="exact"/>
        <w:rPr>
          <w:sz w:val="20"/>
          <w:szCs w:val="20"/>
          <w:color w:val="auto"/>
        </w:rPr>
      </w:pPr>
    </w:p>
    <w:p>
      <w:pPr>
        <w:ind w:firstLine="509"/>
        <w:spacing w:after="0" w:line="341"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120" w:lineRule="exact"/>
        <w:rPr>
          <w:sz w:val="20"/>
          <w:szCs w:val="20"/>
          <w:color w:val="auto"/>
        </w:rPr>
      </w:pPr>
    </w:p>
    <w:p>
      <w:pPr>
        <w:ind w:right="10280" w:firstLine="8"/>
        <w:spacing w:after="0" w:line="415" w:lineRule="auto"/>
        <w:tabs>
          <w:tab w:leader="none" w:pos="2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i w:val="1"/>
          <w:iCs w:val="1"/>
          <w:color w:val="auto"/>
        </w:rPr>
        <w:t>Senior Notes</w:t>
      </w:r>
    </w:p>
    <w:p>
      <w:pPr>
        <w:spacing w:after="0" w:line="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6"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8" w:lineRule="exact"/>
        <w:rPr>
          <w:sz w:val="20"/>
          <w:szCs w:val="20"/>
          <w:color w:val="auto"/>
        </w:rPr>
      </w:pPr>
    </w:p>
    <w:p>
      <w:pPr>
        <w:ind w:right="160" w:firstLine="509"/>
        <w:spacing w:after="0" w:line="290"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40"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42"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60" w:type="dxa"/>
            <w:vAlign w:val="bottom"/>
          </w:tcPr>
          <w:p>
            <w:pPr>
              <w:ind w:left="2420"/>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0"/>
                <w:szCs w:val="20"/>
                <w:color w:val="auto"/>
              </w:rPr>
            </w:pPr>
          </w:p>
        </w:tc>
        <w:tc>
          <w:tcPr>
            <w:tcW w:w="1600" w:type="dxa"/>
            <w:vAlign w:val="bottom"/>
            <w:gridSpan w:val="2"/>
          </w:tcPr>
          <w:p>
            <w:pPr>
              <w:jc w:val="right"/>
              <w:ind w:right="610"/>
              <w:spacing w:after="0"/>
              <w:rPr>
                <w:sz w:val="20"/>
                <w:szCs w:val="20"/>
                <w:color w:val="auto"/>
              </w:rPr>
            </w:pPr>
            <w:r>
              <w:rPr>
                <w:rFonts w:ascii="Arial" w:cs="Arial" w:eastAsia="Arial" w:hAnsi="Arial"/>
                <w:sz w:val="18"/>
                <w:szCs w:val="18"/>
                <w:color w:val="auto"/>
              </w:rPr>
              <w:t>Price</w:t>
            </w:r>
          </w:p>
        </w:tc>
      </w:tr>
      <w:tr>
        <w:trPr>
          <w:trHeight w:val="209"/>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2025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101 %</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-410210</wp:posOffset>
            </wp:positionV>
            <wp:extent cx="427291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-136525</wp:posOffset>
            </wp:positionV>
            <wp:extent cx="427291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72915" cy="137160"/>
                    </a:xfrm>
                    <a:prstGeom prst="rect">
                      <a:avLst/>
                    </a:prstGeom>
                    <a:noFill/>
                  </pic:spPr>
                </pic:pic>
              </a:graphicData>
            </a:graphic>
          </wp:anchor>
        </w:drawing>
      </w:r>
    </w:p>
    <w:p>
      <w:pPr>
        <w:spacing w:after="0" w:line="7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6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4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7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condensed consolidated balance sheet, </w:t>
      </w:r>
      <w:r>
        <w:rPr>
          <w:rFonts w:ascii="Arial" w:cs="Arial" w:eastAsia="Arial" w:hAnsi="Arial"/>
          <w:sz w:val="18"/>
          <w:szCs w:val="18"/>
          <w:color w:val="252525"/>
        </w:rPr>
        <w:t>are</w:t>
      </w:r>
      <w:r>
        <w:rPr>
          <w:rFonts w:ascii="Arial" w:cs="Arial" w:eastAsia="Arial" w:hAnsi="Arial"/>
          <w:sz w:val="18"/>
          <w:szCs w:val="18"/>
          <w:color w:val="auto"/>
        </w:rPr>
        <w:t xml:space="preserve"> </w:t>
      </w:r>
      <w:r>
        <w:rPr>
          <w:rFonts w:ascii="Arial" w:cs="Arial" w:eastAsia="Arial" w:hAnsi="Arial"/>
          <w:sz w:val="18"/>
          <w:szCs w:val="18"/>
          <w:color w:val="252525"/>
        </w:rPr>
        <w:t xml:space="preserve">amortized as interest expense </w:t>
      </w:r>
      <w:r>
        <w:rPr>
          <w:rFonts w:ascii="Arial" w:cs="Arial" w:eastAsia="Arial" w:hAnsi="Arial"/>
          <w:sz w:val="18"/>
          <w:szCs w:val="18"/>
          <w:color w:val="000000"/>
        </w:rPr>
        <w:t>over 99 months. The total interest expense recorded on the Senior Notes during the three months ended September 2022 and</w:t>
      </w:r>
      <w:r>
        <w:rPr>
          <w:rFonts w:ascii="Arial" w:cs="Arial" w:eastAsia="Arial" w:hAnsi="Arial"/>
          <w:sz w:val="18"/>
          <w:szCs w:val="18"/>
          <w:color w:val="252525"/>
        </w:rPr>
        <w:t xml:space="preserve"> </w:t>
      </w:r>
      <w:r>
        <w:rPr>
          <w:rFonts w:ascii="Arial" w:cs="Arial" w:eastAsia="Arial" w:hAnsi="Arial"/>
          <w:sz w:val="18"/>
          <w:szCs w:val="18"/>
          <w:color w:val="000000"/>
        </w:rPr>
        <w:t>September 2021was $4.1 million in each period.</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Revolving Credit Facility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ind w:right="20" w:firstLine="464"/>
        <w:spacing w:after="0" w:line="279" w:lineRule="auto"/>
        <w:rPr>
          <w:sz w:val="20"/>
          <w:szCs w:val="20"/>
          <w:color w:val="auto"/>
        </w:rPr>
      </w:pPr>
      <w:r>
        <w:rPr>
          <w:rFonts w:ascii="Arial" w:cs="Arial" w:eastAsia="Arial" w:hAnsi="Arial"/>
          <w:sz w:val="16"/>
          <w:szCs w:val="16"/>
          <w:color w:val="auto"/>
        </w:rPr>
        <w:t>On March 11, 2021, we entered into a Second Amended and Restated Credit Agreement, with the lenders party thereto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Credit Agreement provides for a revolving credit facility in a principal amount of up to $250 million, which includes a $20 million sublimit for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and a $25 million sublimit for swingline loans. Under the terms of the Credit Agreement, we may, subject to the satisfaction of certain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conditions, request increases in the revolving credit facility commitments in an aggregate principal amount of up to $150 million to the extent existing 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new lenders agree to provide such increased or additional commitments, as applicable. Future proceeds under the revolving credit facility are available for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and general corporate purposes. In March 2021 we used a portion of the proceeds from the Senior Notes described above to repay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$100.0 million outstanding borrowings on this revolving credit facility. As of September 2022, there was no balance outstanding under the revolving credit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87" w:lineRule="exact"/>
        <w:rPr>
          <w:sz w:val="20"/>
          <w:szCs w:val="20"/>
          <w:color w:val="auto"/>
        </w:rPr>
      </w:pPr>
    </w:p>
    <w:p>
      <w:pPr>
        <w:ind w:right="20" w:firstLine="464"/>
        <w:spacing w:after="0" w:line="307"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26" w:lineRule="exact"/>
        <w:rPr>
          <w:sz w:val="20"/>
          <w:szCs w:val="20"/>
          <w:color w:val="auto"/>
        </w:rPr>
      </w:pPr>
    </w:p>
    <w:p>
      <w:pPr>
        <w:ind w:firstLine="464"/>
        <w:spacing w:after="0" w:line="245"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90" w:lineRule="exact"/>
        <w:rPr>
          <w:sz w:val="20"/>
          <w:szCs w:val="20"/>
          <w:color w:val="auto"/>
        </w:rPr>
      </w:pPr>
    </w:p>
    <w:p>
      <w:pPr>
        <w:ind w:right="20" w:firstLine="464"/>
        <w:spacing w:after="0" w:line="242"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83"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September 2022, we remain in compliance with the restrictive covenants.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3" w:lineRule="exact"/>
        <w:rPr>
          <w:sz w:val="20"/>
          <w:szCs w:val="20"/>
          <w:color w:val="auto"/>
        </w:rPr>
      </w:pPr>
    </w:p>
    <w:p>
      <w:pPr>
        <w:ind w:firstLine="464"/>
        <w:spacing w:after="0" w:line="245"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90" w:lineRule="exact"/>
        <w:rPr>
          <w:sz w:val="20"/>
          <w:szCs w:val="20"/>
          <w:color w:val="auto"/>
        </w:rPr>
      </w:pPr>
    </w:p>
    <w:p>
      <w:pPr>
        <w:ind w:right="200" w:firstLine="464"/>
        <w:spacing w:after="0" w:line="261" w:lineRule="auto"/>
        <w:rPr>
          <w:sz w:val="20"/>
          <w:szCs w:val="20"/>
          <w:color w:val="auto"/>
        </w:rPr>
      </w:pPr>
      <w:r>
        <w:rPr>
          <w:rFonts w:ascii="Arial" w:cs="Arial" w:eastAsia="Arial" w:hAnsi="Arial"/>
          <w:sz w:val="18"/>
          <w:szCs w:val="18"/>
          <w:color w:val="auto"/>
        </w:rPr>
        <w:t>Borrowings under the Term Loan Facility will accrue interest at the London Interbank Offered Rate, or LIBOR, plus 2.25% or at the base rate plus 1.50%, subject to a 25 basis point step-down based on total gross leverage, and subject to a LIBOR floor of 50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auto"/>
        </w:rPr>
        <w:t>points. The base rate is the highest of (i) 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51" w:lineRule="exact"/>
        <w:rPr>
          <w:sz w:val="20"/>
          <w:szCs w:val="20"/>
          <w:color w:val="auto"/>
        </w:rPr>
      </w:pPr>
    </w:p>
    <w:p>
      <w:pPr>
        <w:ind w:right="20" w:firstLine="464"/>
        <w:spacing w:after="0" w:line="277"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51" w:lineRule="exact"/>
        <w:rPr>
          <w:sz w:val="20"/>
          <w:szCs w:val="20"/>
          <w:color w:val="auto"/>
        </w:rPr>
      </w:pPr>
    </w:p>
    <w:p>
      <w:pPr>
        <w:jc w:val="both"/>
        <w:ind w:right="100" w:firstLine="464"/>
        <w:spacing w:after="0" w:line="247" w:lineRule="auto"/>
        <w:rPr>
          <w:sz w:val="20"/>
          <w:szCs w:val="20"/>
          <w:color w:val="auto"/>
        </w:rPr>
      </w:pPr>
      <w:r>
        <w:rPr>
          <w:rFonts w:ascii="Arial" w:cs="Arial" w:eastAsia="Arial" w:hAnsi="Arial"/>
          <w:sz w:val="18"/>
          <w:szCs w:val="18"/>
          <w:color w:val="auto"/>
        </w:rPr>
        <w:t>Debt issuance costs relating to the Term Loan Facility of $11.2 million, netted against the debt amount on the condensed consolidated balance sheet, are amortized as interest expense over 96 months. The total interest expense recorded on the Term Loan Facility during the three months ended September 2022 was $6.9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03" w:lineRule="exact"/>
        <w:rPr>
          <w:sz w:val="20"/>
          <w:szCs w:val="20"/>
          <w:color w:val="auto"/>
        </w:rPr>
      </w:pPr>
    </w:p>
    <w:p>
      <w:pPr>
        <w:ind w:right="160" w:firstLine="464"/>
        <w:spacing w:after="0" w:line="268" w:lineRule="auto"/>
        <w:rPr>
          <w:sz w:val="20"/>
          <w:szCs w:val="20"/>
          <w:color w:val="auto"/>
        </w:rPr>
      </w:pPr>
      <w:r>
        <w:rPr>
          <w:rFonts w:ascii="Arial" w:cs="Arial" w:eastAsia="Arial" w:hAnsi="Arial"/>
          <w:sz w:val="17"/>
          <w:szCs w:val="17"/>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Conversion Deadline. The conversion rate was equal to 13.7267 shares per $1,000 principal amount of the Convertible Notes, which was the initial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of 13.6947 shares per $1,000 principal amount of the Convertible Notes plus a number of additional shares equal to 0.0320 shares per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Convertible Notes. We elected to settle any conversions by Combination Settlement (as defined in the Convertible Notes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Indenture) with a Specified Dollar Amount (as defined in the Convertible Notes Indenture) per $1,000 principal amount of Convertible Notes equal to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$1,000, plus a number of shares of our common stock, to be determined pursuant to the Convertible Notes Indenture, together with additional cash, if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applicable, in lieu of delivering any fractional shares of common stock. As a result of this election, on August 4, 2021, we settled or redeemed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remaining outstanding Convertible Notes for $505.6 million in cash representing the principal amount outstanding and delivered approximately 3.5 million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shares in common stock from our treasury stock for additional amounts, resulting in a loss of approximately $8.1 million which is included in Interest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on our condensed consolidated statements of income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w w:val="92"/>
              </w:rPr>
              <w:t>Three Months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September</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Income tax benefit on share-based compensation</w:t>
            </w:r>
          </w:p>
        </w:tc>
        <w:tc>
          <w:tcPr>
            <w:tcW w:w="1220" w:type="dxa"/>
            <w:vAlign w:val="bottom"/>
            <w:tcBorders>
              <w:bottom w:val="single" w:sz="8" w:color="auto"/>
            </w:tcBorders>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-333375</wp:posOffset>
            </wp:positionV>
            <wp:extent cx="5969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-333375</wp:posOffset>
            </wp:positionV>
            <wp:extent cx="5969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w w:val="90"/>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September</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5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80" w:type="dxa"/>
            <w:vAlign w:val="bottom"/>
            <w:vMerge w:val="restart"/>
          </w:tcPr>
          <w:p>
            <w:pPr>
              <w:jc w:val="right"/>
              <w:ind w:right="1110"/>
              <w:spacing w:after="0"/>
              <w:rPr>
                <w:sz w:val="20"/>
                <w:szCs w:val="20"/>
                <w:color w:val="auto"/>
              </w:rPr>
            </w:pPr>
            <w:r>
              <w:rPr>
                <w:rFonts w:ascii="Arial" w:cs="Arial" w:eastAsia="Arial" w:hAnsi="Arial"/>
                <w:sz w:val="18"/>
                <w:szCs w:val="18"/>
                <w:color w:val="auto"/>
              </w:rPr>
              <w:t>18</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-658495</wp:posOffset>
            </wp:positionV>
            <wp:extent cx="5969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-658495</wp:posOffset>
            </wp:positionV>
            <wp:extent cx="5969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8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As of October 29, 2019, no new awards may be granted under the 2010 Incentive Plan or the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7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5,288,000 as of October 25, 2022. The 2019 ESPP authorizes the Company to provide eligible employees with an opportunity to acquire an equity interest in the Company through the purchase of stock at a discount, with an initial authorization of 1,500,000 shares.</w:t>
      </w:r>
    </w:p>
    <w:p>
      <w:pPr>
        <w:spacing w:after="0" w:line="76"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was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260" w:type="dxa"/>
            <w:vAlign w:val="bottom"/>
          </w:tcPr>
          <w:p>
            <w:pPr>
              <w:jc w:val="center"/>
              <w:ind w:left="379"/>
              <w:spacing w:after="0"/>
              <w:rPr>
                <w:sz w:val="20"/>
                <w:szCs w:val="20"/>
                <w:color w:val="auto"/>
              </w:rPr>
            </w:pPr>
            <w:r>
              <w:rPr>
                <w:rFonts w:ascii="Arial" w:cs="Arial" w:eastAsia="Arial" w:hAnsi="Arial"/>
                <w:sz w:val="16"/>
                <w:szCs w:val="16"/>
                <w:color w:val="auto"/>
                <w:w w:val="89"/>
              </w:rPr>
              <w:t>Stock</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left="380"/>
              <w:spacing w:after="0"/>
              <w:rPr>
                <w:sz w:val="20"/>
                <w:szCs w:val="20"/>
                <w:color w:val="auto"/>
              </w:rPr>
            </w:pPr>
            <w:r>
              <w:rPr>
                <w:rFonts w:ascii="Arial" w:cs="Arial" w:eastAsia="Arial" w:hAnsi="Arial"/>
                <w:sz w:val="16"/>
                <w:szCs w:val="16"/>
                <w:color w:val="auto"/>
                <w:w w:val="88"/>
              </w:rPr>
              <w:t>Weighted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color w:val="auto"/>
                <w:w w:val="89"/>
              </w:rPr>
              <w:t>Aggregate</w:t>
            </w:r>
          </w:p>
        </w:tc>
        <w:tc>
          <w:tcPr>
            <w:tcW w:w="80" w:type="dxa"/>
            <w:vAlign w:val="bottom"/>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260" w:type="dxa"/>
            <w:vAlign w:val="bottom"/>
          </w:tcPr>
          <w:p>
            <w:pPr>
              <w:jc w:val="center"/>
              <w:ind w:left="399"/>
              <w:spacing w:after="0"/>
              <w:rPr>
                <w:sz w:val="20"/>
                <w:szCs w:val="20"/>
                <w:color w:val="auto"/>
              </w:rPr>
            </w:pPr>
            <w:r>
              <w:rPr>
                <w:rFonts w:ascii="Arial" w:cs="Arial" w:eastAsia="Arial" w:hAnsi="Arial"/>
                <w:sz w:val="16"/>
                <w:szCs w:val="16"/>
                <w:color w:val="auto"/>
                <w:w w:val="97"/>
              </w:rPr>
              <w:t>Option</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left="380"/>
              <w:spacing w:after="0"/>
              <w:rPr>
                <w:sz w:val="20"/>
                <w:szCs w:val="20"/>
                <w:color w:val="auto"/>
              </w:rPr>
            </w:pPr>
            <w:r>
              <w:rPr>
                <w:rFonts w:ascii="Arial" w:cs="Arial" w:eastAsia="Arial" w:hAnsi="Arial"/>
                <w:sz w:val="16"/>
                <w:szCs w:val="16"/>
                <w:color w:val="auto"/>
                <w:w w:val="87"/>
              </w:rPr>
              <w:t>Average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color w:val="auto"/>
                <w:w w:val="97"/>
              </w:rPr>
              <w:t>Intrinsic</w:t>
            </w:r>
          </w:p>
        </w:tc>
        <w:tc>
          <w:tcPr>
            <w:tcW w:w="80" w:type="dxa"/>
            <w:vAlign w:val="bottom"/>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260" w:type="dxa"/>
            <w:vAlign w:val="bottom"/>
          </w:tcPr>
          <w:p>
            <w:pPr>
              <w:jc w:val="center"/>
              <w:ind w:left="379"/>
              <w:spacing w:after="0"/>
              <w:rPr>
                <w:sz w:val="20"/>
                <w:szCs w:val="20"/>
                <w:color w:val="auto"/>
              </w:rPr>
            </w:pPr>
            <w:r>
              <w:rPr>
                <w:rFonts w:ascii="Arial" w:cs="Arial" w:eastAsia="Arial" w:hAnsi="Arial"/>
                <w:sz w:val="16"/>
                <w:szCs w:val="16"/>
                <w:color w:val="auto"/>
                <w:w w:val="89"/>
              </w:rPr>
              <w:t>Awards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left="380"/>
              <w:spacing w:after="0"/>
              <w:rPr>
                <w:sz w:val="20"/>
                <w:szCs w:val="20"/>
                <w:color w:val="auto"/>
              </w:rPr>
            </w:pPr>
            <w:r>
              <w:rPr>
                <w:rFonts w:ascii="Arial" w:cs="Arial" w:eastAsia="Arial" w:hAnsi="Arial"/>
                <w:sz w:val="16"/>
                <w:szCs w:val="16"/>
                <w:color w:val="auto"/>
                <w:w w:val="91"/>
              </w:rPr>
              <w:t>Exercise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color w:val="auto"/>
                <w:w w:val="92"/>
              </w:rPr>
              <w:t>Value</w:t>
            </w:r>
          </w:p>
        </w:tc>
        <w:tc>
          <w:tcPr>
            <w:tcW w:w="80" w:type="dxa"/>
            <w:vAlign w:val="bottom"/>
          </w:tcPr>
          <w:p>
            <w:pPr>
              <w:spacing w:after="0"/>
              <w:rPr>
                <w:sz w:val="17"/>
                <w:szCs w:val="17"/>
                <w:color w:val="auto"/>
              </w:rPr>
            </w:pPr>
          </w:p>
        </w:tc>
      </w:tr>
      <w:tr>
        <w:trPr>
          <w:trHeight w:val="209"/>
        </w:trPr>
        <w:tc>
          <w:tcPr>
            <w:tcW w:w="3160" w:type="dxa"/>
            <w:vAlign w:val="bottom"/>
          </w:tcPr>
          <w:p>
            <w:pPr>
              <w:spacing w:after="0"/>
              <w:rPr>
                <w:sz w:val="18"/>
                <w:szCs w:val="18"/>
                <w:color w:val="auto"/>
              </w:rPr>
            </w:pPr>
          </w:p>
        </w:tc>
        <w:tc>
          <w:tcPr>
            <w:tcW w:w="126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0"/>
              </w:rPr>
              <w:t>Outstanding</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w w:val="87"/>
              </w:rPr>
              <w:t>Price</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18"/>
                <w:szCs w:val="18"/>
                <w:color w:val="auto"/>
              </w:rPr>
            </w:pPr>
          </w:p>
        </w:tc>
      </w:tr>
      <w:tr>
        <w:trPr>
          <w:trHeight w:val="19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Balance as of June 2022</w:t>
            </w:r>
          </w:p>
        </w:tc>
        <w:tc>
          <w:tcPr>
            <w:tcW w:w="12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31,185</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316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(3,808 )</w:t>
            </w:r>
          </w:p>
        </w:tc>
        <w:tc>
          <w:tcPr>
            <w:tcW w:w="1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88.53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September 2022</w:t>
            </w:r>
          </w:p>
        </w:tc>
        <w:tc>
          <w:tcPr>
            <w:tcW w:w="126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27,377</w:t>
            </w:r>
          </w:p>
        </w:tc>
        <w:tc>
          <w:tcPr>
            <w:tcW w:w="2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57.75</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1620" w:firstLine="509"/>
        <w:spacing w:after="0" w:line="367" w:lineRule="auto"/>
        <w:rPr>
          <w:sz w:val="20"/>
          <w:szCs w:val="20"/>
          <w:color w:val="auto"/>
        </w:rPr>
      </w:pPr>
      <w:r>
        <w:rPr>
          <w:rFonts w:ascii="Arial" w:cs="Arial" w:eastAsia="Arial" w:hAnsi="Arial"/>
          <w:sz w:val="18"/>
          <w:szCs w:val="18"/>
          <w:color w:val="auto"/>
        </w:rPr>
        <w:t xml:space="preserve">The aggregate intrinsic value was determined using the closing price of our common stock on September 23, 2022 of $100.95. </w:t>
      </w:r>
      <w:r>
        <w:rPr>
          <w:rFonts w:ascii="Arial" w:cs="Arial" w:eastAsia="Arial" w:hAnsi="Arial"/>
          <w:sz w:val="18"/>
          <w:szCs w:val="18"/>
          <w:i w:val="1"/>
          <w:iCs w:val="1"/>
          <w:color w:val="auto"/>
        </w:rPr>
        <w:t>Restricted Stock Units</w:t>
      </w:r>
    </w:p>
    <w:p>
      <w:pPr>
        <w:spacing w:after="0" w:line="1"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Our 2019 Incentive Plan provides for the grant of RSUs to our employees, consultants, and directors with initial grants occurring in 2019, and previously our 2019 Inducement Equity Plan and our 2010 Incentive Plan provided for the grant of deferred stock units, or DSUs, to our employees, consultants, and directors with initial grants occurring in 2006. An RSU and a DSU are each a promise to deliver shares of our common stock at a future date in accordance with the terms of the grant agreement and the words can be used interchangeably. Accordingly, any reference to RSU is intended to signify both an RSU and a DSU.</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granted generally vest ratably over three to four years from the vesting commencement date.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was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63"/>
        </w:trPr>
        <w:tc>
          <w:tcPr>
            <w:tcW w:w="5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4"/>
                <w:szCs w:val="14"/>
                <w:color w:val="auto"/>
              </w:rPr>
            </w:pPr>
          </w:p>
        </w:tc>
      </w:tr>
      <w:tr>
        <w:trPr>
          <w:trHeight w:val="175"/>
        </w:trPr>
        <w:tc>
          <w:tcPr>
            <w:tcW w:w="534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RSU</w:t>
            </w:r>
          </w:p>
        </w:tc>
        <w:tc>
          <w:tcPr>
            <w:tcW w:w="160" w:type="dxa"/>
            <w:vAlign w:val="bottom"/>
          </w:tcPr>
          <w:p>
            <w:pPr>
              <w:spacing w:after="0"/>
              <w:rPr>
                <w:sz w:val="15"/>
                <w:szCs w:val="15"/>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53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Awards</w:t>
            </w:r>
          </w:p>
        </w:tc>
        <w:tc>
          <w:tcPr>
            <w:tcW w:w="160" w:type="dxa"/>
            <w:vAlign w:val="bottom"/>
          </w:tcPr>
          <w:p>
            <w:pPr>
              <w:spacing w:after="0"/>
              <w:rPr>
                <w:sz w:val="15"/>
                <w:szCs w:val="15"/>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5"/>
                <w:szCs w:val="15"/>
                <w:color w:val="auto"/>
              </w:rPr>
            </w:pPr>
          </w:p>
        </w:tc>
      </w:tr>
      <w:tr>
        <w:trPr>
          <w:trHeight w:val="181"/>
        </w:trPr>
        <w:tc>
          <w:tcPr>
            <w:tcW w:w="53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Outstanding</w:t>
            </w:r>
          </w:p>
        </w:tc>
        <w:tc>
          <w:tcPr>
            <w:tcW w:w="160" w:type="dxa"/>
            <w:vAlign w:val="bottom"/>
          </w:tcPr>
          <w:p>
            <w:pPr>
              <w:spacing w:after="0"/>
              <w:rPr>
                <w:sz w:val="15"/>
                <w:szCs w:val="15"/>
                <w:color w:val="auto"/>
              </w:rPr>
            </w:pPr>
          </w:p>
        </w:tc>
        <w:tc>
          <w:tcPr>
            <w:tcW w:w="980" w:type="dxa"/>
            <w:vAlign w:val="bottom"/>
          </w:tcPr>
          <w:p>
            <w:pPr>
              <w:jc w:val="center"/>
              <w:ind w:right="65"/>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1,220,573</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627,743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Delivered</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(369,306 )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(24,178 )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1,454,832</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-24765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23, 2022 of $100.95.</w:t>
      </w:r>
    </w:p>
    <w:p>
      <w:pPr>
        <w:spacing w:after="0" w:line="225" w:lineRule="exact"/>
        <w:rPr>
          <w:sz w:val="20"/>
          <w:szCs w:val="20"/>
          <w:color w:val="auto"/>
        </w:rPr>
      </w:pPr>
    </w:p>
    <w:p>
      <w:pPr>
        <w:jc w:val="both"/>
        <w:ind w:right="260" w:firstLine="509"/>
        <w:spacing w:after="0" w:line="269"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106,071 shares valued at $13.8 million were withheld to meet statutory tax withholding requirements.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0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89"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7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For MSU awards granted in fiscal 2023, performance is measured based on our achievement of a specified level of total stockholder return, or TSR, relative to the TSRs of each company in the Russell 2000 Index. The potential payout ranges from 0% to 300% of the target grant quantity based on our TSR performance relative to the TSRs of each company in the Russell 2000 Index. No payout will occur if our TSR performance falls below the 25th percentile of the TSRs of each company in the Russell 2000 Index, and a 300% payout will occur if our TSR performance exceeds the 80th percentile of the TSRs of each company in the Russell 2000 Index. Performance payouts between the 25th and 80th percentiles will be determined on a linear basis with performance at the 50th percentile equal to 100% of target.</w:t>
      </w:r>
    </w:p>
    <w:p>
      <w:pPr>
        <w:spacing w:after="0" w:line="7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For MSU awards granted in fiscal 2023, the first tranche and the second tranche can payout up to 300%,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6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For MSU awards granted in fiscal 2022 and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25th percentile of the TSRs of each company in the Russell 2000 Index, and a 200% payout will occur if our TSR performance exceeds the 75th percentile of the TSRs of each company in the Russell 2000 Index. Performance payouts between the 25th and 75th percentiles will be determined on a linear basis with performance at the 50th percentile equal to 100% of target.</w:t>
      </w:r>
    </w:p>
    <w:p>
      <w:pPr>
        <w:spacing w:after="0" w:line="63" w:lineRule="exact"/>
        <w:rPr>
          <w:sz w:val="20"/>
          <w:szCs w:val="20"/>
          <w:color w:val="auto"/>
        </w:rPr>
      </w:pPr>
    </w:p>
    <w:p>
      <w:pPr>
        <w:ind w:right="380" w:firstLine="509"/>
        <w:spacing w:after="0" w:line="255" w:lineRule="auto"/>
        <w:rPr>
          <w:sz w:val="20"/>
          <w:szCs w:val="20"/>
          <w:color w:val="auto"/>
        </w:rPr>
      </w:pPr>
      <w:r>
        <w:rPr>
          <w:rFonts w:ascii="Arial" w:cs="Arial" w:eastAsia="Arial" w:hAnsi="Arial"/>
          <w:sz w:val="18"/>
          <w:szCs w:val="18"/>
          <w:color w:val="auto"/>
        </w:rPr>
        <w:t>For MSU awards granted in fiscal 2022 and 2021,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68" w:lineRule="exact"/>
        <w:rPr>
          <w:sz w:val="20"/>
          <w:szCs w:val="20"/>
          <w:color w:val="auto"/>
        </w:rPr>
      </w:pPr>
    </w:p>
    <w:p>
      <w:pPr>
        <w:jc w:val="both"/>
        <w:ind w:right="40" w:firstLine="509"/>
        <w:spacing w:after="0" w:line="255" w:lineRule="auto"/>
        <w:rPr>
          <w:sz w:val="20"/>
          <w:szCs w:val="20"/>
          <w:color w:val="auto"/>
        </w:rPr>
      </w:pPr>
      <w:r>
        <w:rPr>
          <w:rFonts w:ascii="Arial" w:cs="Arial" w:eastAsia="Arial" w:hAnsi="Arial"/>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MSU awards granted prior to fiscal 2021 and vesting over three years, the payout for the first tranche and the second tranche will not exceed</w:t>
      </w:r>
    </w:p>
    <w:p>
      <w:pPr>
        <w:spacing w:after="0" w:line="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2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MSU activity was as follows: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5"/>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r>
      <w:tr>
        <w:trPr>
          <w:trHeight w:val="175"/>
        </w:trPr>
        <w:tc>
          <w:tcPr>
            <w:tcW w:w="5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rPr>
              <w:t>MSU</w:t>
            </w:r>
          </w:p>
        </w:tc>
        <w:tc>
          <w:tcPr>
            <w:tcW w:w="180" w:type="dxa"/>
            <w:vAlign w:val="bottom"/>
          </w:tcPr>
          <w:p>
            <w:pPr>
              <w:spacing w:after="0"/>
              <w:rPr>
                <w:sz w:val="15"/>
                <w:szCs w:val="15"/>
                <w:color w:val="auto"/>
              </w:rPr>
            </w:pPr>
          </w:p>
        </w:tc>
        <w:tc>
          <w:tcPr>
            <w:tcW w:w="980" w:type="dxa"/>
            <w:vAlign w:val="bottom"/>
          </w:tcPr>
          <w:p>
            <w:pPr>
              <w:jc w:val="center"/>
              <w:ind w:right="105"/>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5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Awards</w:t>
            </w:r>
          </w:p>
        </w:tc>
        <w:tc>
          <w:tcPr>
            <w:tcW w:w="180" w:type="dxa"/>
            <w:vAlign w:val="bottom"/>
          </w:tcPr>
          <w:p>
            <w:pPr>
              <w:spacing w:after="0"/>
              <w:rPr>
                <w:sz w:val="15"/>
                <w:szCs w:val="15"/>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color w:val="auto"/>
                <w:w w:val="94"/>
              </w:rPr>
              <w:t>Value</w:t>
            </w:r>
          </w:p>
        </w:tc>
        <w:tc>
          <w:tcPr>
            <w:tcW w:w="80" w:type="dxa"/>
            <w:vAlign w:val="bottom"/>
          </w:tcPr>
          <w:p>
            <w:pPr>
              <w:spacing w:after="0"/>
              <w:rPr>
                <w:sz w:val="15"/>
                <w:szCs w:val="15"/>
                <w:color w:val="auto"/>
              </w:rPr>
            </w:pPr>
          </w:p>
        </w:tc>
      </w:tr>
      <w:tr>
        <w:trPr>
          <w:trHeight w:val="181"/>
        </w:trPr>
        <w:tc>
          <w:tcPr>
            <w:tcW w:w="52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5"/>
                <w:szCs w:val="15"/>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color w:val="auto"/>
                <w:w w:val="98"/>
              </w:rPr>
              <w:t>(in millions)</w:t>
            </w:r>
          </w:p>
        </w:tc>
        <w:tc>
          <w:tcPr>
            <w:tcW w:w="80" w:type="dxa"/>
            <w:vAlign w:val="bottom"/>
          </w:tcPr>
          <w:p>
            <w:pPr>
              <w:spacing w:after="0"/>
              <w:rPr>
                <w:sz w:val="15"/>
                <w:szCs w:val="15"/>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251,974</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145,526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Delivered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(144,831 )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9"/>
        </w:trPr>
        <w:tc>
          <w:tcPr>
            <w:tcW w:w="5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September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252,669</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top w:val="single" w:sz="8" w:color="CFF0FC"/>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-170815</wp:posOffset>
            </wp:positionV>
            <wp:extent cx="5143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2022 of $100.95.</w:t>
      </w:r>
    </w:p>
    <w:p>
      <w:pPr>
        <w:spacing w:after="0" w:line="21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 Of the shares delivered, 75,831 shares valued at $10.3 million were withheld to meet statutory tax withholding requirements.</w:t>
      </w:r>
    </w:p>
    <w:p>
      <w:pPr>
        <w:spacing w:after="0" w:line="159" w:lineRule="exact"/>
        <w:rPr>
          <w:sz w:val="20"/>
          <w:szCs w:val="20"/>
          <w:color w:val="auto"/>
        </w:rPr>
      </w:pPr>
    </w:p>
    <w:p>
      <w:pPr>
        <w:ind w:right="200" w:firstLine="509"/>
        <w:spacing w:after="0" w:line="302" w:lineRule="auto"/>
        <w:rPr>
          <w:sz w:val="20"/>
          <w:szCs w:val="20"/>
          <w:color w:val="auto"/>
        </w:rPr>
      </w:pPr>
      <w:r>
        <w:rPr>
          <w:rFonts w:ascii="Arial" w:cs="Arial" w:eastAsia="Arial" w:hAnsi="Arial"/>
          <w:sz w:val="16"/>
          <w:szCs w:val="16"/>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$38.7 million as of September 2022, which will be recognized over a weighted average period of approximately 1.2 years.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3" w:lineRule="exact"/>
        <w:rPr>
          <w:sz w:val="20"/>
          <w:szCs w:val="20"/>
          <w:color w:val="auto"/>
        </w:rPr>
      </w:pPr>
    </w:p>
    <w:p>
      <w:pPr>
        <w:jc w:val="both"/>
        <w:ind w:right="360" w:firstLine="509"/>
        <w:spacing w:after="0" w:line="255" w:lineRule="auto"/>
        <w:rPr>
          <w:sz w:val="20"/>
          <w:szCs w:val="20"/>
          <w:color w:val="auto"/>
        </w:rPr>
      </w:pPr>
      <w:r>
        <w:rPr>
          <w:rFonts w:ascii="Arial" w:cs="Arial" w:eastAsia="Arial" w:hAnsi="Arial"/>
          <w:sz w:val="18"/>
          <w:szCs w:val="18"/>
          <w:color w:val="auto"/>
        </w:rPr>
        <w:t>Our 2019 Incentive Plan, our 2010 Incentive Plan and our 2019 Inducement Equity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6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have granted PSU awards to our executive officers and other key management team members under our 2010 Incentive Plan, our 2019 Incentive Plan and our 2019 Inducement Equity Plan, which, generally, are designed to vest in three tranches with the target quantity for each tranche equal to one-third of the total PSU award. Generally, PSU awards have a specific one-year performance period and vesting occurs over three service periods with the final service period ending approximately three years from the grant date. Performance is measured based on the achievement of a specified level of performance relative to predefined performance criteria (for PSU awards granted in fiscal 2023 and prior to fiscal 2022 the performance criteria is based on non-GAAP earnings per share, for PSU awards granted in fiscal 2021 the performance criteria is based on a combination of our design win revenue, non-GAAP gross margin percentage and non-GAAP operating expenses). For our fiscal 2023 PSU awards, the potential payout ranges from 0% to 200% of the target grant quantity and is adjusted on a linear basis with a payout triggering if our measurement results equals greater than 65% of the target with a maximum payout achieved at 135% of target.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Delivery of shares earned, if any, will take place on the dates provided in the applicable PSU grant agreement, assuming the grantee is still an</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PSU activity was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5"/>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r>
      <w:tr>
        <w:trPr>
          <w:trHeight w:val="175"/>
        </w:trPr>
        <w:tc>
          <w:tcPr>
            <w:tcW w:w="52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PSU</w:t>
            </w:r>
          </w:p>
        </w:tc>
        <w:tc>
          <w:tcPr>
            <w:tcW w:w="180" w:type="dxa"/>
            <w:vAlign w:val="bottom"/>
          </w:tcPr>
          <w:p>
            <w:pPr>
              <w:spacing w:after="0"/>
              <w:rPr>
                <w:sz w:val="15"/>
                <w:szCs w:val="15"/>
                <w:color w:val="auto"/>
              </w:rPr>
            </w:pPr>
          </w:p>
        </w:tc>
        <w:tc>
          <w:tcPr>
            <w:tcW w:w="980" w:type="dxa"/>
            <w:vAlign w:val="bottom"/>
          </w:tcPr>
          <w:p>
            <w:pPr>
              <w:jc w:val="center"/>
              <w:ind w:right="105"/>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5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Awards</w:t>
            </w:r>
          </w:p>
        </w:tc>
        <w:tc>
          <w:tcPr>
            <w:tcW w:w="180" w:type="dxa"/>
            <w:vAlign w:val="bottom"/>
          </w:tcPr>
          <w:p>
            <w:pPr>
              <w:spacing w:after="0"/>
              <w:rPr>
                <w:sz w:val="15"/>
                <w:szCs w:val="15"/>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color w:val="auto"/>
                <w:w w:val="94"/>
              </w:rPr>
              <w:t>Value</w:t>
            </w:r>
          </w:p>
        </w:tc>
        <w:tc>
          <w:tcPr>
            <w:tcW w:w="80" w:type="dxa"/>
            <w:vAlign w:val="bottom"/>
          </w:tcPr>
          <w:p>
            <w:pPr>
              <w:spacing w:after="0"/>
              <w:rPr>
                <w:sz w:val="15"/>
                <w:szCs w:val="15"/>
                <w:color w:val="auto"/>
              </w:rPr>
            </w:pPr>
          </w:p>
        </w:tc>
      </w:tr>
      <w:tr>
        <w:trPr>
          <w:trHeight w:val="181"/>
        </w:trPr>
        <w:tc>
          <w:tcPr>
            <w:tcW w:w="52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5"/>
                <w:szCs w:val="15"/>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color w:val="auto"/>
                <w:w w:val="98"/>
              </w:rPr>
              <w:t>(in millions)</w:t>
            </w:r>
          </w:p>
        </w:tc>
        <w:tc>
          <w:tcPr>
            <w:tcW w:w="80" w:type="dxa"/>
            <w:vAlign w:val="bottom"/>
          </w:tcPr>
          <w:p>
            <w:pPr>
              <w:spacing w:after="0"/>
              <w:rPr>
                <w:sz w:val="15"/>
                <w:szCs w:val="15"/>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257,903</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192,964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Released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(112,070 )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(3,904 )</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334,893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23, 2022 of $100.95.</w:t>
      </w:r>
    </w:p>
    <w:p>
      <w:pPr>
        <w:spacing w:after="0" w:line="198" w:lineRule="exact"/>
        <w:rPr>
          <w:sz w:val="20"/>
          <w:szCs w:val="20"/>
          <w:color w:val="auto"/>
        </w:rPr>
      </w:pPr>
    </w:p>
    <w:p>
      <w:pPr>
        <w:jc w:val="both"/>
        <w:ind w:right="220" w:firstLine="509"/>
        <w:spacing w:after="0" w:line="261"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 Of the shares delivered, 52,678 shares valued at $7.3 million were withheld to meet statutory tax withholding requirements.</w:t>
      </w:r>
    </w:p>
    <w:p>
      <w:pPr>
        <w:spacing w:after="0" w:line="18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$30.0 million as of September 2022, which will be recognized over a weighted average period of approximately 1.1 years.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03"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 2019 Incentive Plan authorizes the grant of phantom stock units to non-employee directors, officers and employees. We initially granted phantom stock units to certain non-officer employees in October 2019 and there have been no subsequent phantom stock unit grants.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with the final vesting occurring on October 31, 2022.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$112.12 per unit at September 2022 and our accrued liability for such units was $17.5 million.</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Balance as of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-121920</wp:posOffset>
            </wp:positionV>
            <wp:extent cx="427291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72915" cy="137160"/>
                    </a:xfrm>
                    <a:prstGeom prst="rect">
                      <a:avLst/>
                    </a:prstGeom>
                    <a:noFill/>
                  </pic:spPr>
                </pic:pic>
              </a:graphicData>
            </a:graphic>
          </wp:anchor>
        </w:drawing>
      </w:r>
    </w:p>
    <w:p>
      <w:pPr>
        <w:spacing w:after="0" w:line="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5715</wp:posOffset>
            </wp:positionV>
            <wp:extent cx="4272915" cy="307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72915" cy="307975"/>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8"/>
          <w:szCs w:val="18"/>
          <w:color w:val="auto"/>
        </w:rPr>
        <w:t>Forfeited</w:t>
      </w:r>
    </w:p>
    <w:p>
      <w:pPr>
        <w:spacing w:after="0" w:line="48"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Balance as of September 2022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2580"/>
        <w:spacing w:after="0"/>
        <w:rPr>
          <w:sz w:val="20"/>
          <w:szCs w:val="20"/>
          <w:color w:val="auto"/>
        </w:rPr>
      </w:pPr>
      <w:r>
        <w:rPr>
          <w:rFonts w:ascii="Arial" w:cs="Arial" w:eastAsia="Arial" w:hAnsi="Arial"/>
          <w:sz w:val="18"/>
          <w:szCs w:val="18"/>
          <w:color w:val="auto"/>
        </w:rPr>
        <w:t>Phantom</w:t>
      </w:r>
    </w:p>
    <w:p>
      <w:pPr>
        <w:spacing w:after="0" w:line="23" w:lineRule="exact"/>
        <w:rPr>
          <w:sz w:val="20"/>
          <w:szCs w:val="20"/>
          <w:color w:val="auto"/>
        </w:rPr>
      </w:pPr>
    </w:p>
    <w:p>
      <w:pPr>
        <w:jc w:val="center"/>
        <w:ind w:right="2580"/>
        <w:spacing w:after="0"/>
        <w:rPr>
          <w:sz w:val="20"/>
          <w:szCs w:val="20"/>
          <w:color w:val="auto"/>
        </w:rPr>
      </w:pPr>
      <w:r>
        <w:rPr>
          <w:rFonts w:ascii="Arial" w:cs="Arial" w:eastAsia="Arial" w:hAnsi="Arial"/>
          <w:sz w:val="17"/>
          <w:szCs w:val="17"/>
          <w:color w:val="auto"/>
        </w:rPr>
        <w:t>Stock Units</w:t>
      </w:r>
    </w:p>
    <w:p>
      <w:pPr>
        <w:spacing w:after="0" w:line="20" w:lineRule="exact"/>
        <w:rPr>
          <w:sz w:val="20"/>
          <w:szCs w:val="20"/>
          <w:color w:val="auto"/>
        </w:rPr>
      </w:pPr>
    </w:p>
    <w:p>
      <w:pPr>
        <w:jc w:val="center"/>
        <w:ind w:right="2580"/>
        <w:spacing w:after="0"/>
        <w:rPr>
          <w:sz w:val="20"/>
          <w:szCs w:val="20"/>
          <w:color w:val="auto"/>
        </w:rPr>
      </w:pPr>
      <w:r>
        <w:rPr>
          <w:rFonts w:ascii="Arial" w:cs="Arial" w:eastAsia="Arial" w:hAnsi="Arial"/>
          <w:sz w:val="16"/>
          <w:szCs w:val="16"/>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20320</wp:posOffset>
            </wp:positionV>
            <wp:extent cx="753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176,097</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(2,178 )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173,919</w:t>
      </w:r>
    </w:p>
    <w:p>
      <w:pPr>
        <w:spacing w:after="0" w:line="704" w:lineRule="exact"/>
        <w:rPr>
          <w:sz w:val="20"/>
          <w:szCs w:val="20"/>
          <w:color w:val="auto"/>
        </w:rPr>
      </w:pPr>
    </w:p>
    <w:p>
      <w:pPr>
        <w:sectPr>
          <w:pgSz w:w="11900" w:h="16838" w:orient="portrait"/>
          <w:cols w:equalWidth="0" w:num="2">
            <w:col w:w="7060" w:space="720"/>
            <w:col w:w="3460"/>
          </w:cols>
          <w:pgMar w:left="320" w:top="121" w:right="339" w:bottom="1440" w:gutter="0" w:footer="0" w:header="0"/>
          <w:type w:val="continuous"/>
        </w:sectPr>
      </w:pPr>
    </w:p>
    <w:p>
      <w:pPr>
        <w:ind w:right="320" w:firstLine="509"/>
        <w:spacing w:after="0" w:line="341"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three months ended September 2022 were as follows (in millions, except for shares purchased and weighted average price):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purchased</w:t>
            </w:r>
          </w:p>
        </w:tc>
        <w:tc>
          <w:tcPr>
            <w:tcW w:w="30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88,210</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Weighted average purchase price</w:t>
            </w:r>
          </w:p>
        </w:tc>
        <w:tc>
          <w:tcPr>
            <w:tcW w:w="3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92.52</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received</w:t>
            </w:r>
          </w:p>
        </w:tc>
        <w:tc>
          <w:tcPr>
            <w:tcW w:w="30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3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260" w:type="dxa"/>
            <w:vAlign w:val="bottom"/>
          </w:tcPr>
          <w:p>
            <w:pPr>
              <w:spacing w:after="0"/>
              <w:rPr>
                <w:sz w:val="20"/>
                <w:szCs w:val="20"/>
                <w:color w:val="auto"/>
              </w:rPr>
            </w:pPr>
          </w:p>
        </w:tc>
      </w:tr>
      <w:tr>
        <w:trPr>
          <w:trHeight w:val="633"/>
        </w:trPr>
        <w:tc>
          <w:tcPr>
            <w:tcW w:w="2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40" w:type="dxa"/>
            <w:vAlign w:val="bottom"/>
          </w:tcPr>
          <w:p>
            <w:pPr>
              <w:jc w:val="right"/>
              <w:ind w:right="2330"/>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07"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91" w:lineRule="exact"/>
        <w:rPr>
          <w:sz w:val="20"/>
          <w:szCs w:val="20"/>
          <w:color w:val="auto"/>
        </w:rPr>
      </w:pPr>
    </w:p>
    <w:p>
      <w:pPr>
        <w:ind w:right="200" w:firstLine="509"/>
        <w:spacing w:after="0" w:line="264" w:lineRule="auto"/>
        <w:rPr>
          <w:sz w:val="20"/>
          <w:szCs w:val="20"/>
          <w:color w:val="auto"/>
        </w:rPr>
      </w:pPr>
      <w:r>
        <w:rPr>
          <w:rFonts w:ascii="Arial" w:cs="Arial" w:eastAsia="Arial" w:hAnsi="Arial"/>
          <w:sz w:val="16"/>
          <w:szCs w:val="16"/>
          <w:color w:val="auto"/>
        </w:rPr>
        <w:t>The provision for income taxes of $39.1 million and $5.9 million for the three months ended September 2022 and September 2021, respectively, represented estimated federal, foreign, and state income taxes. The effective tax rate for the three months ended September 2022 diverged from the combined U.S. federal and state statutory tax rate primarily due to the impact of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 The effective tax rate for the three months ended September 2021, diverged from the combined U.S. federal and state statutory tax rate, primarily due to foreign income taxed at lower</w:t>
      </w:r>
    </w:p>
    <w:p>
      <w:pPr>
        <w:ind w:right="600"/>
        <w:spacing w:after="0" w:line="244" w:lineRule="auto"/>
        <w:rPr>
          <w:sz w:val="20"/>
          <w:szCs w:val="20"/>
          <w:color w:val="auto"/>
        </w:rPr>
      </w:pPr>
      <w:r>
        <w:rPr>
          <w:rFonts w:ascii="Arial" w:cs="Arial" w:eastAsia="Arial" w:hAnsi="Arial"/>
          <w:sz w:val="18"/>
          <w:szCs w:val="18"/>
          <w:color w:val="auto"/>
        </w:rPr>
        <w:t>rates, the benefit of research credits and foreign tax credits, partially offset by foreign withholding taxes, non-deductible officer compensation, non-deductible stock-based compensation, and GILTI.</w:t>
      </w:r>
    </w:p>
    <w:p>
      <w:pPr>
        <w:spacing w:after="0" w:line="185"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The total liability for gross unrecognized tax benefits related to uncertain tax positions increased $8.4 million during the three months ended September 2022, to $38.2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2022 were $2.6 million; this balance increased by $0.1 million compared to June 2022.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20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Our major tax jurisdictions are the United States, Hong Kong SAR, Israel, Japan and the United Kingdom. From fiscal 2016 onward, we remain subject to examination by one or more of these jurisdictions.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07" w:lineRule="exact"/>
        <w:rPr>
          <w:sz w:val="20"/>
          <w:szCs w:val="20"/>
          <w:color w:val="auto"/>
        </w:rPr>
      </w:pPr>
    </w:p>
    <w:p>
      <w:pPr>
        <w:jc w:val="both"/>
        <w:ind w:right="180" w:firstLine="509"/>
        <w:spacing w:after="0" w:line="277" w:lineRule="auto"/>
        <w:rPr>
          <w:sz w:val="20"/>
          <w:szCs w:val="20"/>
          <w:color w:val="auto"/>
        </w:rPr>
      </w:pPr>
      <w:r>
        <w:rPr>
          <w:rFonts w:ascii="Arial" w:cs="Arial" w:eastAsia="Arial" w:hAnsi="Arial"/>
          <w:sz w:val="17"/>
          <w:szCs w:val="17"/>
          <w:color w:val="auto"/>
        </w:rPr>
        <w:t>We operate in one segment: the development, marketing, and sale of semiconductor products used in electronic devices and products. We generate our revenue from three broad product categories: the IoT product market, the personal computing, or PC, product market, and the Mobile product market. We sell our products to OEMs and to contract manufacturers that provide manufacturing services to OEMs.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6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7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114.5</w:t>
            </w:r>
          </w:p>
        </w:tc>
        <w:tc>
          <w:tcPr>
            <w:tcW w:w="2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135.1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Taiwan</w:t>
            </w:r>
          </w:p>
        </w:tc>
        <w:tc>
          <w:tcPr>
            <w:tcW w:w="2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180.7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106.3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United States</w:t>
            </w:r>
          </w:p>
        </w:tc>
        <w:tc>
          <w:tcPr>
            <w:tcW w:w="27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2400" w:type="dxa"/>
            <w:vAlign w:val="bottom"/>
            <w:tcBorders>
              <w:bottom w:val="single" w:sz="8" w:color="CFF0FC"/>
            </w:tcBorders>
            <w:shd w:val="clear" w:color="auto" w:fill="CFF0FC"/>
          </w:tcPr>
          <w:p>
            <w:pPr>
              <w:spacing w:after="0"/>
              <w:rPr>
                <w:sz w:val="21"/>
                <w:szCs w:val="21"/>
                <w:color w:val="auto"/>
              </w:rPr>
            </w:pPr>
          </w:p>
        </w:tc>
        <w:tc>
          <w:tcPr>
            <w:tcW w:w="27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448.1</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372.7</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14"/>
        </w:trPr>
        <w:tc>
          <w:tcPr>
            <w:tcW w:w="1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700" w:type="dxa"/>
            <w:vAlign w:val="bottom"/>
          </w:tcPr>
          <w:p>
            <w:pPr>
              <w:jc w:val="right"/>
              <w:ind w:right="990"/>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-513080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-495935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-513080</wp:posOffset>
            </wp:positionV>
            <wp:extent cx="425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-495935</wp:posOffset>
            </wp:positionV>
            <wp:extent cx="425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tbl>
      <w:tblPr>
        <w:tblLayout w:type="fixed"/>
        <w:tblInd w:w="520" w:type="dxa"/>
        <w:tblCellMar>
          <w:top w:w="0" w:type="dxa"/>
          <w:left w:w="0" w:type="dxa"/>
          <w:bottom w:w="0" w:type="dxa"/>
          <w:right w:w="0" w:type="dxa"/>
        </w:tblCellMar>
      </w:tblPr>
      <w:tr>
        <w:trPr>
          <w:trHeight w:val="230"/>
        </w:trPr>
        <w:tc>
          <w:tcPr>
            <w:tcW w:w="7080" w:type="dxa"/>
            <w:vAlign w:val="bottom"/>
            <w:gridSpan w:val="3"/>
          </w:tcPr>
          <w:p>
            <w:pPr>
              <w:jc w:val="right"/>
              <w:ind w:right="690"/>
              <w:spacing w:after="0"/>
              <w:rPr>
                <w:sz w:val="20"/>
                <w:szCs w:val="20"/>
                <w:color w:val="auto"/>
              </w:rPr>
            </w:pPr>
            <w:r>
              <w:rPr>
                <w:rFonts w:ascii="Arial" w:cs="Arial" w:eastAsia="Arial" w:hAnsi="Arial"/>
                <w:sz w:val="18"/>
                <w:szCs w:val="18"/>
                <w:color w:val="auto"/>
                <w:w w:val="91"/>
              </w:rPr>
              <w:t>Net revenue from our customers for each product category was as follows (in millions):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88"/>
        </w:trPr>
        <w:tc>
          <w:tcPr>
            <w:tcW w:w="11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6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1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342.7</w:t>
            </w:r>
          </w:p>
        </w:tc>
        <w:tc>
          <w:tcPr>
            <w:tcW w:w="2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205.7</w:t>
            </w:r>
          </w:p>
        </w:tc>
        <w:tc>
          <w:tcPr>
            <w:tcW w:w="80" w:type="dxa"/>
            <w:vAlign w:val="bottom"/>
            <w:shd w:val="clear" w:color="auto" w:fill="CFF0FC"/>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8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448.1</w:t>
            </w:r>
          </w:p>
        </w:tc>
        <w:tc>
          <w:tcPr>
            <w:tcW w:w="10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372.7</w:t>
            </w:r>
          </w:p>
        </w:tc>
        <w:tc>
          <w:tcPr>
            <w:tcW w:w="8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-170815</wp:posOffset>
            </wp:positionV>
            <wp:extent cx="5143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545" cy="171450"/>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5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1110"/>
              <w:spacing w:after="0"/>
              <w:rPr>
                <w:sz w:val="20"/>
                <w:szCs w:val="20"/>
                <w:color w:val="auto"/>
              </w:rPr>
            </w:pPr>
            <w:r>
              <w:rPr>
                <w:rFonts w:ascii="Arial" w:cs="Arial" w:eastAsia="Arial" w:hAnsi="Arial"/>
                <w:sz w:val="18"/>
                <w:szCs w:val="18"/>
                <w:color w:val="auto"/>
                <w:w w:val="88"/>
              </w:rPr>
              <w:t>September</w:t>
            </w:r>
          </w:p>
        </w:tc>
      </w:tr>
      <w:tr>
        <w:trPr>
          <w:trHeight w:val="209"/>
        </w:trPr>
        <w:tc>
          <w:tcPr>
            <w:tcW w:w="6560" w:type="dxa"/>
            <w:vAlign w:val="bottom"/>
          </w:tcPr>
          <w:p>
            <w:pPr>
              <w:spacing w:after="0"/>
              <w:rPr>
                <w:sz w:val="18"/>
                <w:szCs w:val="18"/>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color w:val="auto"/>
                <w:w w:val="89"/>
              </w:rPr>
              <w:t>2022</w:t>
            </w:r>
          </w:p>
        </w:tc>
        <w:tc>
          <w:tcPr>
            <w:tcW w:w="234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2021</w:t>
            </w: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200" w:type="dxa"/>
            <w:vAlign w:val="bottom"/>
            <w:tcBorders>
              <w:top w:val="single" w:sz="8" w:color="auto"/>
            </w:tcBorders>
            <w:shd w:val="clear" w:color="auto" w:fill="CFF0FC"/>
          </w:tcPr>
          <w:p>
            <w:pPr>
              <w:jc w:val="center"/>
              <w:ind w:left="410"/>
              <w:spacing w:after="0"/>
              <w:rPr>
                <w:sz w:val="20"/>
                <w:szCs w:val="20"/>
                <w:color w:val="auto"/>
              </w:rPr>
            </w:pPr>
            <w:r>
              <w:rPr>
                <w:rFonts w:ascii="Arial" w:cs="Arial" w:eastAsia="Arial" w:hAnsi="Arial"/>
                <w:sz w:val="18"/>
                <w:szCs w:val="18"/>
                <w:color w:val="auto"/>
                <w:w w:val="94"/>
              </w:rPr>
              <w:t>13%</w:t>
            </w: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12%</w:t>
            </w:r>
          </w:p>
        </w:tc>
      </w:t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Customer B</w:t>
            </w:r>
          </w:p>
        </w:tc>
        <w:tc>
          <w:tcPr>
            <w:tcW w:w="1200" w:type="dxa"/>
            <w:vAlign w:val="bottom"/>
          </w:tcPr>
          <w:p>
            <w:pPr>
              <w:jc w:val="center"/>
              <w:ind w:left="410"/>
              <w:spacing w:after="0"/>
              <w:rPr>
                <w:sz w:val="20"/>
                <w:szCs w:val="20"/>
                <w:color w:val="auto"/>
              </w:rPr>
            </w:pPr>
            <w:r>
              <w:rPr>
                <w:rFonts w:ascii="Arial" w:cs="Arial" w:eastAsia="Arial" w:hAnsi="Arial"/>
                <w:sz w:val="18"/>
                <w:szCs w:val="18"/>
                <w:color w:val="auto"/>
              </w:rPr>
              <w:t>*</w:t>
            </w:r>
          </w:p>
        </w:tc>
        <w:tc>
          <w:tcPr>
            <w:tcW w:w="2340" w:type="dxa"/>
            <w:vAlign w:val="bottom"/>
            <w:gridSpan w:val="3"/>
          </w:tcPr>
          <w:p>
            <w:pPr>
              <w:jc w:val="center"/>
              <w:ind w:left="550"/>
              <w:spacing w:after="0"/>
              <w:rPr>
                <w:sz w:val="20"/>
                <w:szCs w:val="20"/>
                <w:color w:val="auto"/>
              </w:rPr>
            </w:pPr>
            <w:r>
              <w:rPr>
                <w:rFonts w:ascii="Arial" w:cs="Arial" w:eastAsia="Arial" w:hAnsi="Arial"/>
                <w:sz w:val="18"/>
                <w:szCs w:val="18"/>
                <w:color w:val="auto"/>
                <w:w w:val="94"/>
              </w:rPr>
              <w:t>11%</w:t>
            </w:r>
          </w:p>
        </w:tc>
      </w:tr>
    </w:tbl>
    <w:p>
      <w:pPr>
        <w:spacing w:after="0"/>
        <w:rPr>
          <w:sz w:val="20"/>
          <w:szCs w:val="20"/>
          <w:color w:val="auto"/>
        </w:rPr>
      </w:pPr>
      <w:r>
        <w:rPr>
          <w:rFonts w:ascii="Arial" w:cs="Arial" w:eastAsia="Arial" w:hAnsi="Arial"/>
          <w:sz w:val="18"/>
          <w:szCs w:val="18"/>
          <w:color w:val="auto"/>
        </w:rPr>
        <w:t>____________________</w:t>
      </w:r>
    </w:p>
    <w:p>
      <w:pPr>
        <w:spacing w:after="0" w:line="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183"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September</w:t>
            </w:r>
          </w:p>
        </w:tc>
        <w:tc>
          <w:tcPr>
            <w:tcW w:w="120" w:type="dxa"/>
            <w:vAlign w:val="bottom"/>
          </w:tcPr>
          <w:p>
            <w:pPr>
              <w:spacing w:after="0"/>
              <w:rPr>
                <w:sz w:val="18"/>
                <w:szCs w:val="18"/>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June</w:t>
            </w:r>
          </w:p>
        </w:tc>
      </w:tr>
      <w:tr>
        <w:trPr>
          <w:trHeight w:val="230"/>
        </w:trPr>
        <w:tc>
          <w:tcPr>
            <w:tcW w:w="5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r>
      <w:tr>
        <w:trPr>
          <w:trHeight w:val="425"/>
        </w:trPr>
        <w:tc>
          <w:tcPr>
            <w:tcW w:w="5100" w:type="dxa"/>
            <w:vAlign w:val="bottom"/>
          </w:tcPr>
          <w:p>
            <w:pPr>
              <w:spacing w:after="0"/>
              <w:rPr>
                <w:sz w:val="20"/>
                <w:szCs w:val="20"/>
                <w:color w:val="auto"/>
              </w:rPr>
            </w:pPr>
            <w:r>
              <w:rPr>
                <w:rFonts w:ascii="Arial" w:cs="Arial" w:eastAsia="Arial" w:hAnsi="Arial"/>
                <w:sz w:val="18"/>
                <w:szCs w:val="18"/>
                <w:color w:val="auto"/>
              </w:rPr>
              <w:t>Customer A</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Customer B</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14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8"/>
              </w:rPr>
              <w:t>15%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12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income as the U.S. dollar is the functional currency of our foreign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07" w:lineRule="exact"/>
        <w:rPr>
          <w:sz w:val="20"/>
          <w:szCs w:val="20"/>
          <w:color w:val="auto"/>
        </w:rPr>
      </w:pPr>
    </w:p>
    <w:p>
      <w:pPr>
        <w:jc w:val="both"/>
        <w:ind w:right="20" w:firstLine="509"/>
        <w:spacing w:after="0" w:line="302" w:lineRule="auto"/>
        <w:rPr>
          <w:sz w:val="20"/>
          <w:szCs w:val="20"/>
          <w:color w:val="auto"/>
        </w:rPr>
      </w:pPr>
      <w:r>
        <w:rPr>
          <w:rFonts w:ascii="Arial" w:cs="Arial" w:eastAsia="Arial" w:hAnsi="Arial"/>
          <w:sz w:val="16"/>
          <w:szCs w:val="16"/>
          <w:color w:val="auto"/>
        </w:rPr>
        <w:t>During fiscal 2022, we initiated various strategic restructuring actions primarily intended to reduce costs, gain synergies from our recent acquisitions and align our business in response to market conditions. The restructuring costs related to these activities were recorded to the restructuring costs line item within our condensed consolidated statements of income. As of September 2022, all of the restructuring actions initiated during fiscal 2022 are complete.</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restructuring activity and related charges during the periods presented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right"/>
              <w:ind w:right="11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90"/>
              </w:rPr>
              <w:t>September 2022</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3"/>
              </w:rPr>
              <w:t>September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36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Charges</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w:t>
            </w:r>
          </w:p>
        </w:tc>
        <w:tc>
          <w:tcPr>
            <w:tcW w:w="3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9"/>
        </w:trPr>
        <w:tc>
          <w:tcPr>
            <w:tcW w:w="3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36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80" w:type="dxa"/>
            <w:vAlign w:val="bottom"/>
            <w:vMerge w:val="restart"/>
          </w:tcPr>
          <w:p>
            <w:pPr>
              <w:jc w:val="right"/>
              <w:ind w:right="169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8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2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-650240</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right="1200"/>
        <w:spacing w:after="0" w:line="36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This Quarterly Report on Form 10-Q for the quarter ended September 24, 2022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IoT product applications market for a substantial portion of our revenue; risks related to the volatility of our net revenue from our solutions for IoT product applications; our dependence on one or more large customers;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25, 2022,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76"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Although many of the restrictions and other containment measures implemented by governmental authorities in response to the COVID-19 pandemic have since been lifted or scaled back, ongoing surges of COVID-19 and its variants have resulted in a variety of responses in the many geographic locations in which we do business, from no actions taken to the re-imposition of lockdowns and containment measures designed to mitigate or reduce the rapid spread of COVID-19 and its variants.</w:t>
      </w:r>
    </w:p>
    <w:p>
      <w:pPr>
        <w:spacing w:after="0" w:line="9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health and wellbeing of our workforce is our highest priority, and a large number of our workforce has been vaccinated. Many of our employees that worked from home at the onset of COVID-19, or during subsequent lockdowns, have returned full-time or on a hybrid basis to our office environment. For those employees that have returned to the office, we continue to adhere to return to work protocols, based on guidance from local and global health organizations and applicable laws and regulations.</w:t>
      </w:r>
    </w:p>
    <w:p>
      <w:pPr>
        <w:spacing w:after="0" w:line="75"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To date, we have not incurred significant disruptions to our business or a materially negative impact on our consolidated results of operations and financial condition from the COVID-19 outbreak and continue to believe our business will not be severely impacted as steps continue to be taken globally to mitigate the spread and vaccinate large portions of the population. However, if more infectious COVID-19 variants become resistant to the existing vaccines, we, our customers, and our suppliers could experience renewed and sustained business disruption.</w:t>
      </w:r>
    </w:p>
    <w:p>
      <w:pPr>
        <w:spacing w:after="0" w:line="5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will continue to evaluate the impact to our business, consolidated results of operations, and financial condition and may take actions that we deem necessary or appropriate to respond to the ongoing pandemic.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Original Equipment Manufacturers, or OEMs.</w:t>
      </w:r>
    </w:p>
    <w:p>
      <w:pPr>
        <w:spacing w:after="0" w:line="5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w:t>
      </w:r>
    </w:p>
    <w:p>
      <w:pPr>
        <w:spacing w:after="0" w:line="6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France, Germany, Hong Kong, India, Israel, Japan,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Korea, Poland, Switzerland, Taiwan, the U.K., and the U.S., we are well positioned to provide local sales, operational, and engineering support services to our existing customers, as well as potential new customers, on a global basis.</w:t>
      </w:r>
    </w:p>
    <w:p>
      <w:pPr>
        <w:spacing w:after="0" w:line="48"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5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7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61"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6"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76"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Restructuring costs primarily reflect severance costs related to the restructuring of our operations to reduce operating expenses and gain efficiencies from our recent acquisitions. These headcount related costs were in cost of revenue, research and development, and selling, general and administrative expenses. See Note 16 Restructuring Activities to the consolidated financial statements contained elsewhere in this Report.</w:t>
      </w:r>
    </w:p>
    <w:p>
      <w:pPr>
        <w:spacing w:after="0" w:line="71" w:lineRule="exact"/>
        <w:rPr>
          <w:sz w:val="20"/>
          <w:szCs w:val="20"/>
          <w:color w:val="auto"/>
        </w:rPr>
      </w:pPr>
    </w:p>
    <w:p>
      <w:pPr>
        <w:jc w:val="both"/>
        <w:ind w:right="240" w:firstLine="509"/>
        <w:spacing w:after="0" w:line="247" w:lineRule="auto"/>
        <w:rPr>
          <w:sz w:val="20"/>
          <w:szCs w:val="20"/>
          <w:color w:val="auto"/>
        </w:rPr>
      </w:pPr>
      <w:r>
        <w:rPr>
          <w:rFonts w:ascii="Arial" w:cs="Arial" w:eastAsia="Arial" w:hAnsi="Arial"/>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22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In fiscal 2022, we acquired all of the equity of DSP Group, Inc, or DSPG, for $22.00 per share of common stock, a total purchase consideration of $543.3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financed the transaction through a combination of cash on hand and Term Loan Facility under our existing senior credit facility.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DSPG are included in our condensed consolidated financial statements for the periods from December 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5" w:lineRule="exact"/>
        <w:rPr>
          <w:sz w:val="20"/>
          <w:szCs w:val="20"/>
          <w:color w:val="auto"/>
        </w:rPr>
      </w:pPr>
    </w:p>
    <w:p>
      <w:pPr>
        <w:jc w:val="both"/>
        <w:ind w:right="140" w:firstLine="509"/>
        <w:spacing w:after="0" w:line="255"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September 2022, compared with our critical accounting policies and estimates disclosed in Management’s Discussion and Analysis of Financial Condition and Results of Operations included in our Annual Report on Form 10-K for the fiscal year ended June 25, 2022.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Trends and Uncertainties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Economic Conditions</w:t>
      </w:r>
    </w:p>
    <w:p>
      <w:pPr>
        <w:spacing w:after="0" w:line="21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As many central banks continue to raise interest rates to combat inflation, the potential for global recession also rises. This threat of global recession appears to be driving increased caution in our customer base. During the quarter, we began to experience reduced customer demand combined with customer requests to delay orders. We are cautiously optimistic, and we believe that the demand slowdown is temporary, but if we do slip into a global recession, the rebound in demand may take longer than we currently anticipate. Further, the increase in interest rates will push up our borrowing costs on our variable rate Term Loan Facility, driving an increase in interest costs in future accounting periods and potentially limiting our borrowing capacity if a future acquisition opportunity requiring financing presents itself.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w w:val="99"/>
              </w:rPr>
              <w:t>Three Months Ended September</w:t>
            </w:r>
          </w:p>
        </w:tc>
        <w:tc>
          <w:tcPr>
            <w:tcW w:w="1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IoT product applications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 Change</w:t>
            </w:r>
          </w:p>
        </w:tc>
        <w:tc>
          <w:tcPr>
            <w:tcW w:w="186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520" w:type="dxa"/>
            <w:vAlign w:val="bottom"/>
            <w:vMerge w:val="continue"/>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342.7</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PC product applications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(23.4 )</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Mobile product applications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(38.2 )</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(48.7 %)</w:t>
            </w:r>
          </w:p>
        </w:tc>
        <w:tc>
          <w:tcPr>
            <w:tcW w:w="0" w:type="dxa"/>
            <w:vAlign w:val="bottom"/>
          </w:tcPr>
          <w:p>
            <w:pPr>
              <w:spacing w:after="0"/>
              <w:rPr>
                <w:sz w:val="1"/>
                <w:szCs w:val="1"/>
                <w:color w:val="auto"/>
              </w:rPr>
            </w:pPr>
          </w:p>
        </w:tc>
      </w:tr>
      <w:tr>
        <w:trPr>
          <w:trHeight w:val="209"/>
        </w:trPr>
        <w:tc>
          <w:tcPr>
            <w:tcW w:w="452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448.1</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9"/>
        </w:trPr>
        <w:tc>
          <w:tcPr>
            <w:tcW w:w="452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255.7</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Acquired intangibles amortization</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9"/>
        </w:trPr>
        <w:tc>
          <w:tcPr>
            <w:tcW w:w="452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112.0</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84.8 %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8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(8.3 )</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(5.9 )</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(2.4 )</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(8.1 )</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9"/>
        </w:trPr>
        <w:tc>
          <w:tcPr>
            <w:tcW w:w="4520" w:type="dxa"/>
            <w:vAlign w:val="bottom"/>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103.7</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122.5 %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562.7 %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Equity investment loss</w:t>
            </w: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(0.5 )</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9"/>
        </w:trPr>
        <w:tc>
          <w:tcPr>
            <w:tcW w:w="4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60.7 %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-2405380</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-2131695</wp:posOffset>
            </wp:positionV>
            <wp:extent cx="7132320" cy="7105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7105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419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center"/>
              <w:ind w:right="200"/>
              <w:spacing w:after="0" w:line="170"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70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8"/>
              </w:rPr>
              <w:t>September</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196"/>
        </w:trPr>
        <w:tc>
          <w:tcPr>
            <w:tcW w:w="5960" w:type="dxa"/>
            <w:vAlign w:val="bottom"/>
          </w:tcPr>
          <w:p>
            <w:pPr>
              <w:ind w:left="20"/>
              <w:spacing w:after="0"/>
              <w:rPr>
                <w:sz w:val="20"/>
                <w:szCs w:val="20"/>
                <w:color w:val="auto"/>
              </w:rPr>
            </w:pPr>
            <w:r>
              <w:rPr>
                <w:rFonts w:ascii="Arial" w:cs="Arial" w:eastAsia="Arial" w:hAnsi="Arial"/>
                <w:sz w:val="16"/>
                <w:szCs w:val="16"/>
                <w:color w:val="auto"/>
              </w:rPr>
              <w:t>IoT product applications</w:t>
            </w:r>
          </w:p>
        </w:tc>
        <w:tc>
          <w:tcPr>
            <w:tcW w:w="10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2"/>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PC product applications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14.5 %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23.8 %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02"/>
        </w:trPr>
        <w:tc>
          <w:tcPr>
            <w:tcW w:w="5960" w:type="dxa"/>
            <w:vAlign w:val="bottom"/>
          </w:tcPr>
          <w:p>
            <w:pPr>
              <w:ind w:left="20"/>
              <w:spacing w:after="0"/>
              <w:rPr>
                <w:sz w:val="20"/>
                <w:szCs w:val="20"/>
                <w:color w:val="auto"/>
              </w:rPr>
            </w:pPr>
            <w:r>
              <w:rPr>
                <w:rFonts w:ascii="Arial" w:cs="Arial" w:eastAsia="Arial" w:hAnsi="Arial"/>
                <w:sz w:val="16"/>
                <w:szCs w:val="16"/>
                <w:color w:val="auto"/>
              </w:rPr>
              <w:t>Mobile product applications</w:t>
            </w:r>
          </w:p>
        </w:tc>
        <w:tc>
          <w:tcPr>
            <w:tcW w:w="10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21.0 %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0.0 %</w:t>
            </w:r>
          </w:p>
        </w:tc>
        <w:tc>
          <w:tcPr>
            <w:tcW w:w="0" w:type="dxa"/>
            <w:vAlign w:val="bottom"/>
          </w:tcPr>
          <w:p>
            <w:pPr>
              <w:spacing w:after="0" w:line="20" w:lineRule="exact"/>
              <w:rPr>
                <w:sz w:val="1"/>
                <w:szCs w:val="1"/>
                <w:color w:val="auto"/>
              </w:rPr>
            </w:pPr>
          </w:p>
        </w:tc>
      </w:tr>
      <w:tr>
        <w:trPr>
          <w:trHeight w:val="196"/>
        </w:trPr>
        <w:tc>
          <w:tcPr>
            <w:tcW w:w="5960" w:type="dxa"/>
            <w:vAlign w:val="bottom"/>
          </w:tcPr>
          <w:p>
            <w:pPr>
              <w:ind w:left="200"/>
              <w:spacing w:after="0"/>
              <w:rPr>
                <w:sz w:val="20"/>
                <w:szCs w:val="20"/>
                <w:color w:val="auto"/>
              </w:rPr>
            </w:pPr>
            <w:r>
              <w:rPr>
                <w:rFonts w:ascii="Arial" w:cs="Arial" w:eastAsia="Arial" w:hAnsi="Arial"/>
                <w:sz w:val="16"/>
                <w:szCs w:val="16"/>
                <w:color w:val="auto"/>
              </w:rPr>
              <w:t>Net revenue</w:t>
            </w:r>
          </w:p>
        </w:tc>
        <w:tc>
          <w:tcPr>
            <w:tcW w:w="10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8"/>
              </w:rPr>
              <w:t xml:space="preserve">100.0 </w:t>
            </w:r>
            <w:r>
              <w:rPr>
                <w:rFonts w:ascii="Arial" w:cs="Arial" w:eastAsia="Arial" w:hAnsi="Arial"/>
                <w:sz w:val="16"/>
                <w:szCs w:val="16"/>
                <w:color w:val="auto"/>
                <w:highlight w:val="white"/>
                <w:w w:val="98"/>
              </w:rPr>
              <w:t>%</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2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10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196"/>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60" w:type="dxa"/>
            <w:vAlign w:val="bottom"/>
            <w:gridSpan w:val="2"/>
          </w:tcPr>
          <w:p>
            <w:pPr>
              <w:ind w:left="200"/>
              <w:spacing w:after="0"/>
              <w:rPr>
                <w:sz w:val="20"/>
                <w:szCs w:val="20"/>
                <w:color w:val="auto"/>
              </w:rPr>
            </w:pPr>
            <w:r>
              <w:rPr>
                <w:rFonts w:ascii="Arial" w:cs="Arial" w:eastAsia="Arial" w:hAnsi="Arial"/>
                <w:sz w:val="16"/>
                <w:szCs w:val="16"/>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20.0 %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23.1 %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2"/>
        </w:trPr>
        <w:tc>
          <w:tcPr>
            <w:tcW w:w="6960" w:type="dxa"/>
            <w:vAlign w:val="bottom"/>
            <w:gridSpan w:val="2"/>
          </w:tcPr>
          <w:p>
            <w:pPr>
              <w:ind w:left="20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2"/>
        </w:trPr>
        <w:tc>
          <w:tcPr>
            <w:tcW w:w="6960" w:type="dxa"/>
            <w:vAlign w:val="bottom"/>
            <w:gridSpan w:val="2"/>
          </w:tcPr>
          <w:p>
            <w:pPr>
              <w:ind w:left="200"/>
              <w:spacing w:after="0"/>
              <w:rPr>
                <w:sz w:val="20"/>
                <w:szCs w:val="20"/>
                <w:color w:val="auto"/>
              </w:rPr>
            </w:pPr>
            <w:r>
              <w:rPr>
                <w:rFonts w:ascii="Arial" w:cs="Arial" w:eastAsia="Arial" w:hAnsi="Arial"/>
                <w:sz w:val="16"/>
                <w:szCs w:val="16"/>
                <w:color w:val="auto"/>
              </w:rPr>
              <w:t>Acquired intangibles amortization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2"/>
        </w:trPr>
        <w:tc>
          <w:tcPr>
            <w:tcW w:w="596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10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8.7 %</w:t>
            </w:r>
          </w:p>
        </w:tc>
        <w:tc>
          <w:tcPr>
            <w:tcW w:w="0" w:type="dxa"/>
            <w:vAlign w:val="bottom"/>
          </w:tcPr>
          <w:p>
            <w:pPr>
              <w:spacing w:after="0" w:line="20" w:lineRule="exact"/>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10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25.0 %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16.3 %</w:t>
            </w:r>
          </w:p>
        </w:tc>
        <w:tc>
          <w:tcPr>
            <w:tcW w:w="2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Interest and other expense, net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8"/>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6960" w:type="dxa"/>
            <w:vAlign w:val="bottom"/>
            <w:gridSpan w:val="2"/>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23.1 %</w:t>
            </w:r>
          </w:p>
        </w:tc>
        <w:tc>
          <w:tcPr>
            <w:tcW w:w="10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02"/>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02"/>
        </w:trPr>
        <w:tc>
          <w:tcPr>
            <w:tcW w:w="5960" w:type="dxa"/>
            <w:vAlign w:val="bottom"/>
          </w:tcPr>
          <w:p>
            <w:pPr>
              <w:ind w:left="20"/>
              <w:spacing w:after="0"/>
              <w:rPr>
                <w:sz w:val="20"/>
                <w:szCs w:val="20"/>
                <w:color w:val="auto"/>
              </w:rPr>
            </w:pPr>
            <w:r>
              <w:rPr>
                <w:rFonts w:ascii="Arial" w:cs="Arial" w:eastAsia="Arial" w:hAnsi="Arial"/>
                <w:sz w:val="16"/>
                <w:szCs w:val="16"/>
                <w:color w:val="auto"/>
              </w:rPr>
              <w:t>Equity investment loss</w:t>
            </w:r>
          </w:p>
        </w:tc>
        <w:tc>
          <w:tcPr>
            <w:tcW w:w="10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96"/>
        </w:trPr>
        <w:tc>
          <w:tcPr>
            <w:tcW w:w="59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5540"/>
              <w:spacing w:after="0"/>
              <w:rPr>
                <w:sz w:val="20"/>
                <w:szCs w:val="20"/>
                <w:color w:val="auto"/>
              </w:rPr>
            </w:pPr>
            <w:r>
              <w:rPr>
                <w:rFonts w:ascii="Arial" w:cs="Arial" w:eastAsia="Arial" w:hAnsi="Arial"/>
                <w:sz w:val="18"/>
                <w:szCs w:val="18"/>
                <w:color w:val="auto"/>
              </w:rPr>
              <w:t>27</w:t>
            </w: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9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-2764790</wp:posOffset>
            </wp:positionV>
            <wp:extent cx="7132320" cy="128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393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93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-1711960</wp:posOffset>
            </wp:positionV>
            <wp:extent cx="7132320" cy="1282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-1181100</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282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60" w:firstLine="509"/>
        <w:spacing w:after="0" w:line="256" w:lineRule="auto"/>
        <w:rPr>
          <w:sz w:val="20"/>
          <w:szCs w:val="20"/>
          <w:color w:val="auto"/>
        </w:rPr>
      </w:pPr>
      <w:r>
        <w:rPr>
          <w:rFonts w:ascii="Arial" w:cs="Arial" w:eastAsia="Arial" w:hAnsi="Arial"/>
          <w:sz w:val="17"/>
          <w:szCs w:val="17"/>
          <w:color w:val="auto"/>
        </w:rPr>
        <w:t>Net revenue was $448.1 million for the three months ended September 2022, compared with $372.7 million for the three months ended September 2021, an increase of $75.4 million, or 20.2%. Of this net revenue, $342.7 million, or 76.5%, was from IoT product applications, $65.2 million, or 14.5%, was from PC product applications, and $40.2 million, or 9.0%, was from Mobile product applications. The increase in net revenue for the three months ended September 2022 was primarily attributable to an increase in net revenue from IoT, offset by a decrease in net revenue from PC and mobile product applications. Net revenue from IoT product applications increased as a result of an increase in units sold (which increased 59.2%) as well as higher average selling prices (which increased 4.5%) due to product sales mix. Net revenue from PC product applications decreased due to a decline in units sold related to certain end customers' decline in demand and desire to decrease their inventory holdings (which decreased 39.6%) and partially offset by higher average selling prices (which increased 21.7%) due to our product sales mix. Net revenue from Mobile product applications decreased due to a decline in units sold (which decreased 64.9%) as demand broadly softened for our products in the mobile market, partially offset by higher average selling prices (which increased 46.3%).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0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Gross margin as a percentage of net revenue was 57.1%, or $255.7 million, for the three months ended September 2022, compared with 53.2%, or $198.1 million, for the three months ended September 2021. The 390-basis point increase in gross margin for the three months ended September 2022, was due to an overall favorable product mix and an increase in average sales prices partially offset by a $6.6 million increase in acquired intangibles amortization included in cost of revenue.</w:t>
      </w:r>
    </w:p>
    <w:p>
      <w:pPr>
        <w:spacing w:after="0" w:line="75"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03"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$3.4 million to $89.5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2022, compared with $86.1 million for the three months ended September 2021. The increase in research and development expenses were primarily driven by an increase in payroll and other employee related costs of $7.2 million, which includes costs associated with research and development headcount from our DSPG acquisition, which closed December 2, 2021, a $1.6 million increase in new product development activities, partially offset by a $6.9 million decrease in share-based compensation costs primarily related to a decrease in our stock price reducing the accrued expense associated with cash settled phantom stock awards during the first quarter of fiscal 2023 compared to the same period a year ago.</w:t>
      </w:r>
    </w:p>
    <w:p>
      <w:pPr>
        <w:spacing w:after="0" w:line="6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$3.1 million to $44.7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2022, compared with $41.6 million for the three months ended September 2021. The increase in selling, general, and administrative expenses primarily reflected a $3.7 million increase in share-based compensation costs primarily related to an increase in granted stock awards and grant date valuation partially offset by a decrease in our stock price during the first quarter of fiscal 2023 compared to the same period a year ago which impacted the expense associated with our phantom stock units and related accrual and an increase in payroll and variable compensation costs of $0.7 million.</w:t>
      </w:r>
    </w:p>
    <w:p>
      <w:pPr>
        <w:spacing w:after="0" w:line="9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i w:val="1"/>
          <w:iCs w:val="1"/>
          <w:color w:val="auto"/>
        </w:rPr>
        <w:t>Acquired Intangibles Amortization</w:t>
      </w:r>
      <w:r>
        <w:rPr>
          <w:rFonts w:ascii="Arial" w:cs="Arial" w:eastAsia="Arial" w:hAnsi="Arial"/>
          <w:sz w:val="18"/>
          <w:szCs w:val="18"/>
          <w:color w:val="auto"/>
        </w:rPr>
        <w:t>. 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to the condensed consolidated financial statements contained elsewhere in this Report.</w:t>
      </w:r>
    </w:p>
    <w:p>
      <w:pPr>
        <w:spacing w:after="0" w:line="89" w:lineRule="exact"/>
        <w:rPr>
          <w:sz w:val="20"/>
          <w:szCs w:val="20"/>
          <w:color w:val="auto"/>
        </w:rPr>
      </w:pPr>
    </w:p>
    <w:p>
      <w:pPr>
        <w:jc w:val="both"/>
        <w:ind w:right="100" w:firstLine="509"/>
        <w:spacing w:after="0" w:line="293" w:lineRule="auto"/>
        <w:rPr>
          <w:sz w:val="20"/>
          <w:szCs w:val="20"/>
          <w:color w:val="auto"/>
        </w:rPr>
      </w:pPr>
      <w:r>
        <w:rPr>
          <w:rFonts w:ascii="Arial" w:cs="Arial" w:eastAsia="Arial" w:hAnsi="Arial"/>
          <w:sz w:val="16"/>
          <w:szCs w:val="16"/>
          <w:i w:val="1"/>
          <w:iCs w:val="1"/>
          <w:color w:val="auto"/>
        </w:rPr>
        <w:t>Interest and Other Expense, Net</w:t>
      </w:r>
      <w:r>
        <w:rPr>
          <w:rFonts w:ascii="Arial" w:cs="Arial" w:eastAsia="Arial" w:hAnsi="Arial"/>
          <w:sz w:val="16"/>
          <w:szCs w:val="16"/>
          <w:color w:val="auto"/>
        </w:rPr>
        <w:t>. Interest and other expense, net, primarily includes interest on our debt, amortization of debt discount and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partially offset by interest income earned on our cash, cash equivalents and short-term investments. Interest and other expense, net increased by $2.4 million to $8.3 million for the three months ended September 2022, as compared to $5.9 million for the three months ended September 2021.</w:t>
      </w:r>
    </w:p>
    <w:p>
      <w:pPr>
        <w:spacing w:after="0" w:line="54" w:lineRule="exact"/>
        <w:rPr>
          <w:sz w:val="20"/>
          <w:szCs w:val="20"/>
          <w:color w:val="auto"/>
        </w:rPr>
      </w:pPr>
    </w:p>
    <w:p>
      <w:pPr>
        <w:jc w:val="both"/>
        <w:ind w:right="280" w:firstLine="509"/>
        <w:spacing w:after="0" w:line="293" w:lineRule="auto"/>
        <w:rPr>
          <w:sz w:val="20"/>
          <w:szCs w:val="20"/>
          <w:color w:val="auto"/>
        </w:rPr>
      </w:pPr>
      <w:r>
        <w:rPr>
          <w:rFonts w:ascii="Arial" w:cs="Arial" w:eastAsia="Arial" w:hAnsi="Arial"/>
          <w:sz w:val="16"/>
          <w:szCs w:val="16"/>
          <w:color w:val="auto"/>
        </w:rPr>
        <w:t>The increase in interest and other expense, net, is primarily due to interest and amortization of debt issuance costs on the $400.0 million principal amount of Senior Notes issued in March 2021 and the $600 million incremental term loan facility executed in December 2021, partially offset by lower interest and amortization of debt issuance costs and discount on the convertible notes which were fully redeemed in the first quarter of fiscal 2022.</w:t>
      </w:r>
    </w:p>
    <w:p>
      <w:pPr>
        <w:spacing w:after="0" w:line="4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We account for income taxes under the asset and liability method. The provision for income taxes recorded in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8" w:name="page29"/>
    <w:bookmarkEnd w:id="28"/>
    <w:p>
      <w:pPr>
        <w:ind w:right="320"/>
        <w:spacing w:after="0" w:line="277" w:lineRule="auto"/>
        <w:rPr>
          <w:sz w:val="20"/>
          <w:szCs w:val="20"/>
          <w:color w:val="auto"/>
        </w:rPr>
      </w:pPr>
      <w:r>
        <w:rPr>
          <w:rFonts w:ascii="Arial" w:cs="Arial" w:eastAsia="Arial" w:hAnsi="Arial"/>
          <w:sz w:val="18"/>
          <w:szCs w:val="18"/>
          <w:color w:val="auto"/>
        </w:rPr>
        <w:t>several factors, including our ability to accurately forecast annual income before provision for income taxes in each of the tax jurisdictions in which we operate.</w:t>
      </w:r>
    </w:p>
    <w:p>
      <w:pPr>
        <w:spacing w:after="0" w:line="48"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The provision for income taxes of $39.1 million and $5.9 million for the three months ended September 2022 and September 2021, respectively, represented estimated federal, foreign, and state income taxes. The effective tax rate for the three months ended September 2022, diverged from the combined U.S. federal and state statutory tax rate primarily due to the impact of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 The effective tax rate for the three months ended September 2021, diverged from the combined U.S. federal and state statutory tax rate, primarily due to foreign income taxed at lower rates, the benefit of research credits and foreign tax credits, partially offset by foreign withholding taxes, non-deductible officer compensation, non-deductible stock-based compensation, and GILTI.</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Our cash and cash equivalents were $867.8 million as of September 2022, compared with $824.0 million as of June 2022, representing an increase of $43.8 million. The increase primarily reflected $31.4 million used for payroll taxes on the delivery of the underlying shares for Restricted Stock Units, or RSUs, Market Stock Units, or MSUs and Performance Stock Units, or PSUs, $6.2 million for the purchase of property and equipment, $13.4 million for repurchases of our common stock, offset by proceeds from maturities of our short-term investments of $7.7 and $78.5 million of net cash provided by operating activities.</w:t>
      </w:r>
    </w:p>
    <w:p>
      <w:pPr>
        <w:spacing w:after="0" w:line="90"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September 2022, $741.9 million of cash, cash equivalents and short-term investments was held by our foreign subsidiaries. If these funds are needed for our operations in the United States, we would be able to repatriate these funds without impacting our tax provision.</w:t>
      </w:r>
    </w:p>
    <w:p>
      <w:pPr>
        <w:spacing w:after="0" w:line="7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Operating activities during the three months ended September 2022 generated $78.5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$58.3 million net cash generated during the three months ended September 2021. For the three months ended September 2022, the primary operating activities were adjustments for non-cash charges of $80.7 million and a net change in operating assets and liabilities of $66.8 million. The net change in operating assets and liabilities was primarily attributable to a $9.7 million increase in inventories, offset by a $37.7 million decrease in accounts receivable, a $17.6 million decrease in accounts payable, a $38.2 million decrease in accrued compensation and a decrease of $38.9 million in income taxes payable and other accrued liabilities.</w:t>
      </w:r>
    </w:p>
    <w:p>
      <w:pPr>
        <w:spacing w:after="0" w:line="9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During the three months ended September 2022, our days sales outstanding was 57 days compared to 65 days at the same period a year ago. Our annual inventory turns decreased from seven to four over the same time period.</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 Cash provided by investing activities during the three months ended September 2022 was $2.3 million</w:t>
      </w:r>
    </w:p>
    <w:p>
      <w:pPr>
        <w:spacing w:after="0" w:line="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compared with $4.7 million cash used by investing activities during the three months ended September 2021. Net cash provided by investing activities for the three months ended September 2022 consisted of $7.7 million proceeds from the maturities of investments, partially offset by $6.2 million for purchases of property and equipment.</w:t>
      </w:r>
    </w:p>
    <w:p>
      <w:pPr>
        <w:spacing w:after="0" w:line="95" w:lineRule="exact"/>
        <w:rPr>
          <w:sz w:val="20"/>
          <w:szCs w:val="20"/>
          <w:color w:val="auto"/>
        </w:rPr>
      </w:pPr>
    </w:p>
    <w:p>
      <w:pPr>
        <w:ind w:right="220" w:firstLine="509"/>
        <w:spacing w:after="0" w:line="268" w:lineRule="auto"/>
        <w:rPr>
          <w:sz w:val="20"/>
          <w:szCs w:val="20"/>
          <w:color w:val="auto"/>
        </w:rPr>
      </w:pPr>
      <w:r>
        <w:rPr>
          <w:rFonts w:ascii="Arial" w:cs="Arial" w:eastAsia="Arial" w:hAnsi="Arial"/>
          <w:sz w:val="17"/>
          <w:szCs w:val="17"/>
          <w:i w:val="1"/>
          <w:iCs w:val="1"/>
          <w:color w:val="auto"/>
        </w:rPr>
        <w:t>Cash Flows from Financing Activities</w:t>
      </w:r>
      <w:r>
        <w:rPr>
          <w:rFonts w:ascii="Arial" w:cs="Arial" w:eastAsia="Arial" w:hAnsi="Arial"/>
          <w:sz w:val="17"/>
          <w:szCs w:val="17"/>
          <w:color w:val="auto"/>
        </w:rPr>
        <w:t>. Cash used in financing activities for the three months ended September 2022 was $35.0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$542.1 million used by financing activities for the three months ended September 2021. Net cash used by financing activities for the three months ended September 2022 consisted of $8.5 million proceeds from issuance of shares, offset by $31.4 million used for payroll taxes on the delivery of the underlying shares for RSUs, MSUs and PSUs, and $13.4 million used to repurchase our common stock.</w:t>
      </w:r>
    </w:p>
    <w:p>
      <w:pPr>
        <w:spacing w:after="0" w:line="57"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i w:val="1"/>
          <w:iCs w:val="1"/>
          <w:color w:val="auto"/>
        </w:rPr>
        <w:t>Common Stock Repurchase Program</w:t>
      </w:r>
      <w:r>
        <w:rPr>
          <w:rFonts w:ascii="Arial" w:cs="Arial" w:eastAsia="Arial" w:hAnsi="Arial"/>
          <w:sz w:val="17"/>
          <w:szCs w:val="17"/>
          <w:color w:val="auto"/>
        </w:rPr>
        <w:t>. As of September 2022, our board has cumulatively authorized $1.8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September 2022, we purchased 28,244,252 shares of our common stock in the open market for an aggregate cost of $707.9 million. During three months ended September 2022, we repurchased 119,631 shares of our common stock. As of September 2022, the remaining available authorization under our common stock repurchase program was $564.0 million.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10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29" w:name="page30"/>
    <w:bookmarkEnd w:id="29"/>
    <w:p>
      <w:pPr>
        <w:ind w:right="20" w:firstLine="509"/>
        <w:spacing w:after="0" w:line="248"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8" w:lineRule="exact"/>
        <w:rPr>
          <w:sz w:val="20"/>
          <w:szCs w:val="20"/>
          <w:color w:val="auto"/>
        </w:rPr>
      </w:pPr>
    </w:p>
    <w:p>
      <w:pPr>
        <w:ind w:right="160" w:firstLine="509"/>
        <w:spacing w:after="0" w:line="290"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40"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to, but excluding, the redemption date:</w:t>
      </w:r>
    </w:p>
    <w:p>
      <w:pPr>
        <w:spacing w:after="0" w:line="250"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60" w:type="dxa"/>
            <w:vAlign w:val="bottom"/>
          </w:tcPr>
          <w:p>
            <w:pPr>
              <w:ind w:left="2420"/>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0"/>
                <w:szCs w:val="20"/>
                <w:color w:val="auto"/>
              </w:rPr>
            </w:pPr>
          </w:p>
        </w:tc>
        <w:tc>
          <w:tcPr>
            <w:tcW w:w="1600" w:type="dxa"/>
            <w:vAlign w:val="bottom"/>
            <w:gridSpan w:val="2"/>
          </w:tcPr>
          <w:p>
            <w:pPr>
              <w:jc w:val="right"/>
              <w:ind w:right="610"/>
              <w:spacing w:after="0"/>
              <w:rPr>
                <w:sz w:val="20"/>
                <w:szCs w:val="20"/>
                <w:color w:val="auto"/>
              </w:rPr>
            </w:pPr>
            <w:r>
              <w:rPr>
                <w:rFonts w:ascii="Arial" w:cs="Arial" w:eastAsia="Arial" w:hAnsi="Arial"/>
                <w:sz w:val="18"/>
                <w:szCs w:val="18"/>
                <w:color w:val="auto"/>
              </w:rPr>
              <w:t>Price</w:t>
            </w:r>
          </w:p>
        </w:tc>
      </w:tr>
      <w:tr>
        <w:trPr>
          <w:trHeight w:val="209"/>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2025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101 %</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-410210</wp:posOffset>
            </wp:positionV>
            <wp:extent cx="427291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72915" cy="13716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-136525</wp:posOffset>
            </wp:positionV>
            <wp:extent cx="427291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72915" cy="137160"/>
                    </a:xfrm>
                    <a:prstGeom prst="rect">
                      <a:avLst/>
                    </a:prstGeom>
                    <a:noFill/>
                  </pic:spPr>
                </pic:pic>
              </a:graphicData>
            </a:graphic>
          </wp:anchor>
        </w:drawing>
      </w:r>
    </w:p>
    <w:p>
      <w:pPr>
        <w:spacing w:after="0" w:line="7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6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4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Bank Credit Facility</w:t>
      </w:r>
    </w:p>
    <w:p>
      <w:pPr>
        <w:spacing w:after="0" w:line="10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On March 11, 2021, we entered into a Second Amended and Restated Credit Agreement, or the Credit Agreement, with the lenders party thereto and Wells Fargo Bank, National Association, as administrative agent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53"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borrowings on this revolving credit facility. As of September 2022, there was no balance outstanding under the revolving credit facility.</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40"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83"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September 2022, we remain in compliance with the restrictive covenants.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10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In December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72" w:lineRule="exact"/>
        <w:rPr>
          <w:sz w:val="20"/>
          <w:szCs w:val="20"/>
          <w:color w:val="auto"/>
        </w:rPr>
      </w:pPr>
    </w:p>
    <w:p>
      <w:pPr>
        <w:ind w:right="160" w:firstLine="509"/>
        <w:spacing w:after="0" w:line="282"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ind w:right="100" w:firstLine="8"/>
        <w:spacing w:after="0" w:line="239"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95" w:lineRule="exact"/>
        <w:rPr>
          <w:sz w:val="20"/>
          <w:szCs w:val="20"/>
          <w:color w:val="auto"/>
        </w:rPr>
      </w:pPr>
    </w:p>
    <w:p>
      <w:pPr>
        <w:ind w:right="320" w:firstLine="509"/>
        <w:spacing w:after="0" w:line="269"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June 30, 2023, an excess cash flow sweep, subject to customary step-downs and thresholds.</w:t>
      </w:r>
    </w:p>
    <w:p>
      <w:pPr>
        <w:spacing w:after="0" w:line="71"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i w:val="1"/>
          <w:iCs w:val="1"/>
          <w:color w:val="auto"/>
        </w:rPr>
        <w:t>$100 Million Shelf Registration</w:t>
      </w:r>
      <w:r>
        <w:rPr>
          <w:rFonts w:ascii="Arial" w:cs="Arial" w:eastAsia="Arial" w:hAnsi="Arial"/>
          <w:sz w:val="18"/>
          <w:szCs w:val="18"/>
          <w:color w:val="auto"/>
        </w:rPr>
        <w:t>. 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7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i w:val="1"/>
          <w:iCs w:val="1"/>
          <w:color w:val="auto"/>
        </w:rPr>
        <w:t>Working Capital Needs</w:t>
      </w:r>
      <w:r>
        <w:rPr>
          <w:rFonts w:ascii="Arial" w:cs="Arial" w:eastAsia="Arial" w:hAnsi="Arial"/>
          <w:sz w:val="18"/>
          <w:szCs w:val="18"/>
          <w:color w:val="auto"/>
        </w:rPr>
        <w:t>. We believe our existing cash and cash equivalents, anticipated cash flows from operating activities, anticipated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from financing activities, and available credit under our revolving credit facility, will be sufficient to meet our working capital and other cash requirements, including acquisitions, and our debt service obligations for at least the next 12 months. Our future capital requirements will depend on many factors, including our revenue, the effectiveness of vaccines on variants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1" w:name="page32"/>
    <w:bookmarkEnd w:id="31"/>
    <w:p>
      <w:pPr>
        <w:spacing w:after="0" w:line="261" w:lineRule="auto"/>
        <w:rPr>
          <w:sz w:val="20"/>
          <w:szCs w:val="20"/>
          <w:color w:val="auto"/>
        </w:rPr>
      </w:pPr>
      <w:r>
        <w:rPr>
          <w:rFonts w:ascii="Arial" w:cs="Arial" w:eastAsia="Arial" w:hAnsi="Arial"/>
          <w:sz w:val="17"/>
          <w:szCs w:val="17"/>
          <w:color w:val="auto"/>
        </w:rPr>
        <w:t>COVID-19,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66" w:lineRule="exact"/>
        <w:rPr>
          <w:sz w:val="20"/>
          <w:szCs w:val="20"/>
          <w:color w:val="auto"/>
        </w:rPr>
      </w:pPr>
    </w:p>
    <w:p>
      <w:pPr>
        <w:jc w:val="both"/>
        <w:ind w:right="120" w:firstLine="509"/>
        <w:spacing w:after="0" w:line="293" w:lineRule="auto"/>
        <w:rPr>
          <w:sz w:val="20"/>
          <w:szCs w:val="20"/>
          <w:color w:val="auto"/>
        </w:rPr>
      </w:pPr>
      <w:r>
        <w:rPr>
          <w:rFonts w:ascii="Arial" w:cs="Arial" w:eastAsia="Arial" w:hAnsi="Arial"/>
          <w:sz w:val="16"/>
          <w:szCs w:val="16"/>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pay certain state and foreign taxes to repatriate these funds, which would impact our cash flows.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5"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September 2022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718"/>
              <w:spacing w:after="0"/>
              <w:rPr>
                <w:sz w:val="20"/>
                <w:szCs w:val="20"/>
                <w:color w:val="auto"/>
              </w:rPr>
            </w:pPr>
            <w:r>
              <w:rPr>
                <w:rFonts w:ascii="Arial" w:cs="Arial" w:eastAsia="Arial" w:hAnsi="Arial"/>
                <w:sz w:val="14"/>
                <w:szCs w:val="14"/>
                <w:b w:val="1"/>
                <w:bCs w:val="1"/>
                <w:color w:val="auto"/>
                <w:w w:val="91"/>
              </w:rPr>
              <w:t>Payments due by period</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restart"/>
          </w:tcPr>
          <w:p>
            <w:pPr>
              <w:ind w:left="180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8"/>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1,261.3</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24"/>
                <w:szCs w:val="24"/>
                <w:color w:val="auto"/>
                <w:vertAlign w:val="superscript"/>
              </w:rPr>
              <w:t>(2)</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-170815</wp:posOffset>
            </wp:positionV>
            <wp:extent cx="7683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-170815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-170815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-170815</wp:posOffset>
            </wp:positionV>
            <wp:extent cx="685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97" w:lineRule="exact"/>
        <w:rPr>
          <w:sz w:val="20"/>
          <w:szCs w:val="20"/>
          <w:color w:val="auto"/>
        </w:rPr>
      </w:pPr>
    </w:p>
    <w:p>
      <w:pPr>
        <w:ind w:left="1560" w:hanging="534"/>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103" w:lineRule="exact"/>
        <w:rPr>
          <w:rFonts w:ascii="Arial" w:cs="Arial" w:eastAsia="Arial" w:hAnsi="Arial"/>
          <w:sz w:val="18"/>
          <w:szCs w:val="18"/>
          <w:color w:val="auto"/>
        </w:rPr>
      </w:pPr>
    </w:p>
    <w:p>
      <w:pPr>
        <w:ind w:left="520" w:right="220" w:firstLine="506"/>
        <w:spacing w:after="0" w:line="261" w:lineRule="auto"/>
        <w:tabs>
          <w:tab w:leader="none" w:pos="1563"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18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$38.2 million. As of September 2022, we were unable to make a reasonably reliable estimate of when cash settlement with a taxing authority may occur in connection with our gross unrecognized tax benefit.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00" w:firstLine="509"/>
        <w:spacing w:after="0" w:line="290" w:lineRule="auto"/>
        <w:rPr>
          <w:sz w:val="20"/>
          <w:szCs w:val="20"/>
          <w:color w:val="auto"/>
        </w:rPr>
      </w:pPr>
      <w:r>
        <w:rPr>
          <w:rFonts w:ascii="Arial" w:cs="Arial" w:eastAsia="Arial" w:hAnsi="Arial"/>
          <w:sz w:val="17"/>
          <w:szCs w:val="17"/>
          <w:color w:val="auto"/>
        </w:rPr>
        <w:t>As of September 24, 2022, our market risk related to interest rates on our cash and cash equivalents, and foreign currency exchange risks has not changed materially from the risks disclosed in Item 7A of our Annual Report on Form 10-K for the fiscal year ended June 25,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Although many of the restrictions and containment measures implemented by governmental authorities in response to the COVID-19 pandemic have since been lifted or scaled back, some of our employees continue to work from home, or on a hybrid basis. Established business continuity plans were initiated in order to mitigate the impact to our control environment, operating procedures, data, and internal controls. The design of our processes and controls allows for remote execution with accessibility to secure data.</w:t>
      </w:r>
    </w:p>
    <w:p>
      <w:pPr>
        <w:spacing w:after="0" w:line="183"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September 24, 2022,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7"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18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ended September 2022,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ind w:right="40" w:firstLine="509"/>
        <w:spacing w:after="0" w:line="307" w:lineRule="auto"/>
        <w:rPr>
          <w:sz w:val="20"/>
          <w:szCs w:val="20"/>
          <w:color w:val="auto"/>
        </w:rPr>
      </w:pPr>
      <w:r>
        <w:rPr>
          <w:rFonts w:ascii="Arial" w:cs="Arial" w:eastAsia="Arial" w:hAnsi="Arial"/>
          <w:sz w:val="17"/>
          <w:szCs w:val="17"/>
          <w:color w:val="252525"/>
        </w:rPr>
        <w:t xml:space="preserve">We refer you to the Company’s risk factors set forth in Part I, Item 1A, “Risk Factors,” of our Annual Report on Form 10-K for the fiscal year ended June 25, 2022 for material risks that may affect our business. </w:t>
      </w:r>
      <w:r>
        <w:rPr>
          <w:rFonts w:ascii="Arial" w:cs="Arial" w:eastAsia="Arial" w:hAnsi="Arial"/>
          <w:sz w:val="17"/>
          <w:szCs w:val="17"/>
          <w:color w:val="000000"/>
        </w:rPr>
        <w:t>There have been no material changes from the risk factors previously disclosed.</w:t>
      </w:r>
    </w:p>
    <w:p>
      <w:pPr>
        <w:spacing w:after="0" w:line="332" w:lineRule="exact"/>
        <w:rPr>
          <w:sz w:val="20"/>
          <w:szCs w:val="20"/>
          <w:color w:val="auto"/>
        </w:rPr>
      </w:pPr>
    </w:p>
    <w:p>
      <w:pPr>
        <w:ind w:right="4140"/>
        <w:spacing w:after="0" w:line="361"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Board of Directors has cumulatively authorized $1.8 billion for our common stock repurchase program, which expires at the end of July 2025.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2022, the remaining amount authorized for the repurchase of our common stock was $564.0 million. During the three-month period ended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2022, repurchases under our common stock repurchase program were as follows:</w:t>
      </w:r>
    </w:p>
    <w:tbl>
      <w:tblPr>
        <w:tblLayout w:type="fixed"/>
        <w:tblInd w:w="0" w:type="dxa"/>
        <w:tblCellMar>
          <w:top w:w="0" w:type="dxa"/>
          <w:left w:w="0" w:type="dxa"/>
          <w:bottom w:w="0" w:type="dxa"/>
          <w:right w:w="0" w:type="dxa"/>
        </w:tblCellMar>
      </w:tblPr>
      <w:tr>
        <w:trPr>
          <w:trHeight w:val="200"/>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center"/>
              <w:spacing w:after="0" w:line="200" w:lineRule="exact"/>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70"/>
              <w:spacing w:after="0" w:line="200" w:lineRule="exact"/>
              <w:rPr>
                <w:sz w:val="20"/>
                <w:szCs w:val="20"/>
                <w:color w:val="auto"/>
              </w:rPr>
            </w:pPr>
            <w:r>
              <w:rPr>
                <w:rFonts w:ascii="Arial" w:cs="Arial" w:eastAsia="Arial" w:hAnsi="Arial"/>
                <w:sz w:val="18"/>
                <w:szCs w:val="18"/>
                <w:color w:val="auto"/>
                <w:w w:val="95"/>
              </w:rPr>
              <w:t>Maximum Dollar</w:t>
            </w:r>
          </w:p>
        </w:tc>
        <w:tc>
          <w:tcPr>
            <w:tcW w:w="100" w:type="dxa"/>
            <w:vAlign w:val="bottom"/>
          </w:tcPr>
          <w:p>
            <w:pPr>
              <w:spacing w:after="0"/>
              <w:rPr>
                <w:sz w:val="17"/>
                <w:szCs w:val="17"/>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Number of Shares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87"/>
              </w:rPr>
              <w:t>Value of Shares</w:t>
            </w: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91"/>
              </w:rPr>
              <w:t>that May Be</w:t>
            </w: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2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Number</w:t>
            </w:r>
          </w:p>
        </w:tc>
        <w:tc>
          <w:tcPr>
            <w:tcW w:w="2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8"/>
              </w:rPr>
              <w:t>Paid</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90"/>
              </w:rPr>
              <w:t>in the Future</w:t>
            </w: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of Shares</w:t>
            </w:r>
          </w:p>
        </w:tc>
        <w:tc>
          <w:tcPr>
            <w:tcW w:w="2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92"/>
              </w:rPr>
              <w:t>per</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color w:val="auto"/>
                <w:w w:val="91"/>
              </w:rPr>
              <w:t>Under the</w:t>
            </w:r>
          </w:p>
        </w:tc>
        <w:tc>
          <w:tcPr>
            <w:tcW w:w="100" w:type="dxa"/>
            <w:vAlign w:val="bottom"/>
          </w:tcPr>
          <w:p>
            <w:pPr>
              <w:spacing w:after="0"/>
              <w:rPr>
                <w:sz w:val="18"/>
                <w:szCs w:val="18"/>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3"/>
              </w:rPr>
              <w:t>Share</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Program</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Program</w:t>
            </w:r>
          </w:p>
        </w:tc>
        <w:tc>
          <w:tcPr>
            <w:tcW w:w="100" w:type="dxa"/>
            <w:vAlign w:val="bottom"/>
          </w:tcPr>
          <w:p>
            <w:pPr>
              <w:spacing w:after="0"/>
              <w:rPr>
                <w:sz w:val="20"/>
                <w:szCs w:val="20"/>
                <w:color w:val="auto"/>
              </w:rPr>
            </w:pPr>
          </w:p>
        </w:tc>
      </w:tr>
      <w:tr>
        <w:trPr>
          <w:trHeight w:val="209"/>
        </w:trPr>
        <w:tc>
          <w:tcPr>
            <w:tcW w:w="4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June 26, 2022 - July 25, 2022</w:t>
            </w: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July 26, 2022 - August 25, 2022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August 26, 2022 - September 24, 2022</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119,631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111.47</w:t>
            </w:r>
          </w:p>
        </w:tc>
        <w:tc>
          <w:tcPr>
            <w:tcW w:w="1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119,631</w:t>
            </w:r>
          </w:p>
        </w:tc>
        <w:tc>
          <w:tcPr>
            <w:tcW w:w="4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564,016,000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2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0"/>
        </w:trPr>
        <w:tc>
          <w:tcPr>
            <w:tcW w:w="4020" w:type="dxa"/>
            <w:vAlign w:val="bottom"/>
          </w:tcPr>
          <w:p>
            <w:pPr>
              <w:spacing w:after="0"/>
              <w:rPr>
                <w:sz w:val="24"/>
                <w:szCs w:val="24"/>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-787400</wp:posOffset>
            </wp:positionV>
            <wp:extent cx="7683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9680" w:type="dxa"/>
            <w:vAlign w:val="bottom"/>
            <w:gridSpan w:val="4"/>
          </w:tcPr>
          <w:p>
            <w:pPr>
              <w:spacing w:after="0"/>
              <w:rPr>
                <w:rFonts w:ascii="Arial" w:cs="Arial" w:eastAsia="Arial" w:hAnsi="Arial"/>
                <w:sz w:val="18"/>
                <w:szCs w:val="18"/>
                <w:color w:val="0000FF"/>
                <w:w w:val="90"/>
              </w:rPr>
            </w:pPr>
            <w:hyperlink r:id="rId239">
              <w:r>
                <w:rPr>
                  <w:rFonts w:ascii="Arial" w:cs="Arial" w:eastAsia="Arial" w:hAnsi="Arial"/>
                  <w:sz w:val="18"/>
                  <w:szCs w:val="18"/>
                  <w:color w:val="0000FF"/>
                  <w:w w:val="90"/>
                </w:rPr>
                <w:t>Amended and Restated 2019 Equity and Incentive Compensation Plan (incorporated by reference to the registrant’s Current Report on</w:t>
              </w:r>
            </w:hyperlink>
          </w:p>
        </w:tc>
      </w:tr>
      <w:tr>
        <w:trPr>
          <w:trHeight w:val="169"/>
        </w:trPr>
        <w:tc>
          <w:tcPr>
            <w:tcW w:w="1160" w:type="dxa"/>
            <w:vAlign w:val="bottom"/>
          </w:tcPr>
          <w:p>
            <w:pPr>
              <w:spacing w:after="0"/>
              <w:rPr>
                <w:sz w:val="14"/>
                <w:szCs w:val="14"/>
                <w:color w:val="auto"/>
              </w:rPr>
            </w:pPr>
          </w:p>
        </w:tc>
        <w:tc>
          <w:tcPr>
            <w:tcW w:w="968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239">
              <w:r>
                <w:rPr>
                  <w:rFonts w:ascii="Arial" w:cs="Arial" w:eastAsia="Arial" w:hAnsi="Arial"/>
                  <w:sz w:val="18"/>
                  <w:szCs w:val="18"/>
                  <w:color w:val="0000FF"/>
                </w:rPr>
                <w:t>Form 8-K as filed with the SEC on October 27,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gridSpan w:val="4"/>
          </w:tcPr>
          <w:p>
            <w:pPr>
              <w:spacing w:after="0"/>
              <w:rPr>
                <w:sz w:val="20"/>
                <w:szCs w:val="20"/>
                <w:color w:val="auto"/>
              </w:rPr>
            </w:pPr>
            <w:r>
              <w:rPr>
                <w:rFonts w:ascii="Arial" w:cs="Arial" w:eastAsia="Arial" w:hAnsi="Arial"/>
                <w:sz w:val="18"/>
                <w:szCs w:val="18"/>
                <w:color w:val="0000FF"/>
              </w:rPr>
              <w:t>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gridSpan w:val="4"/>
          </w:tcPr>
          <w:p>
            <w:pPr>
              <w:spacing w:after="0"/>
              <w:rPr>
                <w:sz w:val="20"/>
                <w:szCs w:val="20"/>
                <w:color w:val="auto"/>
              </w:rPr>
            </w:pPr>
            <w:r>
              <w:rPr>
                <w:rFonts w:ascii="Arial" w:cs="Arial" w:eastAsia="Arial" w:hAnsi="Arial"/>
                <w:sz w:val="18"/>
                <w:szCs w:val="18"/>
                <w:color w:val="0000FF"/>
              </w:rPr>
              <w:t>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gridSpan w:val="4"/>
          </w:tcPr>
          <w:p>
            <w:pPr>
              <w:spacing w:after="0"/>
              <w:rPr>
                <w:sz w:val="20"/>
                <w:szCs w:val="20"/>
                <w:color w:val="auto"/>
              </w:rPr>
            </w:pPr>
            <w:r>
              <w:rPr>
                <w:rFonts w:ascii="Arial" w:cs="Arial" w:eastAsia="Arial" w:hAnsi="Arial"/>
                <w:sz w:val="18"/>
                <w:szCs w:val="18"/>
                <w:color w:val="0000FF"/>
              </w:rPr>
              <w:t>Section 1350 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5880" w:type="dxa"/>
            <w:vAlign w:val="bottom"/>
            <w:tcBorders>
              <w:left w:val="single" w:sz="8" w:color="0000FF"/>
            </w:tcBorders>
            <w:gridSpan w:val="2"/>
          </w:tcPr>
          <w:p>
            <w:pPr>
              <w:spacing w:after="0" w:line="20" w:lineRule="exact"/>
              <w:rPr>
                <w:sz w:val="1"/>
                <w:szCs w:val="1"/>
                <w:color w:val="auto"/>
              </w:rPr>
            </w:pPr>
          </w:p>
        </w:tc>
      </w:tr>
      <w:tr>
        <w:trPr>
          <w:trHeight w:val="331"/>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680" w:type="dxa"/>
            <w:vAlign w:val="bottom"/>
            <w:gridSpan w:val="4"/>
          </w:tcPr>
          <w:p>
            <w:pPr>
              <w:spacing w:after="0"/>
              <w:rPr>
                <w:sz w:val="20"/>
                <w:szCs w:val="20"/>
                <w:color w:val="auto"/>
              </w:rPr>
            </w:pPr>
            <w:r>
              <w:rPr>
                <w:rFonts w:ascii="Arial" w:cs="Arial" w:eastAsia="Arial" w:hAnsi="Arial"/>
                <w:sz w:val="18"/>
                <w:szCs w:val="18"/>
                <w:color w:val="0000FF"/>
              </w:rPr>
              <w:t>Section 1350 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2"/>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330"/>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968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0" w:type="dxa"/>
            <w:vAlign w:val="bottom"/>
          </w:tcPr>
          <w:p>
            <w:pPr>
              <w:spacing w:after="0"/>
              <w:rPr>
                <w:sz w:val="20"/>
                <w:szCs w:val="20"/>
                <w:color w:val="auto"/>
              </w:rPr>
            </w:pPr>
          </w:p>
        </w:tc>
      </w:tr>
    </w:tbl>
    <w:p>
      <w:pPr>
        <w:spacing w:after="0" w:line="120" w:lineRule="exact"/>
        <w:rPr>
          <w:sz w:val="20"/>
          <w:szCs w:val="20"/>
          <w:color w:val="auto"/>
        </w:rPr>
      </w:pPr>
    </w:p>
    <w:p>
      <w:pPr>
        <w:ind w:left="1160" w:right="180" w:hanging="1139"/>
        <w:spacing w:after="0" w:line="245"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20" w:hanging="509"/>
        <w:spacing w:after="0" w:line="261" w:lineRule="auto"/>
        <w:rPr>
          <w:rFonts w:ascii="Arial" w:cs="Arial" w:eastAsia="Arial" w:hAnsi="Arial"/>
          <w:sz w:val="18"/>
          <w:szCs w:val="18"/>
          <w:color w:val="auto"/>
        </w:rPr>
      </w:pPr>
      <w:r>
        <w:rPr>
          <w:rFonts w:ascii="Arial" w:cs="Arial" w:eastAsia="Arial" w:hAnsi="Arial"/>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14300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820"/>
              <w:spacing w:after="0"/>
              <w:rPr>
                <w:sz w:val="20"/>
                <w:szCs w:val="20"/>
                <w:color w:val="auto"/>
              </w:rPr>
            </w:pPr>
            <w:r>
              <w:rPr>
                <w:rFonts w:ascii="Arial" w:cs="Arial" w:eastAsia="Arial" w:hAnsi="Arial"/>
                <w:sz w:val="18"/>
                <w:szCs w:val="18"/>
                <w:b w:val="1"/>
                <w:bCs w:val="1"/>
                <w:color w:val="auto"/>
              </w:rPr>
              <w:t>SYNAPTICS INCORPORATED</w:t>
            </w:r>
          </w:p>
        </w:tc>
      </w:tr>
      <w:tr>
        <w:trPr>
          <w:trHeight w:val="445"/>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3480" w:type="dxa"/>
            <w:vAlign w:val="bottom"/>
          </w:tcPr>
          <w:p>
            <w:pPr>
              <w:ind w:left="28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E. Hurlston</w:t>
            </w:r>
          </w:p>
        </w:tc>
      </w:tr>
      <w:tr>
        <w:trPr>
          <w:trHeight w:val="168"/>
        </w:trPr>
        <w:tc>
          <w:tcPr>
            <w:tcW w:w="3680" w:type="dxa"/>
            <w:vAlign w:val="bottom"/>
          </w:tcPr>
          <w:p>
            <w:pPr>
              <w:spacing w:after="0"/>
              <w:rPr>
                <w:sz w:val="14"/>
                <w:szCs w:val="14"/>
                <w:color w:val="auto"/>
              </w:rPr>
            </w:pPr>
          </w:p>
        </w:tc>
        <w:tc>
          <w:tcPr>
            <w:tcW w:w="3480" w:type="dxa"/>
            <w:vAlign w:val="bottom"/>
          </w:tcPr>
          <w:p>
            <w:pPr>
              <w:ind w:left="2820"/>
              <w:spacing w:after="0" w:line="168" w:lineRule="exact"/>
              <w:rPr>
                <w:sz w:val="20"/>
                <w:szCs w:val="20"/>
                <w:color w:val="auto"/>
              </w:rPr>
            </w:pPr>
            <w:r>
              <w:rPr>
                <w:rFonts w:ascii="Arial" w:cs="Arial" w:eastAsia="Arial" w:hAnsi="Arial"/>
                <w:sz w:val="18"/>
                <w:szCs w:val="18"/>
                <w:color w:val="auto"/>
              </w:rPr>
              <w:t>Name:</w:t>
            </w:r>
          </w:p>
        </w:tc>
        <w:tc>
          <w:tcPr>
            <w:tcW w:w="4080" w:type="dxa"/>
            <w:vAlign w:val="bottom"/>
          </w:tcPr>
          <w:p>
            <w:pPr>
              <w:ind w:left="20"/>
              <w:spacing w:after="0" w:line="168" w:lineRule="exact"/>
              <w:rPr>
                <w:sz w:val="20"/>
                <w:szCs w:val="20"/>
                <w:color w:val="auto"/>
              </w:rPr>
            </w:pPr>
            <w:r>
              <w:rPr>
                <w:rFonts w:ascii="Arial" w:cs="Arial" w:eastAsia="Arial" w:hAnsi="Arial"/>
                <w:sz w:val="18"/>
                <w:szCs w:val="18"/>
                <w:color w:val="auto"/>
              </w:rPr>
              <w:t>Michael E. Hurlston</w:t>
            </w:r>
          </w:p>
        </w:tc>
      </w:tr>
      <w:tr>
        <w:trPr>
          <w:trHeight w:val="230"/>
        </w:trPr>
        <w:tc>
          <w:tcPr>
            <w:tcW w:w="3680" w:type="dxa"/>
            <w:vAlign w:val="bottom"/>
          </w:tcPr>
          <w:p>
            <w:pPr>
              <w:spacing w:after="0"/>
              <w:rPr>
                <w:sz w:val="20"/>
                <w:szCs w:val="20"/>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634"/>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3480" w:type="dxa"/>
            <w:vAlign w:val="bottom"/>
          </w:tcPr>
          <w:p>
            <w:pPr>
              <w:ind w:left="28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Dean Butler</w:t>
            </w:r>
          </w:p>
        </w:tc>
      </w:tr>
      <w:tr>
        <w:trPr>
          <w:trHeight w:val="168"/>
        </w:trPr>
        <w:tc>
          <w:tcPr>
            <w:tcW w:w="3680" w:type="dxa"/>
            <w:vAlign w:val="bottom"/>
          </w:tcPr>
          <w:p>
            <w:pPr>
              <w:spacing w:after="0"/>
              <w:rPr>
                <w:sz w:val="14"/>
                <w:szCs w:val="14"/>
                <w:color w:val="auto"/>
              </w:rPr>
            </w:pPr>
          </w:p>
        </w:tc>
        <w:tc>
          <w:tcPr>
            <w:tcW w:w="3480" w:type="dxa"/>
            <w:vAlign w:val="bottom"/>
          </w:tcPr>
          <w:p>
            <w:pPr>
              <w:ind w:left="2820"/>
              <w:spacing w:after="0" w:line="168" w:lineRule="exact"/>
              <w:rPr>
                <w:sz w:val="20"/>
                <w:szCs w:val="20"/>
                <w:color w:val="auto"/>
              </w:rPr>
            </w:pPr>
            <w:r>
              <w:rPr>
                <w:rFonts w:ascii="Arial" w:cs="Arial" w:eastAsia="Arial" w:hAnsi="Arial"/>
                <w:sz w:val="18"/>
                <w:szCs w:val="18"/>
                <w:color w:val="auto"/>
              </w:rPr>
              <w:t>Name:</w:t>
            </w:r>
          </w:p>
        </w:tc>
        <w:tc>
          <w:tcPr>
            <w:tcW w:w="4080" w:type="dxa"/>
            <w:vAlign w:val="bottom"/>
          </w:tcPr>
          <w:p>
            <w:pPr>
              <w:ind w:left="20"/>
              <w:spacing w:after="0" w:line="168" w:lineRule="exact"/>
              <w:rPr>
                <w:sz w:val="20"/>
                <w:szCs w:val="20"/>
                <w:color w:val="auto"/>
              </w:rPr>
            </w:pPr>
            <w:r>
              <w:rPr>
                <w:rFonts w:ascii="Arial" w:cs="Arial" w:eastAsia="Arial" w:hAnsi="Arial"/>
                <w:sz w:val="18"/>
                <w:szCs w:val="18"/>
                <w:color w:val="auto"/>
              </w:rPr>
              <w:t>Dean Butler</w:t>
            </w:r>
          </w:p>
        </w:tc>
      </w:tr>
      <w:tr>
        <w:trPr>
          <w:trHeight w:val="230"/>
        </w:trPr>
        <w:tc>
          <w:tcPr>
            <w:tcW w:w="3680" w:type="dxa"/>
            <w:vAlign w:val="bottom"/>
          </w:tcPr>
          <w:p>
            <w:pPr>
              <w:spacing w:after="0"/>
              <w:rPr>
                <w:sz w:val="20"/>
                <w:szCs w:val="20"/>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418"/>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3480" w:type="dxa"/>
            <w:vAlign w:val="bottom"/>
          </w:tcPr>
          <w:p>
            <w:pPr>
              <w:ind w:left="28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Kermit Nolan</w:t>
            </w:r>
          </w:p>
        </w:tc>
      </w:tr>
      <w:tr>
        <w:trPr>
          <w:trHeight w:val="168"/>
        </w:trPr>
        <w:tc>
          <w:tcPr>
            <w:tcW w:w="3680" w:type="dxa"/>
            <w:vAlign w:val="bottom"/>
          </w:tcPr>
          <w:p>
            <w:pPr>
              <w:spacing w:after="0"/>
              <w:rPr>
                <w:sz w:val="14"/>
                <w:szCs w:val="14"/>
                <w:color w:val="auto"/>
              </w:rPr>
            </w:pPr>
          </w:p>
        </w:tc>
        <w:tc>
          <w:tcPr>
            <w:tcW w:w="3480" w:type="dxa"/>
            <w:vAlign w:val="bottom"/>
          </w:tcPr>
          <w:p>
            <w:pPr>
              <w:ind w:left="2820"/>
              <w:spacing w:after="0" w:line="168" w:lineRule="exact"/>
              <w:rPr>
                <w:sz w:val="20"/>
                <w:szCs w:val="20"/>
                <w:color w:val="auto"/>
              </w:rPr>
            </w:pPr>
            <w:r>
              <w:rPr>
                <w:rFonts w:ascii="Arial" w:cs="Arial" w:eastAsia="Arial" w:hAnsi="Arial"/>
                <w:sz w:val="18"/>
                <w:szCs w:val="18"/>
                <w:color w:val="auto"/>
              </w:rPr>
              <w:t>Name:</w:t>
            </w:r>
          </w:p>
        </w:tc>
        <w:tc>
          <w:tcPr>
            <w:tcW w:w="4080" w:type="dxa"/>
            <w:vAlign w:val="bottom"/>
          </w:tcPr>
          <w:p>
            <w:pPr>
              <w:ind w:left="20"/>
              <w:spacing w:after="0" w:line="168" w:lineRule="exact"/>
              <w:rPr>
                <w:sz w:val="20"/>
                <w:szCs w:val="20"/>
                <w:color w:val="auto"/>
              </w:rPr>
            </w:pPr>
            <w:r>
              <w:rPr>
                <w:rFonts w:ascii="Arial" w:cs="Arial" w:eastAsia="Arial" w:hAnsi="Arial"/>
                <w:sz w:val="18"/>
                <w:szCs w:val="18"/>
                <w:color w:val="auto"/>
              </w:rPr>
              <w:t>Kermit Nolan</w:t>
            </w:r>
          </w:p>
        </w:tc>
      </w:tr>
      <w:tr>
        <w:trPr>
          <w:trHeight w:val="230"/>
        </w:trPr>
        <w:tc>
          <w:tcPr>
            <w:tcW w:w="3680" w:type="dxa"/>
            <w:vAlign w:val="bottom"/>
          </w:tcPr>
          <w:p>
            <w:pPr>
              <w:spacing w:after="0"/>
              <w:rPr>
                <w:sz w:val="20"/>
                <w:szCs w:val="20"/>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w w:val="92"/>
              </w:rPr>
              <w:t>Corporate Vice President and Chief Accounting Officer</w:t>
            </w:r>
          </w:p>
        </w:tc>
      </w:tr>
      <w:tr>
        <w:trPr>
          <w:trHeight w:val="634"/>
        </w:trPr>
        <w:tc>
          <w:tcPr>
            <w:tcW w:w="3680" w:type="dxa"/>
            <w:vAlign w:val="bottom"/>
          </w:tcPr>
          <w:p>
            <w:pPr>
              <w:spacing w:after="0"/>
              <w:rPr>
                <w:sz w:val="24"/>
                <w:szCs w:val="24"/>
                <w:color w:val="auto"/>
              </w:rPr>
            </w:pPr>
          </w:p>
        </w:tc>
        <w:tc>
          <w:tcPr>
            <w:tcW w:w="3480" w:type="dxa"/>
            <w:vAlign w:val="bottom"/>
          </w:tcPr>
          <w:p>
            <w:pPr>
              <w:ind w:left="1860"/>
              <w:spacing w:after="0"/>
              <w:rPr>
                <w:sz w:val="20"/>
                <w:szCs w:val="20"/>
                <w:color w:val="auto"/>
              </w:rPr>
            </w:pPr>
            <w:r>
              <w:rPr>
                <w:rFonts w:ascii="Arial" w:cs="Arial" w:eastAsia="Arial" w:hAnsi="Arial"/>
                <w:sz w:val="18"/>
                <w:szCs w:val="18"/>
                <w:color w:val="auto"/>
              </w:rPr>
              <w:t>37</w:t>
            </w:r>
          </w:p>
        </w:tc>
        <w:tc>
          <w:tcPr>
            <w:tcW w:w="408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7" w:name="page38"/>
    <w:bookmarkEnd w:id="37"/>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03" w:lineRule="exact"/>
        <w:rPr>
          <w:sz w:val="20"/>
          <w:szCs w:val="20"/>
          <w:color w:val="auto"/>
        </w:rPr>
      </w:pPr>
    </w:p>
    <w:p>
      <w:pPr>
        <w:ind w:left="700" w:hanging="183"/>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6" w:lineRule="exact"/>
        <w:rPr>
          <w:rFonts w:ascii="Arial" w:cs="Arial" w:eastAsia="Arial" w:hAnsi="Arial"/>
          <w:sz w:val="18"/>
          <w:szCs w:val="18"/>
          <w:color w:val="auto"/>
        </w:rPr>
      </w:pPr>
    </w:p>
    <w:p>
      <w:pPr>
        <w:ind w:right="60" w:firstLine="517"/>
        <w:spacing w:after="0" w:line="324" w:lineRule="auto"/>
        <w:tabs>
          <w:tab w:leader="none" w:pos="68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80" w:firstLine="517"/>
        <w:spacing w:after="0" w:line="247"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520" w:firstLine="506"/>
        <w:spacing w:after="0" w:line="247" w:lineRule="auto"/>
        <w:tabs>
          <w:tab w:leader="none" w:pos="121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left="520" w:right="200" w:firstLine="506"/>
        <w:spacing w:after="0" w:line="247" w:lineRule="auto"/>
        <w:tabs>
          <w:tab w:leader="none" w:pos="12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520" w:right="320" w:firstLine="506"/>
        <w:spacing w:after="0" w:line="324" w:lineRule="auto"/>
        <w:tabs>
          <w:tab w:leader="none" w:pos="121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80" w:firstLine="506"/>
        <w:spacing w:after="0" w:line="255" w:lineRule="auto"/>
        <w:tabs>
          <w:tab w:leader="none" w:pos="12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right="40" w:firstLine="517"/>
        <w:spacing w:after="0" w:line="307" w:lineRule="auto"/>
        <w:tabs>
          <w:tab w:leader="none" w:pos="68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20" w:right="540" w:firstLine="506"/>
        <w:spacing w:after="0" w:line="290" w:lineRule="auto"/>
        <w:tabs>
          <w:tab w:leader="none" w:pos="1214"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7"/>
          <w:szCs w:val="17"/>
          <w:color w:val="auto"/>
        </w:rPr>
      </w:pPr>
    </w:p>
    <w:p>
      <w:pPr>
        <w:ind w:left="520" w:right="220" w:firstLine="506"/>
        <w:spacing w:after="0" w:line="277" w:lineRule="auto"/>
        <w:tabs>
          <w:tab w:leader="none" w:pos="122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Hurlston</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8" w:name="page39"/>
    <w:bookmarkEnd w:id="38"/>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03" w:lineRule="exact"/>
        <w:rPr>
          <w:sz w:val="20"/>
          <w:szCs w:val="20"/>
          <w:color w:val="auto"/>
        </w:rPr>
      </w:pPr>
    </w:p>
    <w:p>
      <w:pPr>
        <w:ind w:left="700" w:hanging="18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6" w:lineRule="exact"/>
        <w:rPr>
          <w:rFonts w:ascii="Arial" w:cs="Arial" w:eastAsia="Arial" w:hAnsi="Arial"/>
          <w:sz w:val="18"/>
          <w:szCs w:val="18"/>
          <w:color w:val="auto"/>
        </w:rPr>
      </w:pPr>
    </w:p>
    <w:p>
      <w:pPr>
        <w:ind w:right="60" w:firstLine="517"/>
        <w:spacing w:after="0" w:line="324" w:lineRule="auto"/>
        <w:tabs>
          <w:tab w:leader="none" w:pos="6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80" w:firstLine="517"/>
        <w:spacing w:after="0" w:line="247"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520" w:firstLine="506"/>
        <w:spacing w:after="0" w:line="247"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left="520" w:right="200" w:firstLine="506"/>
        <w:spacing w:after="0" w:line="247" w:lineRule="auto"/>
        <w:tabs>
          <w:tab w:leader="none" w:pos="12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520" w:right="320" w:firstLine="506"/>
        <w:spacing w:after="0" w:line="324" w:lineRule="auto"/>
        <w:tabs>
          <w:tab w:leader="none" w:pos="1214"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80" w:firstLine="506"/>
        <w:spacing w:after="0" w:line="255" w:lineRule="auto"/>
        <w:tabs>
          <w:tab w:leader="none" w:pos="12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right="40" w:firstLine="517"/>
        <w:spacing w:after="0" w:line="307" w:lineRule="auto"/>
        <w:tabs>
          <w:tab w:leader="none" w:pos="6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20" w:right="540" w:firstLine="506"/>
        <w:spacing w:after="0" w:line="290" w:lineRule="auto"/>
        <w:tabs>
          <w:tab w:leader="none" w:pos="1214"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7"/>
          <w:szCs w:val="17"/>
          <w:color w:val="auto"/>
        </w:rPr>
      </w:pPr>
    </w:p>
    <w:p>
      <w:pPr>
        <w:ind w:left="520" w:right="220" w:firstLine="506"/>
        <w:spacing w:after="0" w:line="277" w:lineRule="auto"/>
        <w:tabs>
          <w:tab w:leader="none" w:pos="12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51"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Dean Butler</w:t>
      </w: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9" w:name="page40"/>
    <w:bookmarkEnd w:id="39"/>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1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September 24, 2022,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9" w:lineRule="exact"/>
        <w:rPr>
          <w:rFonts w:ascii="Arial" w:cs="Arial" w:eastAsia="Arial" w:hAnsi="Arial"/>
          <w:sz w:val="16"/>
          <w:szCs w:val="16"/>
          <w:color w:val="auto"/>
        </w:rPr>
      </w:pPr>
    </w:p>
    <w:p>
      <w:pPr>
        <w:ind w:left="520" w:hanging="512"/>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1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0" w:name="page41"/>
    <w:bookmarkEnd w:id="40"/>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15" w:lineRule="exact"/>
        <w:rPr>
          <w:sz w:val="20"/>
          <w:szCs w:val="20"/>
          <w:color w:val="auto"/>
        </w:rPr>
      </w:pPr>
    </w:p>
    <w:p>
      <w:pPr>
        <w:jc w:val="both"/>
        <w:ind w:right="300" w:firstLine="509"/>
        <w:spacing w:after="0" w:line="30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24, 2022,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34"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11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0"/>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39" Type="http://schemas.openxmlformats.org/officeDocument/2006/relationships/hyperlink" Target="https://www.sec.gov/Archives/edgar/data/817720/000119312522271047/d3428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2022-11-03T17:56:55Z</dcterms:created>
  <dcterms:modified xsi:type="dcterms:W3CDTF">2022-11-03T17:56:55Z</dcterms:modified>
</cp:coreProperties>
</file>