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of the 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(Date of earliest event reported): October 1, 2026</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SYNAPTICS INCORPORATED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left"/>
        <w:rPr>
          <w:sz w:val="20"/>
        </w:rPr>
      </w:pPr>
      <w:r>
        <w:rPr>
          <w:sz w:val="20"/>
        </w:rPr>
      </w:r>
    </w:p>
    <w:tbl>
      <w:tblPr>
        <w:tblW w:w="8925" w:type="dxa"/>
        <w:jc w:val="left"/>
        <w:tblInd w:w="0" w:type="dxa"/>
        <w:tblLayout w:type="fixed"/>
        <w:tblCellMar>
          <w:top w:w="0" w:type="dxa"/>
          <w:left w:w="0" w:type="dxa"/>
          <w:bottom w:w="0" w:type="dxa"/>
          <w:right w:w="0" w:type="dxa"/>
        </w:tblCellMar>
      </w:tblPr>
      <w:tblGrid>
        <w:gridCol w:w="3755"/>
        <w:gridCol w:w="2300"/>
        <w:gridCol w:w="2870"/>
      </w:tblGrid>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Delaware</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000-49602</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77-0118518</w:t>
            </w:r>
          </w:p>
        </w:tc>
      </w:tr>
      <w:tr>
        <w:trPr/>
        <w:tc>
          <w:tcPr>
            <w:tcW w:w="375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 incorporation)</w:t>
            </w:r>
          </w:p>
        </w:tc>
        <w:tc>
          <w:tcPr>
            <w:tcW w:w="23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(Commission File Number)</w:t>
            </w:r>
          </w:p>
        </w:tc>
        <w:tc>
          <w:tcPr>
            <w:tcW w:w="287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 Identification No.)</w:t>
            </w:r>
          </w:p>
        </w:tc>
      </w:tr>
    </w:tbl>
    <w:p>
      <w:pPr>
        <w:pStyle w:val="TextBody"/>
        <w:bidi w:val="0"/>
        <w:spacing w:before="0" w:after="0"/>
        <w:jc w:val="left"/>
        <w:rPr>
          <w:sz w:val="20"/>
        </w:rPr>
      </w:pPr>
      <w:r>
        <w:rPr>
          <w:sz w:val="20"/>
        </w:rPr>
      </w:r>
    </w:p>
    <w:tbl>
      <w:tblPr>
        <w:tblW w:w="4195" w:type="dxa"/>
        <w:jc w:val="left"/>
        <w:tblInd w:w="0" w:type="dxa"/>
        <w:tblLayout w:type="fixed"/>
        <w:tblCellMar>
          <w:top w:w="0" w:type="dxa"/>
          <w:left w:w="0" w:type="dxa"/>
          <w:bottom w:w="0" w:type="dxa"/>
          <w:right w:w="0" w:type="dxa"/>
        </w:tblCellMar>
      </w:tblPr>
      <w:tblGrid>
        <w:gridCol w:w="3275"/>
        <w:gridCol w:w="920"/>
      </w:tblGrid>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1109 McKay Drive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San Jose, California</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95131</w:t>
            </w:r>
          </w:p>
        </w:tc>
      </w:tr>
      <w:tr>
        <w:trPr/>
        <w:tc>
          <w:tcPr>
            <w:tcW w:w="32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92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Registrant’s telephone number, including area code: (408) 904-1100</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(Former Name or Former Address, if Changed Since Last Report)</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obligations of the registrant under any of the following provisions:</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0"/>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020" w:type="dxa"/>
        <w:jc w:val="left"/>
        <w:tblInd w:w="0" w:type="dxa"/>
        <w:tblLayout w:type="fixed"/>
        <w:tblCellMar>
          <w:top w:w="0" w:type="dxa"/>
          <w:left w:w="0" w:type="dxa"/>
          <w:bottom w:w="28" w:type="dxa"/>
          <w:right w:w="0" w:type="dxa"/>
        </w:tblCellMar>
      </w:tblPr>
      <w:tblGrid>
        <w:gridCol w:w="3470"/>
        <w:gridCol w:w="60"/>
        <w:gridCol w:w="860"/>
        <w:gridCol w:w="60"/>
        <w:gridCol w:w="2570"/>
      </w:tblGrid>
      <w:tr>
        <w:trPr/>
        <w:tc>
          <w:tcPr>
            <w:tcW w:w="34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tcMar>
              <w:bottom w:w="0" w:type="dxa"/>
            </w:tcMar>
            <w:vAlign w:val="center"/>
          </w:tcPr>
          <w:p>
            <w:pPr>
              <w:pStyle w:val="TableContents"/>
              <w:bidi w:val="0"/>
              <w:spacing w:before="0" w:after="283"/>
              <w:jc w:val="left"/>
              <w:rPr/>
            </w:pPr>
            <w:r>
              <w:rPr/>
              <w:t> </w:t>
            </w:r>
          </w:p>
        </w:tc>
        <w:tc>
          <w:tcPr>
            <w:tcW w:w="2570" w:type="dxa"/>
            <w:tcBorders>
              <w:bottom w:val="single" w:sz="12" w:space="0" w:color="000000"/>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on which registered</w:t>
            </w:r>
          </w:p>
        </w:tc>
      </w:tr>
      <w:tr>
        <w:trPr/>
        <w:tc>
          <w:tcPr>
            <w:tcW w:w="347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par value $0.001 per share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SYNA</w:t>
            </w:r>
          </w:p>
        </w:tc>
        <w:tc>
          <w:tcPr>
            <w:tcW w:w="60" w:type="dxa"/>
            <w:tcBorders/>
            <w:tcMar>
              <w:bottom w:w="0" w:type="dxa"/>
            </w:tcMar>
            <w:vAlign w:val="center"/>
          </w:tcPr>
          <w:p>
            <w:pPr>
              <w:pStyle w:val="TableContents"/>
              <w:bidi w:val="0"/>
              <w:spacing w:before="0" w:after="283"/>
              <w:jc w:val="left"/>
              <w:rPr/>
            </w:pPr>
            <w:r>
              <w:rPr/>
              <w:t> </w:t>
            </w:r>
          </w:p>
        </w:tc>
        <w:tc>
          <w:tcPr>
            <w:tcW w:w="257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sz w:val="20"/>
        </w:rPr>
      </w:pPr>
      <w:r>
        <w:rPr>
          <w:sz w:val="20"/>
        </w:rPr>
      </w:r>
    </w:p>
    <w:p>
      <w:pPr>
        <w:pStyle w:val="HorizontalLine"/>
        <w:bidi w:val="0"/>
        <w:jc w:val="left"/>
        <w:rPr/>
      </w:pPr>
      <w:r>
        <w:rPr/>
      </w:r>
    </w:p>
    <w:p>
      <w:pPr>
        <w:pStyle w:val="HorizontalLine"/>
        <w:bidi w:val="0"/>
        <w:spacing w:before="200" w:after="200"/>
        <w:jc w:val="left"/>
        <w:rPr/>
      </w:pPr>
      <w:r>
        <w:rPr/>
      </w:r>
    </w:p>
    <w:tbl>
      <w:tblPr>
        <w:tblW w:w="4615" w:type="dxa"/>
        <w:jc w:val="left"/>
        <w:tblInd w:w="0" w:type="dxa"/>
        <w:tblLayout w:type="fixed"/>
        <w:tblCellMar>
          <w:top w:w="0" w:type="dxa"/>
          <w:left w:w="0" w:type="dxa"/>
          <w:bottom w:w="0" w:type="dxa"/>
          <w:right w:w="0" w:type="dxa"/>
        </w:tblCellMar>
      </w:tblPr>
      <w:tblGrid>
        <w:gridCol w:w="875"/>
        <w:gridCol w:w="374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1.01.</w:t>
            </w:r>
          </w:p>
        </w:tc>
        <w:tc>
          <w:tcPr>
            <w:tcW w:w="37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Entry into a Material Definitive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On October 1, 2026, Synaptics Incorporated, a Delaware corporation (the “</w:t>
      </w:r>
      <w:r>
        <w:rPr>
          <w:rFonts w:ascii="Times New Roman" w:hAnsi="Times New Roman"/>
          <w:b/>
          <w:color w:val="000000"/>
          <w:sz w:val="20"/>
          <w:shd w:fill="FFFFFF" w:val="clear"/>
        </w:rPr>
        <w:t>Company</w:t>
      </w:r>
      <w:r>
        <w:rPr>
          <w:rFonts w:ascii="Times New Roman" w:hAnsi="Times New Roman"/>
          <w:color w:val="000000"/>
          <w:sz w:val="20"/>
          <w:shd w:fill="FFFFFF" w:val="clear"/>
        </w:rPr>
        <w:t>” or “</w:t>
      </w:r>
      <w:r>
        <w:rPr>
          <w:rFonts w:ascii="Times New Roman" w:hAnsi="Times New Roman"/>
          <w:b/>
          <w:color w:val="000000"/>
          <w:sz w:val="20"/>
          <w:shd w:fill="FFFFFF" w:val="clear"/>
        </w:rPr>
        <w:t>Synaptics</w:t>
      </w:r>
      <w:r>
        <w:rPr>
          <w:rFonts w:ascii="Times New Roman" w:hAnsi="Times New Roman"/>
          <w:color w:val="000000"/>
          <w:sz w:val="20"/>
          <w:shd w:fill="FFFFFF" w:val="clear"/>
        </w:rPr>
        <w:t>”), entered into an Amended and Restated Agreement and Plan of Merger (the “</w:t>
      </w:r>
      <w:r>
        <w:rPr>
          <w:rFonts w:ascii="Times New Roman" w:hAnsi="Times New Roman"/>
          <w:b/>
          <w:color w:val="000000"/>
          <w:sz w:val="20"/>
          <w:shd w:fill="FFFFFF" w:val="clear"/>
        </w:rPr>
        <w:t>A&amp;R</w:t>
      </w:r>
      <w:r>
        <w:rPr>
          <w:rFonts w:ascii="Times New Roman" w:hAnsi="Times New Roman"/>
          <w:color w:val="000000"/>
          <w:sz w:val="20"/>
          <w:shd w:fill="FFFFFF" w:val="clear"/>
        </w:rPr>
        <w:t> </w:t>
      </w:r>
      <w:r>
        <w:rPr>
          <w:rFonts w:ascii="Times New Roman" w:hAnsi="Times New Roman"/>
          <w:b/>
          <w:color w:val="000000"/>
          <w:sz w:val="20"/>
          <w:shd w:fill="FFFFFF" w:val="clear"/>
        </w:rPr>
        <w:t>Merger Agreement</w:t>
      </w:r>
      <w:r>
        <w:rPr>
          <w:rFonts w:ascii="Times New Roman" w:hAnsi="Times New Roman"/>
          <w:color w:val="000000"/>
          <w:sz w:val="20"/>
          <w:shd w:fill="FFFFFF" w:val="clear"/>
        </w:rPr>
        <w:t>”), by and among the Company, ON Semiconductor Corporation, a Delaware corporation (“</w:t>
      </w:r>
      <w:r>
        <w:rPr>
          <w:rFonts w:ascii="Times New Roman" w:hAnsi="Times New Roman"/>
          <w:b/>
          <w:color w:val="000000"/>
          <w:sz w:val="20"/>
          <w:shd w:fill="FFFFFF" w:val="clear"/>
        </w:rPr>
        <w:t>Parent</w:t>
      </w:r>
      <w:r>
        <w:rPr>
          <w:rFonts w:ascii="Times New Roman" w:hAnsi="Times New Roman"/>
          <w:color w:val="000000"/>
          <w:sz w:val="20"/>
          <w:shd w:fill="FFFFFF" w:val="clear"/>
        </w:rPr>
        <w:t>” or “</w:t>
      </w:r>
      <w:r>
        <w:rPr>
          <w:rFonts w:ascii="Times New Roman" w:hAnsi="Times New Roman"/>
          <w:b/>
          <w:color w:val="000000"/>
          <w:sz w:val="20"/>
          <w:shd w:fill="FFFFFF" w:val="clear"/>
        </w:rPr>
        <w:t>onsemi</w:t>
      </w:r>
      <w:r>
        <w:rPr>
          <w:rFonts w:ascii="Times New Roman" w:hAnsi="Times New Roman"/>
          <w:color w:val="000000"/>
          <w:sz w:val="20"/>
          <w:shd w:fill="FFFFFF" w:val="clear"/>
        </w:rPr>
        <w:t>”), and Sonic Acquisition Corp., a Delaware corporation and wholly-owned subsidiary of Parent (“</w:t>
      </w:r>
      <w:r>
        <w:rPr>
          <w:rFonts w:ascii="Times New Roman" w:hAnsi="Times New Roman"/>
          <w:b/>
          <w:color w:val="000000"/>
          <w:sz w:val="20"/>
          <w:shd w:fill="FFFFFF" w:val="clear"/>
        </w:rPr>
        <w:t>Merger Sub</w:t>
      </w:r>
      <w:r>
        <w:rPr>
          <w:rFonts w:ascii="Times New Roman" w:hAnsi="Times New Roman"/>
          <w:color w:val="000000"/>
          <w:sz w:val="20"/>
          <w:shd w:fill="FFFFFF" w:val="clear"/>
        </w:rPr>
        <w:t>”), which amends and restates in its entirety the previously announced Agreement and Plan of Reorganization, dated as of June 25, 2026, by and among the Company, Merger Sub and Parent and continues to provide, among other things, that subject to the satisfaction or waiver of the conditions set forth therein, Merger Sub will merge with and into the Company (the “</w:t>
      </w:r>
      <w:r>
        <w:rPr>
          <w:rFonts w:ascii="Times New Roman" w:hAnsi="Times New Roman"/>
          <w:b/>
          <w:color w:val="000000"/>
          <w:sz w:val="20"/>
          <w:shd w:fill="FFFFFF" w:val="clear"/>
        </w:rPr>
        <w:t>Merger</w:t>
      </w:r>
      <w:r>
        <w:rPr>
          <w:rFonts w:ascii="Times New Roman" w:hAnsi="Times New Roman"/>
          <w:color w:val="000000"/>
          <w:sz w:val="20"/>
          <w:shd w:fill="FFFFFF" w:val="clear"/>
        </w:rPr>
        <w:t>”), with the Company surviving as an indirect, wholly-owned subsidiary of Parent. Capitalized terms used but not defined herein will have the meanings given to them in the A&amp;R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A&amp;R Merger Agreement was ultimately executed following negotiations arising from the Company receiving an unsolicited, non-binding proposal on September 2, 2026 from a strategic party, referred to as “Party A” in onsemi’s registration statement on Form S-4 (File No. 333-298477) previously filed on August 21, 2026, to acquire all the issued and outstanding shares of Company Common Stock (as defined below). Consistent with its fiduciary duties and in accordance with the terms of the Agreement and Plan of Reorganization, the Company’s Board of Directors (the “</w:t>
      </w:r>
      <w:r>
        <w:rPr>
          <w:rFonts w:ascii="Times New Roman" w:hAnsi="Times New Roman"/>
          <w:b/>
          <w:color w:val="000000"/>
          <w:sz w:val="20"/>
          <w:shd w:fill="FFFFFF" w:val="clear"/>
        </w:rPr>
        <w:t>Company Board</w:t>
      </w:r>
      <w:r>
        <w:rPr>
          <w:rFonts w:ascii="Times New Roman" w:hAnsi="Times New Roman"/>
          <w:color w:val="000000"/>
          <w:sz w:val="20"/>
          <w:shd w:fill="FFFFFF" w:val="clear"/>
        </w:rPr>
        <w:t>”), together with a special committee of independent directors of the Company Board previously formed for convenience and not as a result of any actual or perceived conflict of interest of any member of the Company Board (the “</w:t>
      </w:r>
      <w:r>
        <w:rPr>
          <w:rFonts w:ascii="Times New Roman" w:hAnsi="Times New Roman"/>
          <w:b/>
          <w:color w:val="000000"/>
          <w:sz w:val="20"/>
          <w:shd w:fill="FFFFFF" w:val="clear"/>
        </w:rPr>
        <w:t>Special Committee</w:t>
      </w:r>
      <w:r>
        <w:rPr>
          <w:rFonts w:ascii="Times New Roman" w:hAnsi="Times New Roman"/>
          <w:color w:val="000000"/>
          <w:sz w:val="20"/>
          <w:shd w:fill="FFFFFF" w:val="clear"/>
        </w:rPr>
        <w:t>”), reviewed and considered this unsolicited proposal and, after the Company engaged with the strategic party, determined in good faith, after consultation with the Company’s outside legal counsel and its financial advisor, that the proposal, as revised by the strategic party following engagement with the Company, constituted a “</w:t>
      </w:r>
      <w:r>
        <w:rPr>
          <w:rFonts w:ascii="Times New Roman" w:hAnsi="Times New Roman"/>
          <w:b/>
          <w:color w:val="000000"/>
          <w:sz w:val="20"/>
          <w:shd w:fill="FFFFFF" w:val="clear"/>
        </w:rPr>
        <w:t>Superior Proposal</w:t>
      </w:r>
      <w:r>
        <w:rPr>
          <w:rFonts w:ascii="Times New Roman" w:hAnsi="Times New Roman"/>
          <w:color w:val="000000"/>
          <w:sz w:val="20"/>
          <w:shd w:fill="FFFFFF" w:val="clear"/>
        </w:rPr>
        <w:t>.” Following such determination and further negotiations between onsemi and Synaptics, the Company Board, in good faith, in consultation with its outside legal counsel and financial advisor, and on the recommendation of the Special Committee, subsequently determined that, in light of the proposed terms of the A&amp;R Merger Agreement, the proposal from the strategic party, as revised by the strategic party since its initial September 2 unsolicited proposal, no longer constituted a Superior Proposal, and the Company Board unanimously approved the A&amp;R Merger Agreement, and declared the same advisable and fair to and in the best interests of the Company and its stockholders. The parties subsequently executed the A&amp;R Merger Agreement.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Merger Consideration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Under the A&amp;R Merger Agreement, the Company and Parent have agreed to revise certain terms of their previously announced merger transaction to provide that, subject to the terms and conditions set forth in the A&amp;R Merger Agreement, at the effective time of the Merger (the “</w:t>
      </w:r>
      <w:r>
        <w:rPr>
          <w:rFonts w:ascii="Times New Roman" w:hAnsi="Times New Roman"/>
          <w:b/>
          <w:color w:val="000000"/>
          <w:sz w:val="20"/>
          <w:shd w:fill="FFFFFF" w:val="clear"/>
        </w:rPr>
        <w:t>Effective Time</w:t>
      </w:r>
      <w:r>
        <w:rPr>
          <w:rFonts w:ascii="Times New Roman" w:hAnsi="Times New Roman"/>
          <w:color w:val="000000"/>
          <w:sz w:val="20"/>
          <w:shd w:fill="FFFFFF" w:val="clear"/>
        </w:rPr>
        <w:t>”), by virtue of the Merger, each share of common stock of the Company, $0.001 par value per share (“</w:t>
      </w:r>
      <w:r>
        <w:rPr>
          <w:rFonts w:ascii="Times New Roman" w:hAnsi="Times New Roman"/>
          <w:b/>
          <w:color w:val="000000"/>
          <w:sz w:val="20"/>
          <w:shd w:fill="FFFFFF" w:val="clear"/>
        </w:rPr>
        <w:t>Company Common Stock</w:t>
      </w:r>
      <w:r>
        <w:rPr>
          <w:rFonts w:ascii="Times New Roman" w:hAnsi="Times New Roman"/>
          <w:color w:val="000000"/>
          <w:sz w:val="20"/>
          <w:shd w:fill="FFFFFF" w:val="clear"/>
        </w:rPr>
        <w:t>”), issued and outstanding immediately before the Effective Time, excluding shares held by the Company, any Company subsidiary, Parent, any Parent subsidiary, or Merger Sub (which shares will be cancelled), as well as any dissenting shares, will be converted into the right to receive $123 per share in cash, without interest (the “</w:t>
      </w:r>
      <w:r>
        <w:rPr>
          <w:rFonts w:ascii="Times New Roman" w:hAnsi="Times New Roman"/>
          <w:b/>
          <w:color w:val="000000"/>
          <w:sz w:val="20"/>
          <w:shd w:fill="FFFFFF" w:val="clear"/>
        </w:rPr>
        <w:t>Merger Consideration</w:t>
      </w:r>
      <w:r>
        <w:rPr>
          <w:rFonts w:ascii="Times New Roman" w:hAnsi="Times New Roman"/>
          <w:color w:val="000000"/>
          <w:sz w:val="20"/>
          <w:shd w:fill="FFFFFF" w:val="clear"/>
        </w:rPr>
        <w:t>”). Stockholders of the Company who do not vote in favor of adoption of the A&amp;R Merger Agreement and who properly exercise appraisal rights in accordance with the Delaware General Corporation Law (the “</w:t>
      </w:r>
      <w:r>
        <w:rPr>
          <w:rFonts w:ascii="Times New Roman" w:hAnsi="Times New Roman"/>
          <w:b/>
          <w:color w:val="000000"/>
          <w:sz w:val="20"/>
          <w:shd w:fill="FFFFFF" w:val="clear"/>
        </w:rPr>
        <w:t>DGCL</w:t>
      </w:r>
      <w:r>
        <w:rPr>
          <w:rFonts w:ascii="Times New Roman" w:hAnsi="Times New Roman"/>
          <w:color w:val="000000"/>
          <w:sz w:val="20"/>
          <w:shd w:fill="FFFFFF" w:val="clear"/>
        </w:rPr>
        <w:t>”) will not be entitled to receive the Merger Consideration but will instead have such rights as are granted by the DGCL.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Treatment of Company Equity Awards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Pursuant to the A&amp;R Merger Agreement, at the Effective Time:</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4"/>
              </w:rPr>
            </w:pPr>
            <w:r>
              <w:rPr>
                <w:rFonts w:ascii="Times New Roman" w:hAnsi="Times New Roman"/>
                <w:color w:val="000000"/>
                <w:sz w:val="20"/>
              </w:rPr>
              <w:t>Each award of restricted stock units of the Company (each a “</w:t>
            </w:r>
            <w:r>
              <w:rPr>
                <w:rFonts w:ascii="Times New Roman" w:hAnsi="Times New Roman"/>
                <w:b/>
                <w:color w:val="000000"/>
                <w:sz w:val="20"/>
              </w:rPr>
              <w:t>Company RSU</w:t>
            </w:r>
            <w:r>
              <w:rPr>
                <w:rFonts w:ascii="Times New Roman" w:hAnsi="Times New Roman"/>
                <w:color w:val="000000"/>
                <w:sz w:val="24"/>
              </w:rPr>
              <w:t>”</w:t>
            </w:r>
            <w:r>
              <w:rPr>
                <w:rFonts w:ascii="Times New Roman" w:hAnsi="Times New Roman"/>
                <w:color w:val="000000"/>
                <w:sz w:val="20"/>
              </w:rPr>
              <w:t>) that is outstanding and unvested and held by an individual who, as of immediately following the Effective Time, constitutes an “employee” of Parent within the meaning of Form S-8 (each, a “</w:t>
            </w:r>
            <w:r>
              <w:rPr>
                <w:rFonts w:ascii="Times New Roman" w:hAnsi="Times New Roman"/>
                <w:b/>
                <w:color w:val="000000"/>
                <w:sz w:val="20"/>
              </w:rPr>
              <w:t>Company Converted RSU</w:t>
            </w:r>
            <w:r>
              <w:rPr>
                <w:rFonts w:ascii="Times New Roman" w:hAnsi="Times New Roman"/>
                <w:color w:val="000000"/>
                <w:sz w:val="24"/>
              </w:rPr>
              <w:t>”</w:t>
            </w:r>
            <w:r>
              <w:rPr>
                <w:rFonts w:ascii="Times New Roman" w:hAnsi="Times New Roman"/>
                <w:color w:val="000000"/>
                <w:sz w:val="20"/>
              </w:rPr>
              <w:t>), will be assumed by Parent and converted into a restricted stock unit award denominated in shares of Parent Common Stock, determined as</w:t>
            </w:r>
            <w:r>
              <w:rPr>
                <w:rFonts w:ascii="Times New Roman" w:hAnsi="Times New Roman"/>
                <w:sz w:val="24"/>
              </w:rPr>
              <w:t> </w:t>
            </w:r>
            <w:r>
              <w:rPr>
                <w:rFonts w:ascii="Times New Roman" w:hAnsi="Times New Roman"/>
                <w:color w:val="000000"/>
                <w:sz w:val="20"/>
              </w:rPr>
              <w:t>the product (rounded to the nearest whole number) of (1) the number of shares of Company Common Stock underlying such Company RSU and (2) a ratio (the “</w:t>
            </w:r>
            <w:r>
              <w:rPr>
                <w:rFonts w:ascii="Times New Roman" w:hAnsi="Times New Roman"/>
                <w:b/>
                <w:color w:val="000000"/>
                <w:sz w:val="20"/>
              </w:rPr>
              <w:t>Conversion Ratio</w:t>
            </w:r>
            <w:r>
              <w:rPr>
                <w:rFonts w:ascii="Times New Roman" w:hAnsi="Times New Roman"/>
                <w:color w:val="000000"/>
                <w:sz w:val="24"/>
              </w:rPr>
              <w:t>”</w:t>
            </w:r>
            <w:r>
              <w:rPr>
                <w:rFonts w:ascii="Times New Roman" w:hAnsi="Times New Roman"/>
                <w:color w:val="000000"/>
                <w:sz w:val="20"/>
              </w:rPr>
              <w:t xml:space="preserve">) equal to the per-share Merger Consideration of $123.00 divided by the average of the volume-weighted average trading price of Parent Common Stock on Nasdaq over the five consecutive Trading Days ending on the Trading Day that is three Trading Days prior to the Effective Time, and subject to the same terms and conditions as were applicable to such Company RSU immediately before the Effective Time, except as set forth in the </w:t>
            </w:r>
            <w:r>
              <w:rPr>
                <w:rFonts w:ascii="Times New Roman" w:hAnsi="Times New Roman"/>
                <w:sz w:val="20"/>
              </w:rPr>
              <w:t xml:space="preserve">A&amp;R </w:t>
            </w:r>
            <w:r>
              <w:rPr>
                <w:rFonts w:ascii="Times New Roman" w:hAnsi="Times New Roman"/>
                <w:color w:val="000000"/>
                <w:sz w:val="20"/>
              </w:rPr>
              <w:t>Merger Agreement.</w:t>
            </w:r>
          </w:p>
        </w:tc>
      </w:tr>
    </w:tbl>
    <w:p>
      <w:pPr>
        <w:pStyle w:val="TextBody"/>
        <w:bidi w:val="0"/>
        <w:spacing w:before="0" w:after="0"/>
        <w:jc w:val="left"/>
        <w:rPr>
          <w:sz w:val="20"/>
        </w:rPr>
      </w:pPr>
      <w:r>
        <w:rPr>
          <w:sz w:val="20"/>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Each Company RSU that is outstanding and that (A) is vested but not settled, (B) by its terms becomes vested in connection with the closing of the Merger or (C) is held by a non-employee member of the Company Board (each, a “</w:t>
            </w:r>
            <w:r>
              <w:rPr>
                <w:rFonts w:ascii="Times New Roman" w:hAnsi="Times New Roman"/>
                <w:b/>
                <w:color w:val="000000"/>
                <w:sz w:val="20"/>
              </w:rPr>
              <w:t>Company Accelerated RSU</w:t>
            </w:r>
            <w:r>
              <w:rPr>
                <w:rFonts w:ascii="Times New Roman" w:hAnsi="Times New Roman"/>
                <w:color w:val="000000"/>
                <w:sz w:val="20"/>
              </w:rPr>
              <w:t>”), will be cancelled, and such holders will be entitled to receive an amount of the Merger Consideration applicable to shares of Company Common Stock subject to such Company Accelerated RSUs after giving effect to any accumulated dividend equivalent rights, less applicable tax withholdings.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Each performance stock unit of the Company (each a “</w:t>
            </w:r>
            <w:r>
              <w:rPr>
                <w:rFonts w:ascii="Times New Roman" w:hAnsi="Times New Roman"/>
                <w:b/>
                <w:color w:val="000000"/>
                <w:sz w:val="20"/>
              </w:rPr>
              <w:t>Company PSU</w:t>
            </w:r>
            <w:r>
              <w:rPr>
                <w:rFonts w:ascii="Times New Roman" w:hAnsi="Times New Roman"/>
                <w:color w:val="000000"/>
                <w:sz w:val="20"/>
              </w:rPr>
              <w:t>”) that is outstanding and unvested and held by an individual who, as of immediately following the Effective Time, constitutes an “employee” of Parent within the meaning of Form S-8 (each, a “</w:t>
            </w:r>
            <w:r>
              <w:rPr>
                <w:rFonts w:ascii="Times New Roman" w:hAnsi="Times New Roman"/>
                <w:b/>
                <w:color w:val="000000"/>
                <w:sz w:val="20"/>
              </w:rPr>
              <w:t>Company Converted PSU</w:t>
            </w:r>
            <w:r>
              <w:rPr>
                <w:rFonts w:ascii="Times New Roman" w:hAnsi="Times New Roman"/>
                <w:color w:val="000000"/>
                <w:sz w:val="20"/>
              </w:rPr>
              <w:t xml:space="preserve">”), will be assumed by Parent and converted into a performance-based stock unit award denominated in shares of Parent Common Stock, determined as the product of (1) the number of shares of Company Common Stock underlying such Company PSU (provided, that,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and subject to the same terms and conditions as were applicable to such Company PSU immediately before the Effective Time, except as set forth in the </w:t>
            </w:r>
            <w:r>
              <w:rPr>
                <w:rFonts w:ascii="Times New Roman" w:hAnsi="Times New Roman"/>
                <w:sz w:val="20"/>
              </w:rPr>
              <w:t xml:space="preserve">A&amp;R </w:t>
            </w:r>
            <w:r>
              <w:rPr>
                <w:rFonts w:ascii="Times New Roman" w:hAnsi="Times New Roman"/>
                <w:color w:val="000000"/>
                <w:sz w:val="20"/>
              </w:rPr>
              <w:t>Merger Agreement.</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Each Company PSU that is outstanding and that (A) is vested but not settled, (B) by its terms becomes vested in connection with the closing of the Merger or (C) is held by a non-employee member of the Company Board (each, a “</w:t>
            </w:r>
            <w:r>
              <w:rPr>
                <w:rFonts w:ascii="Times New Roman" w:hAnsi="Times New Roman"/>
                <w:b/>
                <w:color w:val="000000"/>
                <w:sz w:val="20"/>
              </w:rPr>
              <w:t>Company Accelerated PSU</w:t>
            </w:r>
            <w:r>
              <w:rPr>
                <w:rFonts w:ascii="Times New Roman" w:hAnsi="Times New Roman"/>
                <w:color w:val="000000"/>
                <w:sz w:val="20"/>
              </w:rPr>
              <w:t>”), will be cancelled, and such holders will be entitled to receive an amount of the Merger Consideration applicable to shares of Company Common Stock subject to such Company Accelerated PSUs determined as if the performance conditions for such Company PSU for which such performance period has not yet closed are satisfied at target level as determined under the relevant Company Equity Award terms and after giving effect to any accumulated dividend equivalent rights, less applicable tax withholdings.</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color w:val="000000"/>
              </w:rPr>
            </w:pPr>
            <w:r>
              <w:rPr>
                <w:color w:val="000000"/>
              </w:rPr>
              <w:t>•</w:t>
            </w:r>
          </w:p>
        </w:tc>
        <w:tc>
          <w:tcPr>
            <w:tcW w:w="10057"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Each market stock unit of the Company (each, a “</w:t>
            </w:r>
            <w:r>
              <w:rPr>
                <w:rFonts w:ascii="Times New Roman" w:hAnsi="Times New Roman"/>
                <w:b/>
                <w:color w:val="000000"/>
                <w:sz w:val="20"/>
              </w:rPr>
              <w:t>Company MSU</w:t>
            </w:r>
            <w:r>
              <w:rPr>
                <w:rFonts w:ascii="Times New Roman" w:hAnsi="Times New Roman"/>
                <w:color w:val="000000"/>
                <w:sz w:val="20"/>
              </w:rPr>
              <w:t>”) that is outstanding and unvested and held by an individual who, as of immediately following the Effective Time, constitutes an “employee” of Parent within the meaning of Form S-8 (each, a “</w:t>
            </w:r>
            <w:r>
              <w:rPr>
                <w:rFonts w:ascii="Times New Roman" w:hAnsi="Times New Roman"/>
                <w:b/>
                <w:color w:val="000000"/>
                <w:sz w:val="20"/>
              </w:rPr>
              <w:t>Company Converted MSU</w:t>
            </w:r>
            <w:r>
              <w:rPr>
                <w:rFonts w:ascii="Times New Roman" w:hAnsi="Times New Roman"/>
                <w:color w:val="000000"/>
                <w:sz w:val="20"/>
              </w:rPr>
              <w:t xml:space="preserve">”), will be assumed by Parent and converted into a restricted stock unit award denominated in shares of Parent Common Stock, determined as the product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subject to the same terms and conditions as were applicable to such Company MSU immediately before the Effective Time, except as set forth in the </w:t>
            </w:r>
            <w:r>
              <w:rPr>
                <w:rFonts w:ascii="Times New Roman" w:hAnsi="Times New Roman"/>
                <w:sz w:val="20"/>
              </w:rPr>
              <w:t xml:space="preserve">A&amp;R </w:t>
            </w:r>
            <w:r>
              <w:rPr>
                <w:rFonts w:ascii="Times New Roman" w:hAnsi="Times New Roman"/>
                <w:color w:val="000000"/>
                <w:sz w:val="20"/>
              </w:rPr>
              <w:t>Merger Agreement.</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Each Company MSU that is outstanding and that (A) is vested but not settled, (B) by its terms becomes vested in connection with the closing of the Merger or (C) is held by a non-employee member of the Company Board (each, a “</w:t>
            </w:r>
            <w:r>
              <w:rPr>
                <w:rFonts w:ascii="Times New Roman" w:hAnsi="Times New Roman"/>
                <w:b/>
                <w:color w:val="000000"/>
                <w:sz w:val="20"/>
              </w:rPr>
              <w:t>Company Accelerated MSU</w:t>
            </w:r>
            <w:r>
              <w:rPr>
                <w:rFonts w:ascii="Times New Roman" w:hAnsi="Times New Roman"/>
                <w:color w:val="000000"/>
                <w:sz w:val="20"/>
              </w:rPr>
              <w:t>”), will be cancelled, and such holders will be entitled to receive an amount of the Merger Consideration applicable to shares of Company Common Stock subject to such Company Accelerated MSUs,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less applicable tax withholdings.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Closing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consummation of the Merger is subject to the satisfaction or waiver of certain customary closing conditions, including (1) the accuracy of the respective representations and warranties of the parties in the A&amp;R Merger Agreement (subject to certain materiality qualifiers); (2) compliance by the parties with their respective covenants in the A&amp;R Merger Agreement in all material respects; (3) the absence of a material adverse effect (as defined in the A&amp;R Merger Agreement) with respect to the Company on or after the date of the A&amp;R Merger Agreement that is continuing as of immediately before the closing of the Merger; (4) the adoption of the A&amp;R Merger Agreement by the affirmative vote of the holders of a majority of the issued and outstanding shares of Company Common Stock entitled to vote thereon (the “</w:t>
      </w:r>
      <w:r>
        <w:rPr>
          <w:rFonts w:ascii="Times New Roman" w:hAnsi="Times New Roman"/>
          <w:b/>
          <w:color w:val="000000"/>
          <w:sz w:val="20"/>
          <w:shd w:fill="FFFFFF" w:val="clear"/>
        </w:rPr>
        <w:t>Required Company Stockholder Vote</w:t>
      </w:r>
      <w:r>
        <w:rPr>
          <w:rFonts w:ascii="Times New Roman" w:hAnsi="Times New Roman"/>
          <w:color w:val="000000"/>
          <w:sz w:val="20"/>
          <w:shd w:fill="FFFFFF" w:val="clear"/>
        </w:rPr>
        <w:t>”); (5) the obtaining of all required governmental authorizations under specified antitrust laws and foreign direct investment laws; and (6) the absence of any relevant legal restraint in specified jurisdictions that would prevent, enjoin or make illegal the consummation of the transactions contemplated by the A&amp;R Merger Agreement. Notably, approval of the contemplated transaction with onsemi under the Hart-Scott-Rodino Act has already been obtained.</w:t>
      </w:r>
    </w:p>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Additional Covenants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Subject to the terms and conditions of the A&amp;R Merger Agreement, the Company has also agreed to use reasonable best efforts to cooperate with Parent in connection with any debt financing obtained or proposed to be obtained by Parent or its subsidiaries to finance the payment, in whole or in part, of the Merger Consideration, the repayment of certain of the Company’s outstanding indebtedness or the payment of any other amounts payable by Parent or Merger Sub under the A&amp;R Merger Agreement or in connection with the transactions contemplated by the A&amp;R Merger Agreement. The transactions contemplated by the A&amp;R Merger Agreement are not subject to any financing condition.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Additional Information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The foregoing description of the A&amp;R Merger Agreement does not purport to be complete and is qualified in its entirety by reference to the A&amp;R Merger Agreement, a copy of which is attached hereto as Exhibit 2.1 and is incorporated herein by reference.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Subject to the terms of the A&amp;R Merger Agreement, the representations and warranties set forth in the A&amp;R Merger Agreement were made solely for the benefit of the parties to the A&amp;R Merger Agreement, and (i) should not be treated as categorical statements of fact, but rather as a way of allocating the risk to one of the parties if those statements prove to be inaccurate, (ii) may have been qualified in the A&amp;R Merger Agreement by disclosures that were made to the other parties in accordance with the A&amp;R Merger Agreement, (iii) may apply contractual standards of “materiality” that are different from “materiality” under applicable securities laws, and (iv) were made only as of the dates specified in the A&amp;R Merger Agreement.</w:t>
      </w:r>
    </w:p>
    <w:p>
      <w:pPr>
        <w:pStyle w:val="TextBody"/>
        <w:bidi w:val="0"/>
        <w:spacing w:before="0" w:after="0"/>
        <w:jc w:val="left"/>
        <w:rPr>
          <w:color w:val="000000"/>
          <w:shd w:fill="FFFFFF" w:val="clear"/>
        </w:rPr>
      </w:pPr>
      <w:r>
        <w:rPr>
          <w:color w:val="000000"/>
          <w:shd w:fill="FFFFFF" w:val="clear"/>
        </w:rPr>
        <w:t> </w:t>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 xml:space="preserve">On October 1, 2026, the Company and Parent jointly issued a press release regarding entry into the A&amp;R Merger Agreement.  The press release is furnished herewith as Exhibit 99.1 and is incorporated herein by reference.  Further, on October 1, 2026, the CEO of Synaptics sent an All-Employee email to Synaptics Employees in connection with the announcement of the A&amp;R Merger Agreement. </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i/>
          <w:color w:val="000000"/>
          <w:sz w:val="20"/>
          <w:shd w:fill="FFFFFF" w:val="clear"/>
        </w:rPr>
      </w:pPr>
      <w:r>
        <w:rPr>
          <w:rFonts w:ascii="Times New Roman" w:hAnsi="Times New Roman"/>
          <w:i/>
          <w:color w:val="000000"/>
          <w:sz w:val="20"/>
          <w:shd w:fill="FFFFFF" w:val="clear"/>
        </w:rPr>
        <w:t>The information contained in this Item 7.01 and in the accompanying Exhibits 99.1 and 99.2 will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i/>
          <w:color w:val="000000"/>
          <w:sz w:val="20"/>
          <w:shd w:fill="FFFFFF" w:val="clear"/>
        </w:rPr>
        <w:t>”), or incorporated by reference in any filing under the Exchange Act or the Securities Act of 1933, as amended (the “</w:t>
      </w:r>
      <w:r>
        <w:rPr>
          <w:rFonts w:ascii="Times New Roman" w:hAnsi="Times New Roman"/>
          <w:b/>
          <w:i/>
          <w:color w:val="000000"/>
          <w:sz w:val="20"/>
          <w:shd w:fill="FFFFFF" w:val="clear"/>
        </w:rPr>
        <w:t>Securities Act</w:t>
      </w:r>
      <w:r>
        <w:rPr>
          <w:rFonts w:ascii="Times New Roman" w:hAnsi="Times New Roman"/>
          <w:i/>
          <w:color w:val="000000"/>
          <w:sz w:val="20"/>
          <w:shd w:fill="FFFFFF" w:val="clear"/>
        </w:rPr>
        <w:t>”), whether made before or after the date hereof, except as will be expressly set forth by specific reference in such filing.</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Cautionary Note Regarding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communication relates to a proposed business combination transaction between Synaptics and onsemi. This communication includes forward-looking statements within the meaning of Section 27A of the Securities, and Section 21E of the Exchange Act. These forward-looking statements are based on Synaptics’ current expectations, estimates and projections about the expected date of closing of the proposed transaction and the potential benefits thereof, its business and industry, management’s beliefs and certain assumptions made by Synaptics,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forward-looking statements involve known and unknown risks and uncertainties, which may cause Synaptics’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including restrictions during the pendency of the transaction that may impact the ability to pursue certain business opportunities or strategic transactions; (5) the ability of Synaptics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legislative, regulatory and economic developments; and (10) unpredictability and severity of catastrophic events, including, but not limited to, acts of terrorism or outbreak of war or hostilities, as well as Synaptics’ response to any of the aforementioned factors. These risks, as well as other risks associated with the proposed transaction, will be more fully discussed in the proxy statement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color w:val="000000"/>
          <w:shd w:fill="FFFFFF" w:val="clear"/>
        </w:rPr>
      </w:pPr>
      <w:r>
        <w:rPr>
          <w:color w:val="000000"/>
          <w:shd w:fill="FFFFFF" w:val="clear"/>
        </w:rPr>
        <w:t> </w:t>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Important Additional Information about the Transaction and Where To Find It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t>
      </w:r>
      <w:r>
        <w:rPr>
          <w:rFonts w:ascii="Times New Roman" w:hAnsi="Times New Roman"/>
          <w:color w:val="000000"/>
          <w:sz w:val="20"/>
          <w:u w:val="single"/>
          <w:shd w:fill="FFFFFF" w:val="clear"/>
        </w:rPr>
        <w:t>www.sec.gov</w:t>
      </w:r>
      <w:r>
        <w:rPr>
          <w:rFonts w:ascii="Times New Roman" w:hAnsi="Times New Roman"/>
          <w:color w:val="000000"/>
          <w:sz w:val="20"/>
          <w:shd w:fill="FFFFFF" w:val="clear"/>
        </w:rPr>
        <w:t>). In addition, investors and stockholders will be able to obtain free copies of the definitive proxy statement, preliminary proxy statement and other documents filed with the SEC by Synaptics on Synaptics Investor Relations at </w:t>
      </w:r>
      <w:r>
        <w:rPr>
          <w:rFonts w:ascii="Times New Roman" w:hAnsi="Times New Roman"/>
          <w:color w:val="000000"/>
          <w:sz w:val="20"/>
          <w:u w:val="single"/>
          <w:shd w:fill="FFFFFF" w:val="clear"/>
        </w:rPr>
        <w:t>https://investor.synaptics.com/</w:t>
      </w:r>
      <w:r>
        <w:rPr>
          <w:rFonts w:ascii="Times New Roman" w:hAnsi="Times New Roman"/>
          <w:color w:val="000000"/>
          <w:sz w:val="20"/>
          <w:shd w:fill="FFFFFF" w:val="clear"/>
        </w:rPr>
        <w:t>.</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Participants in the Solicitation</w:t>
      </w:r>
    </w:p>
    <w:p>
      <w:pPr>
        <w:pStyle w:val="TextBody"/>
        <w:bidi w:val="0"/>
        <w:spacing w:before="0" w:after="0"/>
        <w:jc w:val="left"/>
        <w:rPr>
          <w:sz w:val="20"/>
        </w:rPr>
      </w:pPr>
      <w:r>
        <w:rPr>
          <w:sz w:val="20"/>
        </w:rPr>
      </w:r>
    </w:p>
    <w:p>
      <w:pPr>
        <w:pStyle w:val="TextBody"/>
        <w:bidi w:val="0"/>
        <w:spacing w:before="0" w:after="0"/>
        <w:jc w:val="both"/>
        <w:rPr/>
      </w:pPr>
      <w:r>
        <w:rPr>
          <w:rFonts w:ascii="Times New Roman" w:hAnsi="Times New Roman"/>
          <w:color w:val="000000"/>
          <w:sz w:val="20"/>
          <w:shd w:fill="FFFFFF" w:val="clear"/>
        </w:rPr>
        <w:t>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w:t>
      </w:r>
      <w:r>
        <w:rPr>
          <w:rFonts w:ascii="Times New Roman" w:hAnsi="Times New Roman"/>
          <w:color w:val="000000"/>
          <w:sz w:val="24"/>
          <w:shd w:fill="FFFFFF" w:val="clear"/>
        </w:rPr>
        <w:t xml:space="preserve">’ </w:t>
      </w:r>
      <w:r>
        <w:rPr>
          <w:rFonts w:ascii="Times New Roman" w:hAnsi="Times New Roman"/>
          <w:color w:val="000000"/>
          <w:sz w:val="20"/>
          <w:shd w:fill="FFFFFF" w:val="clear"/>
        </w:rPr>
        <w:t xml:space="preserve">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w:t>
      </w:r>
      <w:hyperlink r:id="rId2">
        <w:r>
          <w:rPr>
            <w:rStyle w:val="InternetLink"/>
          </w:rPr>
          <w:t>September 15, 2026</w:t>
        </w:r>
      </w:hyperlink>
      <w:r>
        <w:rPr>
          <w:rFonts w:ascii="Times New Roman" w:hAnsi="Times New Roman"/>
          <w:color w:val="000000"/>
          <w:sz w:val="20"/>
          <w:shd w:fill="FFFFFF" w:val="clear"/>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shd w:fill="FFFFFF" w:val="clear"/>
        </w:rPr>
        <w:t>https://www.sec.gov/edgar/browse/?CIK=817720&amp;owner=exclude</w:t>
      </w:r>
      <w:r>
        <w:rPr>
          <w:rFonts w:ascii="Times New Roman" w:hAnsi="Times New Roman"/>
          <w:color w:val="000000"/>
          <w:sz w:val="24"/>
          <w:shd w:fill="FFFFFF" w:val="clear"/>
        </w:rPr>
        <w:t xml:space="preserve"> </w:t>
      </w:r>
      <w:r>
        <w:rPr>
          <w:rFonts w:ascii="Times New Roman" w:hAnsi="Times New Roman"/>
          <w:color w:val="000000"/>
          <w:sz w:val="20"/>
          <w:shd w:fill="FFFFFF" w:val="clear"/>
        </w:rPr>
        <w:t>under the tab “Ownership Disclosures”.  You can find more detailed information about onsemi</w:t>
      </w:r>
      <w:r>
        <w:rPr>
          <w:rFonts w:ascii="Times New Roman" w:hAnsi="Times New Roman"/>
          <w:color w:val="000000"/>
          <w:sz w:val="24"/>
          <w:shd w:fill="FFFFFF" w:val="clear"/>
        </w:rPr>
        <w:t>’</w:t>
      </w:r>
      <w:r>
        <w:rPr>
          <w:rFonts w:ascii="Times New Roman" w:hAnsi="Times New Roman"/>
          <w:color w:val="000000"/>
          <w:sz w:val="20"/>
          <w:shd w:fill="FFFFFF" w:val="clear"/>
        </w:rPr>
        <w:t xml:space="preserve">s executive officers and directors under the headings “The Board of Directors and Corporate Governance,” “Compensation of Executive Officers” and “Stock Ownership” in its definitive proxy statement filed with the SEC on </w:t>
      </w:r>
      <w:hyperlink r:id="rId3">
        <w:r>
          <w:rPr>
            <w:rStyle w:val="InternetLink"/>
          </w:rPr>
          <w:t>April 2, 2026</w:t>
        </w:r>
      </w:hyperlink>
      <w:r>
        <w:rPr>
          <w:rFonts w:ascii="Times New Roman" w:hAnsi="Times New Roman"/>
          <w:color w:val="000000"/>
          <w:sz w:val="20"/>
          <w:shd w:fill="FFFFFF" w:val="clear"/>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shd w:fill="FFFFFF" w:val="clear"/>
        </w:rPr>
        <w:t>https://www.sec.gov/edgar/browse/?CIK=1097864&amp;owner=exclude</w:t>
      </w:r>
      <w:r>
        <w:rPr>
          <w:rFonts w:ascii="Times New Roman" w:hAnsi="Times New Roman"/>
          <w:color w:val="000000"/>
          <w:sz w:val="24"/>
          <w:shd w:fill="FFFFFF" w:val="clear"/>
        </w:rPr>
        <w:t xml:space="preserve"> </w:t>
      </w:r>
      <w:r>
        <w:rPr>
          <w:rFonts w:ascii="Times New Roman" w:hAnsi="Times New Roman"/>
          <w:color w:val="000000"/>
          <w:sz w:val="20"/>
          <w:shd w:fill="FFFFFF" w:val="clear"/>
        </w:rPr>
        <w:t>under the tab “Ownership Disclosures”.  Additional information about Synaptics</w:t>
      </w:r>
      <w:r>
        <w:rPr>
          <w:rFonts w:ascii="Times New Roman" w:hAnsi="Times New Roman"/>
          <w:color w:val="000000"/>
          <w:sz w:val="24"/>
          <w:shd w:fill="FFFFFF" w:val="clear"/>
        </w:rPr>
        <w:t xml:space="preserve">’ </w:t>
      </w:r>
      <w:r>
        <w:rPr>
          <w:rFonts w:ascii="Times New Roman" w:hAnsi="Times New Roman"/>
          <w:color w:val="000000"/>
          <w:sz w:val="20"/>
          <w:shd w:fill="FFFFFF" w:val="clear"/>
        </w:rPr>
        <w:t>executive officers and directors and onsemi</w:t>
      </w:r>
      <w:r>
        <w:rPr>
          <w:rFonts w:ascii="Times New Roman" w:hAnsi="Times New Roman"/>
          <w:color w:val="000000"/>
          <w:sz w:val="24"/>
          <w:shd w:fill="FFFFFF" w:val="clear"/>
        </w:rPr>
        <w:t>’</w:t>
      </w:r>
      <w:r>
        <w:rPr>
          <w:rFonts w:ascii="Times New Roman" w:hAnsi="Times New Roman"/>
          <w:color w:val="000000"/>
          <w:sz w:val="20"/>
          <w:shd w:fill="FFFFFF" w:val="clear"/>
        </w:rPr>
        <w:t>s executive officers and directors can be found in the above-referenced proxy statement when it becomes available.</w:t>
      </w:r>
    </w:p>
    <w:p>
      <w:pPr>
        <w:pStyle w:val="TextBody"/>
        <w:bidi w:val="0"/>
        <w:spacing w:before="0" w:after="0"/>
        <w:jc w:val="left"/>
        <w:rPr>
          <w:sz w:val="20"/>
        </w:rPr>
      </w:pPr>
      <w:r>
        <w:rPr>
          <w:sz w:val="20"/>
        </w:rPr>
      </w:r>
    </w:p>
    <w:p>
      <w:pPr>
        <w:pStyle w:val="HorizontalLine"/>
        <w:bidi w:val="0"/>
        <w:spacing w:before="200" w:after="200"/>
        <w:jc w:val="left"/>
        <w:rPr/>
      </w:pPr>
      <w:r>
        <w:rPr/>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29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650"/>
        <w:gridCol w:w="9555"/>
      </w:tblGrid>
      <w:tr>
        <w:trPr/>
        <w:tc>
          <w:tcPr>
            <w:tcW w:w="65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No.</w:t>
            </w:r>
          </w:p>
        </w:tc>
        <w:tc>
          <w:tcPr>
            <w:tcW w:w="955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Description</w:t>
            </w:r>
          </w:p>
        </w:tc>
      </w:tr>
      <w:tr>
        <w:trPr/>
        <w:tc>
          <w:tcPr>
            <w:tcW w:w="650" w:type="dxa"/>
            <w:tcBorders/>
            <w:vAlign w:val="center"/>
          </w:tcPr>
          <w:p>
            <w:pPr>
              <w:pStyle w:val="TableContents"/>
              <w:bidi w:val="0"/>
              <w:spacing w:before="0" w:after="283"/>
              <w:jc w:val="left"/>
              <w:rPr/>
            </w:pPr>
            <w:r>
              <w:rPr/>
              <w:t> </w:t>
            </w:r>
          </w:p>
        </w:tc>
        <w:tc>
          <w:tcPr>
            <w:tcW w:w="955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0"/>
              <w:jc w:val="left"/>
              <w:rPr/>
            </w:pPr>
            <w:hyperlink w:anchor="ef20083029_ex2-1.htm">
              <w:r>
                <w:rPr>
                  <w:rStyle w:val="InternetLink"/>
                  <w:rFonts w:ascii="Times New Roman" w:hAnsi="Times New Roman"/>
                  <w:color w:val="000000"/>
                  <w:sz w:val="20"/>
                </w:rPr>
                <w:t>2.1*</w:t>
              </w:r>
            </w:hyperlink>
          </w:p>
        </w:tc>
        <w:tc>
          <w:tcPr>
            <w:tcW w:w="9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Amended and Restated Agreement and Plan of Merger, dated as of October 1, 2026, by and among ON Semiconductor Corporation, Sonic Acquisition Corp., and Synaptics Incorporated.*</w:t>
            </w:r>
          </w:p>
        </w:tc>
      </w:tr>
      <w:tr>
        <w:trPr/>
        <w:tc>
          <w:tcPr>
            <w:tcW w:w="650" w:type="dxa"/>
            <w:tcBorders/>
            <w:vAlign w:val="center"/>
          </w:tcPr>
          <w:p>
            <w:pPr>
              <w:pStyle w:val="TableContents"/>
              <w:bidi w:val="0"/>
              <w:spacing w:before="0" w:after="0"/>
              <w:jc w:val="left"/>
              <w:rPr/>
            </w:pPr>
            <w:hyperlink w:anchor="ef20083029_ex99-1.htm">
              <w:r>
                <w:rPr>
                  <w:rStyle w:val="InternetLink"/>
                  <w:rFonts w:ascii="Times New Roman" w:hAnsi="Times New Roman"/>
                  <w:color w:val="000000"/>
                  <w:sz w:val="20"/>
                </w:rPr>
                <w:t>99.1</w:t>
              </w:r>
            </w:hyperlink>
          </w:p>
        </w:tc>
        <w:tc>
          <w:tcPr>
            <w:tcW w:w="9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Joint Press Release, dated October 1, 2026.</w:t>
            </w:r>
          </w:p>
        </w:tc>
      </w:tr>
      <w:tr>
        <w:trPr/>
        <w:tc>
          <w:tcPr>
            <w:tcW w:w="650" w:type="dxa"/>
            <w:tcBorders/>
            <w:vAlign w:val="center"/>
          </w:tcPr>
          <w:p>
            <w:pPr>
              <w:pStyle w:val="TableContents"/>
              <w:bidi w:val="0"/>
              <w:spacing w:before="0" w:after="0"/>
              <w:jc w:val="left"/>
              <w:rPr/>
            </w:pPr>
            <w:hyperlink w:anchor="ef20083029_ex99-2.htm">
              <w:r>
                <w:rPr>
                  <w:rStyle w:val="InternetLink"/>
                  <w:rFonts w:ascii="Times New Roman" w:hAnsi="Times New Roman"/>
                  <w:color w:val="000000"/>
                  <w:sz w:val="20"/>
                </w:rPr>
                <w:t>99.2</w:t>
              </w:r>
            </w:hyperlink>
          </w:p>
        </w:tc>
        <w:tc>
          <w:tcPr>
            <w:tcW w:w="9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Email from CEO of Synaptics to all Synaptics Employees, sent on October 1, 2026.</w:t>
            </w:r>
          </w:p>
        </w:tc>
      </w:tr>
      <w:tr>
        <w:trPr/>
        <w:tc>
          <w:tcPr>
            <w:tcW w:w="6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104</w:t>
            </w:r>
          </w:p>
        </w:tc>
        <w:tc>
          <w:tcPr>
            <w:tcW w:w="95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0" w:after="0"/>
        <w:jc w:val="left"/>
        <w:rPr>
          <w:sz w:val="20"/>
        </w:rPr>
      </w:pPr>
      <w:r>
        <w:rPr>
          <w:sz w:val="20"/>
        </w:rPr>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Schedules and exhibits have been omitted pursuant to Item 601(a)(5) of Regulation S-K. A copy of any omitted schedule or exhibit will be furnished supplementally to the SEC upon request.</w:t>
            </w:r>
          </w:p>
        </w:tc>
      </w:tr>
    </w:tbl>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490"/>
        <w:jc w:val="left"/>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5095" w:type="dxa"/>
        <w:jc w:val="left"/>
        <w:tblInd w:w="0" w:type="dxa"/>
        <w:tblLayout w:type="fixed"/>
        <w:tblCellMar>
          <w:top w:w="0" w:type="dxa"/>
          <w:left w:w="0" w:type="dxa"/>
          <w:bottom w:w="0" w:type="dxa"/>
          <w:right w:w="0" w:type="dxa"/>
        </w:tblCellMar>
      </w:tblPr>
      <w:tblGrid>
        <w:gridCol w:w="545"/>
        <w:gridCol w:w="4550"/>
      </w:tblGrid>
      <w:tr>
        <w:trPr/>
        <w:tc>
          <w:tcPr>
            <w:tcW w:w="509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Synaptics Incorporated</w:t>
            </w:r>
          </w:p>
        </w:tc>
      </w:tr>
      <w:tr>
        <w:trPr/>
        <w:tc>
          <w:tcPr>
            <w:tcW w:w="5095" w:type="dxa"/>
            <w:gridSpan w:val="2"/>
            <w:tcBorders/>
            <w:vAlign w:val="center"/>
          </w:tcPr>
          <w:p>
            <w:pPr>
              <w:pStyle w:val="TableContents"/>
              <w:bidi w:val="0"/>
              <w:spacing w:before="0" w:after="283"/>
              <w:jc w:val="left"/>
              <w:rPr/>
            </w:pPr>
            <w:r>
              <w:rPr/>
              <w:t> </w:t>
            </w:r>
          </w:p>
        </w:tc>
      </w:tr>
      <w:tr>
        <w:trPr/>
        <w:tc>
          <w:tcPr>
            <w:tcW w:w="5095" w:type="dxa"/>
            <w:gridSpan w:val="2"/>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Dated: October 1, 2026</w:t>
            </w:r>
          </w:p>
        </w:tc>
      </w:tr>
      <w:tr>
        <w:trPr/>
        <w:tc>
          <w:tcPr>
            <w:tcW w:w="545"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left"/>
              <w:rPr/>
            </w:pPr>
            <w:r>
              <w:rPr/>
              <w:t> </w:t>
            </w:r>
          </w:p>
        </w:tc>
      </w:tr>
      <w:tr>
        <w:trPr/>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4550"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Lisa Bodensteiner</w:t>
            </w:r>
          </w:p>
        </w:tc>
      </w:tr>
      <w:tr>
        <w:trPr/>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Name:</w:t>
            </w:r>
          </w:p>
        </w:tc>
        <w:tc>
          <w:tcPr>
            <w:tcW w:w="45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Lisa Bodensteiner</w:t>
            </w:r>
          </w:p>
        </w:tc>
      </w:tr>
      <w:tr>
        <w:trPr/>
        <w:tc>
          <w:tcPr>
            <w:tcW w:w="54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Title:</w:t>
            </w:r>
          </w:p>
        </w:tc>
        <w:tc>
          <w:tcPr>
            <w:tcW w:w="4550"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Senior Vice President, Chief Legal Officer and Secretary</w:t>
            </w:r>
          </w:p>
        </w:tc>
      </w:tr>
    </w:tbl>
    <w:p>
      <w:pPr>
        <w:pStyle w:val="TextBody"/>
        <w:bidi w:val="0"/>
        <w:spacing w:before="0" w:after="0"/>
        <w:jc w:val="left"/>
        <w:rPr>
          <w:sz w:val="20"/>
        </w:rPr>
      </w:pPr>
      <w:r>
        <w:rPr>
          <w:sz w:val="20"/>
        </w:rPr>
      </w:r>
    </w:p>
    <w:p>
      <w:pPr>
        <w:pStyle w:val="TextBody"/>
        <w:bidi w:val="0"/>
        <w:spacing w:before="0" w:after="0"/>
        <w:jc w:val="left"/>
        <w:rPr>
          <w:sz w:val="20"/>
        </w:rPr>
      </w:pPr>
      <w:r>
        <w:rPr>
          <w:sz w:val="20"/>
        </w:rPr>
      </w:r>
    </w:p>
    <w:p>
      <w:pPr>
        <w:pStyle w:val="HorizontalLine"/>
        <w:bidi w:val="0"/>
        <w:jc w:val="left"/>
        <w:rPr/>
      </w:pPr>
      <w:r>
        <w:rPr/>
      </w:r>
    </w:p>
    <w:p>
      <w:pPr>
        <w:pStyle w:val="TextBody"/>
        <w:bidi w:val="0"/>
        <w:ind w:left="60" w:right="60" w:hanging="0"/>
        <w:jc w:val="center"/>
        <w:rPr>
          <w:caps w:val="false"/>
          <w:smallCaps w:val="false"/>
          <w:bdr w:val="single" w:sz="32" w:space="1" w:color="000000"/>
        </w:rPr>
      </w:pPr>
      <w:bookmarkStart w:id="0" w:name="ef20083029_ex2-1.htm"/>
      <w:bookmarkStart w:id="1" w:name="ksef20083029_ex21"/>
      <w:bookmarkEnd w:id="0"/>
      <w:bookmarkEnd w:id="1"/>
      <w:r>
        <w:rPr>
          <w:caps w:val="false"/>
          <w:smallCaps w:val="false"/>
          <w:bdr w:val="single" w:sz="32" w:space="1" w:color="000000"/>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by and among: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SEMICONDUCTOR CORPORATION,</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SONIC ACQUISITION CORP.,</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SYNAPTICS INCORPORATED,</w:t>
        <w:br/>
        <w:t>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635"/>
        <w:gridCol w:w="8915"/>
        <w:gridCol w:w="275"/>
      </w:tblGrid>
      <w:tr>
        <w:trPr/>
        <w:tc>
          <w:tcPr>
            <w:tcW w:w="9550" w:type="dxa"/>
            <w:gridSpan w:val="2"/>
            <w:tcBorders/>
            <w:vAlign w:val="center"/>
          </w:tcPr>
          <w:p>
            <w:pPr>
              <w:pStyle w:val="TableContents"/>
              <w:bidi w:val="0"/>
              <w:spacing w:before="0" w:after="283"/>
              <w:jc w:val="left"/>
              <w:rPr>
                <w:b/>
              </w:rPr>
            </w:pPr>
            <w:r>
              <w:rPr>
                <w:b/>
              </w:rPr>
              <w:t>ARTICLE I. 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1.1   </w:t>
            </w:r>
          </w:p>
        </w:tc>
        <w:tc>
          <w:tcPr>
            <w:tcW w:w="8915" w:type="dxa"/>
            <w:tcBorders/>
            <w:vAlign w:val="center"/>
          </w:tcPr>
          <w:p>
            <w:pPr>
              <w:pStyle w:val="TableContents"/>
              <w:bidi w:val="0"/>
              <w:spacing w:before="0" w:after="283"/>
              <w:jc w:val="left"/>
              <w:rPr/>
            </w:pPr>
            <w:r>
              <w:rPr/>
              <w:t>The Merger</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1.2   </w:t>
            </w:r>
          </w:p>
        </w:tc>
        <w:tc>
          <w:tcPr>
            <w:tcW w:w="891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1.3   </w:t>
            </w:r>
          </w:p>
        </w:tc>
        <w:tc>
          <w:tcPr>
            <w:tcW w:w="8915" w:type="dxa"/>
            <w:tcBorders/>
            <w:vAlign w:val="center"/>
          </w:tcPr>
          <w:p>
            <w:pPr>
              <w:pStyle w:val="TableContents"/>
              <w:bidi w:val="0"/>
              <w:spacing w:before="0" w:after="283"/>
              <w:jc w:val="left"/>
              <w:rPr/>
            </w:pPr>
            <w:r>
              <w:rPr/>
              <w:t>Certificate of Incorporation and Bylaws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1.4   </w:t>
            </w:r>
          </w:p>
        </w:tc>
        <w:tc>
          <w:tcPr>
            <w:tcW w:w="8915" w:type="dxa"/>
            <w:tcBorders/>
            <w:vAlign w:val="center"/>
          </w:tcPr>
          <w:p>
            <w:pPr>
              <w:pStyle w:val="TableContents"/>
              <w:bidi w:val="0"/>
              <w:spacing w:before="0" w:after="283"/>
              <w:jc w:val="left"/>
              <w:rPr/>
            </w:pPr>
            <w:r>
              <w:rPr/>
              <w:t>Directors and Officers</w:t>
            </w:r>
          </w:p>
        </w:tc>
        <w:tc>
          <w:tcPr>
            <w:tcW w:w="275" w:type="dxa"/>
            <w:tcBorders/>
            <w:vAlign w:val="center"/>
          </w:tcPr>
          <w:p>
            <w:pPr>
              <w:pStyle w:val="TableContents"/>
              <w:bidi w:val="0"/>
              <w:spacing w:before="0" w:after="283"/>
              <w:jc w:val="right"/>
              <w:rPr/>
            </w:pPr>
            <w:r>
              <w:rPr/>
              <w:t>2</w:t>
            </w:r>
          </w:p>
        </w:tc>
      </w:tr>
      <w:tr>
        <w:trPr/>
        <w:tc>
          <w:tcPr>
            <w:tcW w:w="635" w:type="dxa"/>
            <w:tcBorders/>
            <w:vAlign w:val="center"/>
          </w:tcPr>
          <w:p>
            <w:pPr>
              <w:pStyle w:val="TableContents"/>
              <w:bidi w:val="0"/>
              <w:spacing w:before="0" w:after="283"/>
              <w:jc w:val="left"/>
              <w:rPr/>
            </w:pPr>
            <w:r>
              <w:rPr/>
              <w:t>1.5   </w:t>
            </w:r>
          </w:p>
        </w:tc>
        <w:tc>
          <w:tcPr>
            <w:tcW w:w="8915" w:type="dxa"/>
            <w:tcBorders/>
            <w:vAlign w:val="center"/>
          </w:tcPr>
          <w:p>
            <w:pPr>
              <w:pStyle w:val="TableContents"/>
              <w:bidi w:val="0"/>
              <w:spacing w:before="0" w:after="283"/>
              <w:jc w:val="left"/>
              <w:rPr/>
            </w:pPr>
            <w:r>
              <w:rPr/>
              <w:t>Effect on Company Capital Stock</w:t>
            </w:r>
          </w:p>
        </w:tc>
        <w:tc>
          <w:tcPr>
            <w:tcW w:w="275" w:type="dxa"/>
            <w:tcBorders/>
            <w:vAlign w:val="center"/>
          </w:tcPr>
          <w:p>
            <w:pPr>
              <w:pStyle w:val="TableContents"/>
              <w:bidi w:val="0"/>
              <w:spacing w:before="0" w:after="283"/>
              <w:jc w:val="right"/>
              <w:rPr/>
            </w:pPr>
            <w:r>
              <w:rPr/>
              <w:t>3</w:t>
            </w:r>
          </w:p>
        </w:tc>
      </w:tr>
      <w:tr>
        <w:trPr/>
        <w:tc>
          <w:tcPr>
            <w:tcW w:w="635" w:type="dxa"/>
            <w:tcBorders/>
            <w:vAlign w:val="center"/>
          </w:tcPr>
          <w:p>
            <w:pPr>
              <w:pStyle w:val="TableContents"/>
              <w:bidi w:val="0"/>
              <w:spacing w:before="0" w:after="283"/>
              <w:jc w:val="left"/>
              <w:rPr/>
            </w:pPr>
            <w:r>
              <w:rPr/>
              <w:t>1.6   </w:t>
            </w:r>
          </w:p>
        </w:tc>
        <w:tc>
          <w:tcPr>
            <w:tcW w:w="8915" w:type="dxa"/>
            <w:tcBorders/>
            <w:vAlign w:val="center"/>
          </w:tcPr>
          <w:p>
            <w:pPr>
              <w:pStyle w:val="TableContents"/>
              <w:bidi w:val="0"/>
              <w:spacing w:before="0" w:after="283"/>
              <w:jc w:val="left"/>
              <w:rPr/>
            </w:pPr>
            <w:r>
              <w:rPr/>
              <w:t>Treatment of Company Equity Awards</w:t>
            </w:r>
          </w:p>
        </w:tc>
        <w:tc>
          <w:tcPr>
            <w:tcW w:w="275" w:type="dxa"/>
            <w:tcBorders/>
            <w:vAlign w:val="center"/>
          </w:tcPr>
          <w:p>
            <w:pPr>
              <w:pStyle w:val="TableContents"/>
              <w:bidi w:val="0"/>
              <w:spacing w:before="0" w:after="283"/>
              <w:jc w:val="right"/>
              <w:rPr/>
            </w:pPr>
            <w:r>
              <w:rPr/>
              <w:t>4</w:t>
            </w:r>
          </w:p>
        </w:tc>
      </w:tr>
      <w:tr>
        <w:trPr/>
        <w:tc>
          <w:tcPr>
            <w:tcW w:w="635" w:type="dxa"/>
            <w:tcBorders/>
            <w:vAlign w:val="center"/>
          </w:tcPr>
          <w:p>
            <w:pPr>
              <w:pStyle w:val="TableContents"/>
              <w:bidi w:val="0"/>
              <w:spacing w:before="0" w:after="283"/>
              <w:jc w:val="left"/>
              <w:rPr/>
            </w:pPr>
            <w:r>
              <w:rPr/>
              <w:t>1.7   </w:t>
            </w:r>
          </w:p>
        </w:tc>
        <w:tc>
          <w:tcPr>
            <w:tcW w:w="8915" w:type="dxa"/>
            <w:tcBorders/>
            <w:vAlign w:val="center"/>
          </w:tcPr>
          <w:p>
            <w:pPr>
              <w:pStyle w:val="TableContents"/>
              <w:bidi w:val="0"/>
              <w:spacing w:before="0" w:after="283"/>
              <w:jc w:val="left"/>
              <w:rPr/>
            </w:pPr>
            <w:r>
              <w:rPr/>
              <w:t>Exchange of Certificates and Cancellation of Book-Entry Positions</w:t>
            </w:r>
          </w:p>
        </w:tc>
        <w:tc>
          <w:tcPr>
            <w:tcW w:w="275" w:type="dxa"/>
            <w:tcBorders/>
            <w:vAlign w:val="center"/>
          </w:tcPr>
          <w:p>
            <w:pPr>
              <w:pStyle w:val="TableContents"/>
              <w:bidi w:val="0"/>
              <w:spacing w:before="0" w:after="283"/>
              <w:jc w:val="right"/>
              <w:rPr/>
            </w:pPr>
            <w:r>
              <w:rPr/>
              <w:t>7</w:t>
            </w:r>
          </w:p>
        </w:tc>
      </w:tr>
      <w:tr>
        <w:trPr/>
        <w:tc>
          <w:tcPr>
            <w:tcW w:w="635" w:type="dxa"/>
            <w:tcBorders/>
            <w:vAlign w:val="center"/>
          </w:tcPr>
          <w:p>
            <w:pPr>
              <w:pStyle w:val="TableContents"/>
              <w:bidi w:val="0"/>
              <w:spacing w:before="0" w:after="283"/>
              <w:jc w:val="left"/>
              <w:rPr/>
            </w:pPr>
            <w:r>
              <w:rPr/>
              <w:t>1.8   </w:t>
            </w:r>
          </w:p>
        </w:tc>
        <w:tc>
          <w:tcPr>
            <w:tcW w:w="8915" w:type="dxa"/>
            <w:tcBorders/>
            <w:vAlign w:val="center"/>
          </w:tcPr>
          <w:p>
            <w:pPr>
              <w:pStyle w:val="TableContents"/>
              <w:bidi w:val="0"/>
              <w:spacing w:before="0" w:after="283"/>
              <w:jc w:val="left"/>
              <w:rPr/>
            </w:pPr>
            <w:r>
              <w:rPr/>
              <w:t>Further Action</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1.9   </w:t>
            </w:r>
          </w:p>
        </w:tc>
        <w:tc>
          <w:tcPr>
            <w:tcW w:w="8915" w:type="dxa"/>
            <w:tcBorders/>
            <w:vAlign w:val="center"/>
          </w:tcPr>
          <w:p>
            <w:pPr>
              <w:pStyle w:val="TableContents"/>
              <w:bidi w:val="0"/>
              <w:spacing w:before="0" w:after="283"/>
              <w:jc w:val="left"/>
              <w:rPr/>
            </w:pPr>
            <w:r>
              <w:rPr/>
              <w:t>Tax Withholding</w:t>
            </w:r>
          </w:p>
        </w:tc>
        <w:tc>
          <w:tcPr>
            <w:tcW w:w="275" w:type="dxa"/>
            <w:tcBorders/>
            <w:vAlign w:val="center"/>
          </w:tcPr>
          <w:p>
            <w:pPr>
              <w:pStyle w:val="TableContents"/>
              <w:bidi w:val="0"/>
              <w:spacing w:before="0" w:after="283"/>
              <w:jc w:val="right"/>
              <w:rPr/>
            </w:pPr>
            <w:r>
              <w:rPr/>
              <w:t>10</w:t>
            </w:r>
          </w:p>
        </w:tc>
      </w:tr>
      <w:tr>
        <w:trPr/>
        <w:tc>
          <w:tcPr>
            <w:tcW w:w="635" w:type="dxa"/>
            <w:tcBorders/>
            <w:vAlign w:val="center"/>
          </w:tcPr>
          <w:p>
            <w:pPr>
              <w:pStyle w:val="TableContents"/>
              <w:bidi w:val="0"/>
              <w:spacing w:before="0" w:after="283"/>
              <w:jc w:val="left"/>
              <w:rPr/>
            </w:pPr>
            <w:r>
              <w:rPr/>
              <w:t>1.10   </w:t>
            </w:r>
          </w:p>
        </w:tc>
        <w:tc>
          <w:tcPr>
            <w:tcW w:w="8915"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11</w:t>
            </w:r>
          </w:p>
        </w:tc>
      </w:tr>
      <w:tr>
        <w:trPr/>
        <w:tc>
          <w:tcPr>
            <w:tcW w:w="9550" w:type="dxa"/>
            <w:gridSpan w:val="2"/>
            <w:tcBorders/>
            <w:vAlign w:val="center"/>
          </w:tcPr>
          <w:p>
            <w:pPr>
              <w:pStyle w:val="TableContents"/>
              <w:bidi w:val="0"/>
              <w:spacing w:before="0" w:after="283"/>
              <w:jc w:val="left"/>
              <w:rPr>
                <w:b/>
              </w:rPr>
            </w:pPr>
            <w:r>
              <w:rPr>
                <w:b/>
              </w:rPr>
              <w:t>ARTICLE II. REPRESENTATIONS AND WARRANTIES OF THE COMPANY</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2.1   </w:t>
            </w:r>
          </w:p>
        </w:tc>
        <w:tc>
          <w:tcPr>
            <w:tcW w:w="8915" w:type="dxa"/>
            <w:tcBorders/>
            <w:vAlign w:val="center"/>
          </w:tcPr>
          <w:p>
            <w:pPr>
              <w:pStyle w:val="TableContents"/>
              <w:bidi w:val="0"/>
              <w:spacing w:before="0" w:after="283"/>
              <w:jc w:val="left"/>
              <w:rPr/>
            </w:pPr>
            <w:r>
              <w:rPr/>
              <w:t>Due Organization and Good Standing</w:t>
            </w:r>
          </w:p>
        </w:tc>
        <w:tc>
          <w:tcPr>
            <w:tcW w:w="275" w:type="dxa"/>
            <w:tcBorders/>
            <w:vAlign w:val="center"/>
          </w:tcPr>
          <w:p>
            <w:pPr>
              <w:pStyle w:val="TableContents"/>
              <w:bidi w:val="0"/>
              <w:spacing w:before="0" w:after="283"/>
              <w:jc w:val="right"/>
              <w:rPr/>
            </w:pPr>
            <w:r>
              <w:rPr/>
              <w:t>11</w:t>
            </w:r>
          </w:p>
        </w:tc>
      </w:tr>
      <w:tr>
        <w:trPr/>
        <w:tc>
          <w:tcPr>
            <w:tcW w:w="635" w:type="dxa"/>
            <w:tcBorders/>
            <w:vAlign w:val="center"/>
          </w:tcPr>
          <w:p>
            <w:pPr>
              <w:pStyle w:val="TableContents"/>
              <w:bidi w:val="0"/>
              <w:spacing w:before="0" w:after="283"/>
              <w:jc w:val="left"/>
              <w:rPr/>
            </w:pPr>
            <w:r>
              <w:rPr/>
              <w:t>2.2   </w:t>
            </w:r>
          </w:p>
        </w:tc>
        <w:tc>
          <w:tcPr>
            <w:tcW w:w="8915" w:type="dxa"/>
            <w:tcBorders/>
            <w:vAlign w:val="center"/>
          </w:tcPr>
          <w:p>
            <w:pPr>
              <w:pStyle w:val="TableContents"/>
              <w:bidi w:val="0"/>
              <w:spacing w:before="0" w:after="283"/>
              <w:jc w:val="left"/>
              <w:rPr/>
            </w:pPr>
            <w:r>
              <w:rPr/>
              <w:t>Capitalization</w:t>
            </w:r>
          </w:p>
        </w:tc>
        <w:tc>
          <w:tcPr>
            <w:tcW w:w="275" w:type="dxa"/>
            <w:tcBorders/>
            <w:vAlign w:val="center"/>
          </w:tcPr>
          <w:p>
            <w:pPr>
              <w:pStyle w:val="TableContents"/>
              <w:bidi w:val="0"/>
              <w:spacing w:before="0" w:after="283"/>
              <w:jc w:val="right"/>
              <w:rPr/>
            </w:pPr>
            <w:r>
              <w:rPr/>
              <w:t>12</w:t>
            </w:r>
          </w:p>
        </w:tc>
      </w:tr>
      <w:tr>
        <w:trPr/>
        <w:tc>
          <w:tcPr>
            <w:tcW w:w="635" w:type="dxa"/>
            <w:tcBorders/>
            <w:vAlign w:val="center"/>
          </w:tcPr>
          <w:p>
            <w:pPr>
              <w:pStyle w:val="TableContents"/>
              <w:bidi w:val="0"/>
              <w:spacing w:before="0" w:after="283"/>
              <w:jc w:val="left"/>
              <w:rPr/>
            </w:pPr>
            <w:r>
              <w:rPr/>
              <w:t>2.3   </w:t>
            </w:r>
          </w:p>
        </w:tc>
        <w:tc>
          <w:tcPr>
            <w:tcW w:w="8915" w:type="dxa"/>
            <w:tcBorders/>
            <w:vAlign w:val="center"/>
          </w:tcPr>
          <w:p>
            <w:pPr>
              <w:pStyle w:val="TableContents"/>
              <w:bidi w:val="0"/>
              <w:spacing w:before="0" w:after="283"/>
              <w:jc w:val="left"/>
              <w:rPr/>
            </w:pPr>
            <w:r>
              <w:rPr/>
              <w:t>Subsidiaries</w:t>
            </w:r>
          </w:p>
        </w:tc>
        <w:tc>
          <w:tcPr>
            <w:tcW w:w="275" w:type="dxa"/>
            <w:tcBorders/>
            <w:vAlign w:val="center"/>
          </w:tcPr>
          <w:p>
            <w:pPr>
              <w:pStyle w:val="TableContents"/>
              <w:bidi w:val="0"/>
              <w:spacing w:before="0" w:after="283"/>
              <w:jc w:val="right"/>
              <w:rPr/>
            </w:pPr>
            <w:r>
              <w:rPr/>
              <w:t>14</w:t>
            </w:r>
          </w:p>
        </w:tc>
      </w:tr>
      <w:tr>
        <w:trPr/>
        <w:tc>
          <w:tcPr>
            <w:tcW w:w="635" w:type="dxa"/>
            <w:tcBorders/>
            <w:vAlign w:val="center"/>
          </w:tcPr>
          <w:p>
            <w:pPr>
              <w:pStyle w:val="TableContents"/>
              <w:bidi w:val="0"/>
              <w:spacing w:before="0" w:after="283"/>
              <w:jc w:val="left"/>
              <w:rPr/>
            </w:pPr>
            <w:r>
              <w:rPr/>
              <w:t>2.4   </w:t>
            </w:r>
          </w:p>
        </w:tc>
        <w:tc>
          <w:tcPr>
            <w:tcW w:w="8915" w:type="dxa"/>
            <w:tcBorders/>
            <w:vAlign w:val="center"/>
          </w:tcPr>
          <w:p>
            <w:pPr>
              <w:pStyle w:val="TableContents"/>
              <w:bidi w:val="0"/>
              <w:spacing w:before="0" w:after="283"/>
              <w:jc w:val="left"/>
              <w:rPr/>
            </w:pPr>
            <w:r>
              <w:rPr/>
              <w:t>Authority; Binding Nature of Agreement</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2.5   </w:t>
            </w:r>
          </w:p>
        </w:tc>
        <w:tc>
          <w:tcPr>
            <w:tcW w:w="8915" w:type="dxa"/>
            <w:tcBorders/>
            <w:vAlign w:val="center"/>
          </w:tcPr>
          <w:p>
            <w:pPr>
              <w:pStyle w:val="TableContents"/>
              <w:bidi w:val="0"/>
              <w:spacing w:before="0" w:after="283"/>
              <w:jc w:val="left"/>
              <w:rPr/>
            </w:pPr>
            <w:r>
              <w:rPr/>
              <w:t>Vote Required</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2.6   </w:t>
            </w:r>
          </w:p>
        </w:tc>
        <w:tc>
          <w:tcPr>
            <w:tcW w:w="8915" w:type="dxa"/>
            <w:tcBorders/>
            <w:vAlign w:val="center"/>
          </w:tcPr>
          <w:p>
            <w:pPr>
              <w:pStyle w:val="TableContents"/>
              <w:bidi w:val="0"/>
              <w:spacing w:before="0" w:after="283"/>
              <w:jc w:val="left"/>
              <w:rPr/>
            </w:pPr>
            <w:r>
              <w:rPr/>
              <w:t>Non-Contravention: Consents</w:t>
            </w:r>
          </w:p>
        </w:tc>
        <w:tc>
          <w:tcPr>
            <w:tcW w:w="275" w:type="dxa"/>
            <w:tcBorders/>
            <w:vAlign w:val="center"/>
          </w:tcPr>
          <w:p>
            <w:pPr>
              <w:pStyle w:val="TableContents"/>
              <w:bidi w:val="0"/>
              <w:spacing w:before="0" w:after="283"/>
              <w:jc w:val="right"/>
              <w:rPr/>
            </w:pPr>
            <w:r>
              <w:rPr/>
              <w:t>15</w:t>
            </w:r>
          </w:p>
        </w:tc>
      </w:tr>
      <w:tr>
        <w:trPr/>
        <w:tc>
          <w:tcPr>
            <w:tcW w:w="635" w:type="dxa"/>
            <w:tcBorders/>
            <w:vAlign w:val="center"/>
          </w:tcPr>
          <w:p>
            <w:pPr>
              <w:pStyle w:val="TableContents"/>
              <w:bidi w:val="0"/>
              <w:spacing w:before="0" w:after="283"/>
              <w:jc w:val="left"/>
              <w:rPr/>
            </w:pPr>
            <w:r>
              <w:rPr/>
              <w:t>2.7   </w:t>
            </w:r>
          </w:p>
        </w:tc>
        <w:tc>
          <w:tcPr>
            <w:tcW w:w="8915" w:type="dxa"/>
            <w:tcBorders/>
            <w:vAlign w:val="center"/>
          </w:tcPr>
          <w:p>
            <w:pPr>
              <w:pStyle w:val="TableContents"/>
              <w:bidi w:val="0"/>
              <w:spacing w:before="0" w:after="283"/>
              <w:jc w:val="left"/>
              <w:rPr/>
            </w:pPr>
            <w:r>
              <w:rPr/>
              <w:t>Reports; Financial Statements; Internal Controls</w:t>
            </w:r>
          </w:p>
        </w:tc>
        <w:tc>
          <w:tcPr>
            <w:tcW w:w="275" w:type="dxa"/>
            <w:tcBorders/>
            <w:vAlign w:val="center"/>
          </w:tcPr>
          <w:p>
            <w:pPr>
              <w:pStyle w:val="TableContents"/>
              <w:bidi w:val="0"/>
              <w:spacing w:before="0" w:after="283"/>
              <w:jc w:val="right"/>
              <w:rPr/>
            </w:pPr>
            <w:r>
              <w:rPr/>
              <w:t>16</w:t>
            </w:r>
          </w:p>
        </w:tc>
      </w:tr>
      <w:tr>
        <w:trPr/>
        <w:tc>
          <w:tcPr>
            <w:tcW w:w="635" w:type="dxa"/>
            <w:tcBorders/>
            <w:vAlign w:val="center"/>
          </w:tcPr>
          <w:p>
            <w:pPr>
              <w:pStyle w:val="TableContents"/>
              <w:bidi w:val="0"/>
              <w:spacing w:before="0" w:after="283"/>
              <w:jc w:val="left"/>
              <w:rPr/>
            </w:pPr>
            <w:r>
              <w:rPr/>
              <w:t>2.8   </w:t>
            </w:r>
          </w:p>
        </w:tc>
        <w:tc>
          <w:tcPr>
            <w:tcW w:w="8915" w:type="dxa"/>
            <w:tcBorders/>
            <w:vAlign w:val="center"/>
          </w:tcPr>
          <w:p>
            <w:pPr>
              <w:pStyle w:val="TableContents"/>
              <w:bidi w:val="0"/>
              <w:spacing w:before="0" w:after="283"/>
              <w:jc w:val="left"/>
              <w:rPr/>
            </w:pPr>
            <w:r>
              <w:rPr/>
              <w:t>Absence of Certain Changes</w:t>
            </w:r>
          </w:p>
        </w:tc>
        <w:tc>
          <w:tcPr>
            <w:tcW w:w="275" w:type="dxa"/>
            <w:tcBorders/>
            <w:vAlign w:val="center"/>
          </w:tcPr>
          <w:p>
            <w:pPr>
              <w:pStyle w:val="TableContents"/>
              <w:bidi w:val="0"/>
              <w:spacing w:before="0" w:after="283"/>
              <w:jc w:val="right"/>
              <w:rPr/>
            </w:pPr>
            <w:r>
              <w:rPr/>
              <w:t>18</w:t>
            </w:r>
          </w:p>
        </w:tc>
      </w:tr>
      <w:tr>
        <w:trPr/>
        <w:tc>
          <w:tcPr>
            <w:tcW w:w="635" w:type="dxa"/>
            <w:tcBorders/>
            <w:vAlign w:val="center"/>
          </w:tcPr>
          <w:p>
            <w:pPr>
              <w:pStyle w:val="TableContents"/>
              <w:bidi w:val="0"/>
              <w:spacing w:before="0" w:after="283"/>
              <w:jc w:val="left"/>
              <w:rPr/>
            </w:pPr>
            <w:r>
              <w:rPr/>
              <w:t>2.9   </w:t>
            </w:r>
          </w:p>
        </w:tc>
        <w:tc>
          <w:tcPr>
            <w:tcW w:w="8915" w:type="dxa"/>
            <w:tcBorders/>
            <w:vAlign w:val="center"/>
          </w:tcPr>
          <w:p>
            <w:pPr>
              <w:pStyle w:val="TableContents"/>
              <w:bidi w:val="0"/>
              <w:spacing w:before="0" w:after="283"/>
              <w:jc w:val="left"/>
              <w:rPr/>
            </w:pPr>
            <w:r>
              <w:rPr/>
              <w:t>Intellectual Property and Related Matters</w:t>
            </w:r>
          </w:p>
        </w:tc>
        <w:tc>
          <w:tcPr>
            <w:tcW w:w="275" w:type="dxa"/>
            <w:tcBorders/>
            <w:vAlign w:val="center"/>
          </w:tcPr>
          <w:p>
            <w:pPr>
              <w:pStyle w:val="TableContents"/>
              <w:bidi w:val="0"/>
              <w:spacing w:before="0" w:after="283"/>
              <w:jc w:val="right"/>
              <w:rPr/>
            </w:pPr>
            <w:r>
              <w:rPr/>
              <w:t>19</w:t>
            </w:r>
          </w:p>
        </w:tc>
      </w:tr>
      <w:tr>
        <w:trPr/>
        <w:tc>
          <w:tcPr>
            <w:tcW w:w="635" w:type="dxa"/>
            <w:tcBorders/>
            <w:vAlign w:val="center"/>
          </w:tcPr>
          <w:p>
            <w:pPr>
              <w:pStyle w:val="TableContents"/>
              <w:bidi w:val="0"/>
              <w:spacing w:before="0" w:after="283"/>
              <w:jc w:val="left"/>
              <w:rPr/>
            </w:pPr>
            <w:r>
              <w:rPr/>
              <w:t>2.10   </w:t>
            </w:r>
          </w:p>
        </w:tc>
        <w:tc>
          <w:tcPr>
            <w:tcW w:w="8915" w:type="dxa"/>
            <w:tcBorders/>
            <w:vAlign w:val="center"/>
          </w:tcPr>
          <w:p>
            <w:pPr>
              <w:pStyle w:val="TableContents"/>
              <w:bidi w:val="0"/>
              <w:spacing w:before="0" w:after="283"/>
              <w:jc w:val="left"/>
              <w:rPr/>
            </w:pPr>
            <w:r>
              <w:rPr/>
              <w:t>Title to Assets; Real Property</w:t>
            </w:r>
          </w:p>
        </w:tc>
        <w:tc>
          <w:tcPr>
            <w:tcW w:w="275" w:type="dxa"/>
            <w:tcBorders/>
            <w:vAlign w:val="center"/>
          </w:tcPr>
          <w:p>
            <w:pPr>
              <w:pStyle w:val="TableContents"/>
              <w:bidi w:val="0"/>
              <w:spacing w:before="0" w:after="283"/>
              <w:jc w:val="right"/>
              <w:rPr/>
            </w:pPr>
            <w:r>
              <w:rPr/>
              <w:t>22</w:t>
            </w:r>
          </w:p>
        </w:tc>
      </w:tr>
      <w:tr>
        <w:trPr/>
        <w:tc>
          <w:tcPr>
            <w:tcW w:w="635" w:type="dxa"/>
            <w:tcBorders/>
            <w:vAlign w:val="center"/>
          </w:tcPr>
          <w:p>
            <w:pPr>
              <w:pStyle w:val="TableContents"/>
              <w:bidi w:val="0"/>
              <w:spacing w:before="0" w:after="283"/>
              <w:jc w:val="left"/>
              <w:rPr/>
            </w:pPr>
            <w:r>
              <w:rPr/>
              <w:t>2.11   </w:t>
            </w:r>
          </w:p>
        </w:tc>
        <w:tc>
          <w:tcPr>
            <w:tcW w:w="8915" w:type="dxa"/>
            <w:tcBorders/>
            <w:vAlign w:val="center"/>
          </w:tcPr>
          <w:p>
            <w:pPr>
              <w:pStyle w:val="TableContents"/>
              <w:bidi w:val="0"/>
              <w:spacing w:before="0" w:after="283"/>
              <w:jc w:val="left"/>
              <w:rPr/>
            </w:pPr>
            <w:r>
              <w:rPr/>
              <w:t>Contracts</w:t>
            </w:r>
          </w:p>
        </w:tc>
        <w:tc>
          <w:tcPr>
            <w:tcW w:w="275" w:type="dxa"/>
            <w:tcBorders/>
            <w:vAlign w:val="center"/>
          </w:tcPr>
          <w:p>
            <w:pPr>
              <w:pStyle w:val="TableContents"/>
              <w:bidi w:val="0"/>
              <w:spacing w:before="0" w:after="283"/>
              <w:jc w:val="right"/>
              <w:rPr/>
            </w:pPr>
            <w:r>
              <w:rPr/>
              <w:t>23</w:t>
            </w:r>
          </w:p>
        </w:tc>
      </w:tr>
      <w:tr>
        <w:trPr/>
        <w:tc>
          <w:tcPr>
            <w:tcW w:w="635" w:type="dxa"/>
            <w:tcBorders/>
            <w:vAlign w:val="center"/>
          </w:tcPr>
          <w:p>
            <w:pPr>
              <w:pStyle w:val="TableContents"/>
              <w:bidi w:val="0"/>
              <w:spacing w:before="0" w:after="283"/>
              <w:jc w:val="left"/>
              <w:rPr/>
            </w:pPr>
            <w:r>
              <w:rPr/>
              <w:t>2.12   </w:t>
            </w:r>
          </w:p>
        </w:tc>
        <w:tc>
          <w:tcPr>
            <w:tcW w:w="8915" w:type="dxa"/>
            <w:tcBorders/>
            <w:vAlign w:val="center"/>
          </w:tcPr>
          <w:p>
            <w:pPr>
              <w:pStyle w:val="TableContents"/>
              <w:bidi w:val="0"/>
              <w:spacing w:before="0" w:after="283"/>
              <w:jc w:val="left"/>
              <w:rPr/>
            </w:pPr>
            <w:r>
              <w:rPr/>
              <w:t>Company Products and Warranties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2.13   </w:t>
            </w:r>
          </w:p>
        </w:tc>
        <w:tc>
          <w:tcPr>
            <w:tcW w:w="8915" w:type="dxa"/>
            <w:tcBorders/>
            <w:vAlign w:val="center"/>
          </w:tcPr>
          <w:p>
            <w:pPr>
              <w:pStyle w:val="TableContents"/>
              <w:bidi w:val="0"/>
              <w:spacing w:before="0" w:after="283"/>
              <w:jc w:val="left"/>
              <w:rPr/>
            </w:pPr>
            <w:r>
              <w:rPr/>
              <w:t>Company Top Customers; Distributors and Suppliers</w:t>
            </w:r>
          </w:p>
        </w:tc>
        <w:tc>
          <w:tcPr>
            <w:tcW w:w="275" w:type="dxa"/>
            <w:tcBorders/>
            <w:vAlign w:val="center"/>
          </w:tcPr>
          <w:p>
            <w:pPr>
              <w:pStyle w:val="TableContents"/>
              <w:bidi w:val="0"/>
              <w:spacing w:before="0" w:after="283"/>
              <w:jc w:val="right"/>
              <w:rPr/>
            </w:pPr>
            <w:r>
              <w:rPr/>
              <w:t>27</w:t>
            </w:r>
          </w:p>
        </w:tc>
      </w:tr>
      <w:tr>
        <w:trPr/>
        <w:tc>
          <w:tcPr>
            <w:tcW w:w="635" w:type="dxa"/>
            <w:tcBorders/>
            <w:vAlign w:val="center"/>
          </w:tcPr>
          <w:p>
            <w:pPr>
              <w:pStyle w:val="TableContents"/>
              <w:bidi w:val="0"/>
              <w:spacing w:before="0" w:after="283"/>
              <w:jc w:val="left"/>
              <w:rPr/>
            </w:pPr>
            <w:r>
              <w:rPr/>
              <w:t>2.14   </w:t>
            </w:r>
          </w:p>
        </w:tc>
        <w:tc>
          <w:tcPr>
            <w:tcW w:w="8915" w:type="dxa"/>
            <w:tcBorders/>
            <w:vAlign w:val="center"/>
          </w:tcPr>
          <w:p>
            <w:pPr>
              <w:pStyle w:val="TableContents"/>
              <w:bidi w:val="0"/>
              <w:spacing w:before="0" w:after="283"/>
              <w:jc w:val="left"/>
              <w:rPr/>
            </w:pPr>
            <w:r>
              <w:rPr/>
              <w:t>Compliance with Legal Requirements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2.15  </w:t>
            </w:r>
          </w:p>
        </w:tc>
        <w:tc>
          <w:tcPr>
            <w:tcW w:w="8915" w:type="dxa"/>
            <w:tcBorders/>
            <w:vAlign w:val="center"/>
          </w:tcPr>
          <w:p>
            <w:pPr>
              <w:pStyle w:val="TableContents"/>
              <w:bidi w:val="0"/>
              <w:spacing w:before="0" w:after="283"/>
              <w:jc w:val="left"/>
              <w:rPr/>
            </w:pPr>
            <w:r>
              <w:rPr/>
              <w:t> </w:t>
            </w:r>
            <w:r>
              <w:rPr/>
              <w:t>Legal Proceedings; Investigations; Orders</w:t>
            </w:r>
          </w:p>
        </w:tc>
        <w:tc>
          <w:tcPr>
            <w:tcW w:w="275" w:type="dxa"/>
            <w:tcBorders/>
            <w:vAlign w:val="center"/>
          </w:tcPr>
          <w:p>
            <w:pPr>
              <w:pStyle w:val="TableContents"/>
              <w:bidi w:val="0"/>
              <w:spacing w:before="0" w:after="283"/>
              <w:jc w:val="right"/>
              <w:rPr/>
            </w:pPr>
            <w:r>
              <w:rPr/>
              <w:t>28</w:t>
            </w:r>
          </w:p>
        </w:tc>
      </w:tr>
      <w:tr>
        <w:trPr/>
        <w:tc>
          <w:tcPr>
            <w:tcW w:w="635" w:type="dxa"/>
            <w:tcBorders/>
            <w:vAlign w:val="center"/>
          </w:tcPr>
          <w:p>
            <w:pPr>
              <w:pStyle w:val="TableContents"/>
              <w:bidi w:val="0"/>
              <w:spacing w:before="0" w:after="283"/>
              <w:jc w:val="left"/>
              <w:rPr/>
            </w:pPr>
            <w:r>
              <w:rPr/>
              <w:t>2.16   </w:t>
            </w:r>
          </w:p>
        </w:tc>
        <w:tc>
          <w:tcPr>
            <w:tcW w:w="8915" w:type="dxa"/>
            <w:tcBorders/>
            <w:vAlign w:val="center"/>
          </w:tcPr>
          <w:p>
            <w:pPr>
              <w:pStyle w:val="TableContents"/>
              <w:bidi w:val="0"/>
              <w:spacing w:before="0" w:after="283"/>
              <w:jc w:val="left"/>
              <w:rPr/>
            </w:pPr>
            <w:r>
              <w:rPr/>
              <w:t>Anti-Corruption Laws: Anti-Money Laundering Laws: Sanctions Laws: Export Control Laws</w:t>
            </w:r>
          </w:p>
        </w:tc>
        <w:tc>
          <w:tcPr>
            <w:tcW w:w="275" w:type="dxa"/>
            <w:tcBorders/>
            <w:vAlign w:val="center"/>
          </w:tcPr>
          <w:p>
            <w:pPr>
              <w:pStyle w:val="TableContents"/>
              <w:bidi w:val="0"/>
              <w:spacing w:before="0" w:after="283"/>
              <w:jc w:val="right"/>
              <w:rPr/>
            </w:pPr>
            <w:r>
              <w:rPr/>
              <w:t>29</w:t>
            </w:r>
          </w:p>
        </w:tc>
      </w:tr>
      <w:tr>
        <w:trPr/>
        <w:tc>
          <w:tcPr>
            <w:tcW w:w="635" w:type="dxa"/>
            <w:tcBorders/>
            <w:vAlign w:val="center"/>
          </w:tcPr>
          <w:p>
            <w:pPr>
              <w:pStyle w:val="TableContents"/>
              <w:bidi w:val="0"/>
              <w:spacing w:before="0" w:after="283"/>
              <w:jc w:val="left"/>
              <w:rPr/>
            </w:pPr>
            <w:r>
              <w:rPr/>
              <w:t>2.17   </w:t>
            </w:r>
          </w:p>
        </w:tc>
        <w:tc>
          <w:tcPr>
            <w:tcW w:w="8915" w:type="dxa"/>
            <w:tcBorders/>
            <w:vAlign w:val="center"/>
          </w:tcPr>
          <w:p>
            <w:pPr>
              <w:pStyle w:val="TableContents"/>
              <w:bidi w:val="0"/>
              <w:spacing w:before="0" w:after="283"/>
              <w:jc w:val="left"/>
              <w:rPr/>
            </w:pPr>
            <w:r>
              <w:rPr/>
              <w:t>Tax Matters</w:t>
            </w:r>
          </w:p>
        </w:tc>
        <w:tc>
          <w:tcPr>
            <w:tcW w:w="275" w:type="dxa"/>
            <w:tcBorders/>
            <w:vAlign w:val="center"/>
          </w:tcPr>
          <w:p>
            <w:pPr>
              <w:pStyle w:val="TableContents"/>
              <w:bidi w:val="0"/>
              <w:spacing w:before="0" w:after="283"/>
              <w:jc w:val="right"/>
              <w:rPr/>
            </w:pPr>
            <w:r>
              <w:rPr/>
              <w:t>30</w:t>
            </w:r>
          </w:p>
        </w:tc>
      </w:tr>
      <w:tr>
        <w:trPr/>
        <w:tc>
          <w:tcPr>
            <w:tcW w:w="635" w:type="dxa"/>
            <w:tcBorders/>
            <w:vAlign w:val="center"/>
          </w:tcPr>
          <w:p>
            <w:pPr>
              <w:pStyle w:val="TableContents"/>
              <w:bidi w:val="0"/>
              <w:spacing w:before="0" w:after="283"/>
              <w:jc w:val="left"/>
              <w:rPr/>
            </w:pPr>
            <w:r>
              <w:rPr/>
              <w:t>2.18   </w:t>
            </w:r>
          </w:p>
        </w:tc>
        <w:tc>
          <w:tcPr>
            <w:tcW w:w="8915" w:type="dxa"/>
            <w:tcBorders/>
            <w:vAlign w:val="center"/>
          </w:tcPr>
          <w:p>
            <w:pPr>
              <w:pStyle w:val="TableContents"/>
              <w:bidi w:val="0"/>
              <w:spacing w:before="0" w:after="283"/>
              <w:jc w:val="left"/>
              <w:rPr/>
            </w:pPr>
            <w:r>
              <w:rPr/>
              <w:t>Employee Benefit Plans</w:t>
            </w:r>
          </w:p>
        </w:tc>
        <w:tc>
          <w:tcPr>
            <w:tcW w:w="275" w:type="dxa"/>
            <w:tcBorders/>
            <w:vAlign w:val="center"/>
          </w:tcPr>
          <w:p>
            <w:pPr>
              <w:pStyle w:val="TableContents"/>
              <w:bidi w:val="0"/>
              <w:spacing w:before="0" w:after="283"/>
              <w:jc w:val="right"/>
              <w:rPr/>
            </w:pPr>
            <w:r>
              <w:rPr/>
              <w:t>32</w:t>
            </w:r>
          </w:p>
        </w:tc>
      </w:tr>
      <w:tr>
        <w:trPr/>
        <w:tc>
          <w:tcPr>
            <w:tcW w:w="635" w:type="dxa"/>
            <w:tcBorders/>
            <w:vAlign w:val="center"/>
          </w:tcPr>
          <w:p>
            <w:pPr>
              <w:pStyle w:val="TableContents"/>
              <w:bidi w:val="0"/>
              <w:spacing w:before="0" w:after="283"/>
              <w:jc w:val="left"/>
              <w:rPr/>
            </w:pPr>
            <w:r>
              <w:rPr/>
              <w:t>2.19   </w:t>
            </w:r>
          </w:p>
        </w:tc>
        <w:tc>
          <w:tcPr>
            <w:tcW w:w="8915" w:type="dxa"/>
            <w:tcBorders/>
            <w:vAlign w:val="center"/>
          </w:tcPr>
          <w:p>
            <w:pPr>
              <w:pStyle w:val="TableContents"/>
              <w:bidi w:val="0"/>
              <w:spacing w:before="0" w:after="283"/>
              <w:jc w:val="left"/>
              <w:rPr/>
            </w:pPr>
            <w:r>
              <w:rPr/>
              <w:t>Labor Matters</w:t>
            </w:r>
          </w:p>
        </w:tc>
        <w:tc>
          <w:tcPr>
            <w:tcW w:w="275" w:type="dxa"/>
            <w:tcBorders/>
            <w:vAlign w:val="center"/>
          </w:tcPr>
          <w:p>
            <w:pPr>
              <w:pStyle w:val="TableContents"/>
              <w:bidi w:val="0"/>
              <w:spacing w:before="0" w:after="283"/>
              <w:jc w:val="right"/>
              <w:rPr/>
            </w:pPr>
            <w:r>
              <w:rPr/>
              <w:t>35</w:t>
            </w:r>
          </w:p>
        </w:tc>
      </w:tr>
      <w:tr>
        <w:trPr/>
        <w:tc>
          <w:tcPr>
            <w:tcW w:w="635" w:type="dxa"/>
            <w:tcBorders/>
            <w:vAlign w:val="center"/>
          </w:tcPr>
          <w:p>
            <w:pPr>
              <w:pStyle w:val="TableContents"/>
              <w:bidi w:val="0"/>
              <w:spacing w:before="0" w:after="283"/>
              <w:jc w:val="left"/>
              <w:rPr/>
            </w:pPr>
            <w:r>
              <w:rPr/>
              <w:t>2.20   </w:t>
            </w:r>
          </w:p>
        </w:tc>
        <w:tc>
          <w:tcPr>
            <w:tcW w:w="8915" w:type="dxa"/>
            <w:tcBorders/>
            <w:vAlign w:val="center"/>
          </w:tcPr>
          <w:p>
            <w:pPr>
              <w:pStyle w:val="TableContents"/>
              <w:bidi w:val="0"/>
              <w:spacing w:before="0" w:after="283"/>
              <w:jc w:val="left"/>
              <w:rPr/>
            </w:pPr>
            <w:r>
              <w:rPr/>
              <w:t>Environmental Matters</w:t>
            </w:r>
          </w:p>
        </w:tc>
        <w:tc>
          <w:tcPr>
            <w:tcW w:w="275" w:type="dxa"/>
            <w:tcBorders/>
            <w:vAlign w:val="center"/>
          </w:tcPr>
          <w:p>
            <w:pPr>
              <w:pStyle w:val="TableContents"/>
              <w:bidi w:val="0"/>
              <w:spacing w:before="0" w:after="283"/>
              <w:jc w:val="right"/>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5"/>
        <w:gridCol w:w="9124"/>
        <w:gridCol w:w="276"/>
      </w:tblGrid>
      <w:tr>
        <w:trPr/>
        <w:tc>
          <w:tcPr>
            <w:tcW w:w="805" w:type="dxa"/>
            <w:tcBorders/>
            <w:vAlign w:val="center"/>
          </w:tcPr>
          <w:p>
            <w:pPr>
              <w:pStyle w:val="TableContents"/>
              <w:bidi w:val="0"/>
              <w:spacing w:before="0" w:after="283"/>
              <w:jc w:val="left"/>
              <w:rPr/>
            </w:pPr>
            <w:r>
              <w:rPr/>
              <w:t>2.21   </w:t>
            </w:r>
          </w:p>
        </w:tc>
        <w:tc>
          <w:tcPr>
            <w:tcW w:w="9124" w:type="dxa"/>
            <w:tcBorders/>
            <w:vAlign w:val="center"/>
          </w:tcPr>
          <w:p>
            <w:pPr>
              <w:pStyle w:val="TableContents"/>
              <w:bidi w:val="0"/>
              <w:spacing w:before="0" w:after="283"/>
              <w:jc w:val="left"/>
              <w:rPr/>
            </w:pPr>
            <w:r>
              <w:rPr/>
              <w:t>Insurance</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2.22   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2.23   </w:t>
            </w:r>
          </w:p>
        </w:tc>
        <w:tc>
          <w:tcPr>
            <w:tcW w:w="9124" w:type="dxa"/>
            <w:tcBorders/>
            <w:vAlign w:val="center"/>
          </w:tcPr>
          <w:p>
            <w:pPr>
              <w:pStyle w:val="TableContents"/>
              <w:bidi w:val="0"/>
              <w:spacing w:before="0" w:after="283"/>
              <w:jc w:val="left"/>
              <w:rPr/>
            </w:pPr>
            <w:r>
              <w:rPr/>
              <w:t>Ownership of Parent Common Stock</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2.24   </w:t>
            </w:r>
          </w:p>
        </w:tc>
        <w:tc>
          <w:tcPr>
            <w:tcW w:w="9124" w:type="dxa"/>
            <w:tcBorders/>
            <w:vAlign w:val="center"/>
          </w:tcPr>
          <w:p>
            <w:pPr>
              <w:pStyle w:val="TableContents"/>
              <w:bidi w:val="0"/>
              <w:spacing w:before="0" w:after="283"/>
              <w:jc w:val="left"/>
              <w:rPr/>
            </w:pPr>
            <w:r>
              <w:rPr/>
              <w:t>Opinion of Financial Advisor</w:t>
            </w:r>
          </w:p>
        </w:tc>
        <w:tc>
          <w:tcPr>
            <w:tcW w:w="276" w:type="dxa"/>
            <w:tcBorders/>
            <w:vAlign w:val="center"/>
          </w:tcPr>
          <w:p>
            <w:pPr>
              <w:pStyle w:val="TableContents"/>
              <w:bidi w:val="0"/>
              <w:spacing w:before="0" w:after="283"/>
              <w:jc w:val="right"/>
              <w:rPr/>
            </w:pPr>
            <w:r>
              <w:rPr/>
              <w:t>36</w:t>
            </w:r>
          </w:p>
        </w:tc>
      </w:tr>
      <w:tr>
        <w:trPr/>
        <w:tc>
          <w:tcPr>
            <w:tcW w:w="805" w:type="dxa"/>
            <w:tcBorders/>
            <w:vAlign w:val="center"/>
          </w:tcPr>
          <w:p>
            <w:pPr>
              <w:pStyle w:val="TableContents"/>
              <w:bidi w:val="0"/>
              <w:spacing w:before="0" w:after="283"/>
              <w:jc w:val="left"/>
              <w:rPr/>
            </w:pPr>
            <w:r>
              <w:rPr/>
              <w:t>2.25   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2.26   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37</w:t>
            </w:r>
          </w:p>
        </w:tc>
      </w:tr>
      <w:tr>
        <w:trPr/>
        <w:tc>
          <w:tcPr>
            <w:tcW w:w="9929" w:type="dxa"/>
            <w:gridSpan w:val="2"/>
            <w:tcBorders/>
            <w:vAlign w:val="center"/>
          </w:tcPr>
          <w:p>
            <w:pPr>
              <w:pStyle w:val="TableContents"/>
              <w:bidi w:val="0"/>
              <w:spacing w:before="0" w:after="283"/>
              <w:jc w:val="left"/>
              <w:rPr>
                <w:b/>
              </w:rPr>
            </w:pPr>
            <w:r>
              <w:rPr>
                <w:b/>
              </w:rPr>
              <w:t>ARTICLE III. REPRESENTATIONS AND WARRANTIES OF PARENT AND MERGER SUB</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3.1   </w:t>
            </w:r>
          </w:p>
        </w:tc>
        <w:tc>
          <w:tcPr>
            <w:tcW w:w="9124" w:type="dxa"/>
            <w:tcBorders/>
            <w:vAlign w:val="center"/>
          </w:tcPr>
          <w:p>
            <w:pPr>
              <w:pStyle w:val="TableContents"/>
              <w:bidi w:val="0"/>
              <w:spacing w:before="0" w:after="283"/>
              <w:jc w:val="left"/>
              <w:rPr/>
            </w:pPr>
            <w:r>
              <w:rPr/>
              <w:t>Due Organization and Good Standing</w:t>
            </w:r>
          </w:p>
        </w:tc>
        <w:tc>
          <w:tcPr>
            <w:tcW w:w="276" w:type="dxa"/>
            <w:tcBorders/>
            <w:vAlign w:val="center"/>
          </w:tcPr>
          <w:p>
            <w:pPr>
              <w:pStyle w:val="TableContents"/>
              <w:bidi w:val="0"/>
              <w:spacing w:before="0" w:after="283"/>
              <w:jc w:val="right"/>
              <w:rPr/>
            </w:pPr>
            <w:r>
              <w:rPr/>
              <w:t>37</w:t>
            </w:r>
          </w:p>
        </w:tc>
      </w:tr>
      <w:tr>
        <w:trPr/>
        <w:tc>
          <w:tcPr>
            <w:tcW w:w="805" w:type="dxa"/>
            <w:tcBorders/>
            <w:vAlign w:val="center"/>
          </w:tcPr>
          <w:p>
            <w:pPr>
              <w:pStyle w:val="TableContents"/>
              <w:bidi w:val="0"/>
              <w:spacing w:before="0" w:after="283"/>
              <w:jc w:val="left"/>
              <w:rPr/>
            </w:pPr>
            <w:r>
              <w:rPr/>
              <w:t>3.2   </w:t>
            </w:r>
          </w:p>
        </w:tc>
        <w:tc>
          <w:tcPr>
            <w:tcW w:w="9124" w:type="dxa"/>
            <w:tcBorders/>
            <w:vAlign w:val="center"/>
          </w:tcPr>
          <w:p>
            <w:pPr>
              <w:pStyle w:val="TableContents"/>
              <w:bidi w:val="0"/>
              <w:spacing w:before="0" w:after="283"/>
              <w:jc w:val="left"/>
              <w:rPr/>
            </w:pPr>
            <w:r>
              <w:rPr/>
              <w:t>Authority; Binding Nature of Agreement</w:t>
            </w:r>
          </w:p>
        </w:tc>
        <w:tc>
          <w:tcPr>
            <w:tcW w:w="276" w:type="dxa"/>
            <w:tcBorders/>
            <w:vAlign w:val="center"/>
          </w:tcPr>
          <w:p>
            <w:pPr>
              <w:pStyle w:val="TableContents"/>
              <w:bidi w:val="0"/>
              <w:spacing w:before="0" w:after="283"/>
              <w:jc w:val="right"/>
              <w:rPr/>
            </w:pPr>
            <w:r>
              <w:rPr/>
              <w:t>38</w:t>
            </w:r>
          </w:p>
        </w:tc>
      </w:tr>
      <w:tr>
        <w:trPr/>
        <w:tc>
          <w:tcPr>
            <w:tcW w:w="805" w:type="dxa"/>
            <w:tcBorders/>
            <w:vAlign w:val="center"/>
          </w:tcPr>
          <w:p>
            <w:pPr>
              <w:pStyle w:val="TableContents"/>
              <w:bidi w:val="0"/>
              <w:spacing w:before="0" w:after="283"/>
              <w:jc w:val="left"/>
              <w:rPr/>
            </w:pPr>
            <w:r>
              <w:rPr/>
              <w:t>3.3   </w:t>
            </w:r>
          </w:p>
        </w:tc>
        <w:tc>
          <w:tcPr>
            <w:tcW w:w="9124" w:type="dxa"/>
            <w:tcBorders/>
            <w:vAlign w:val="center"/>
          </w:tcPr>
          <w:p>
            <w:pPr>
              <w:pStyle w:val="TableContents"/>
              <w:bidi w:val="0"/>
              <w:spacing w:before="0" w:after="283"/>
              <w:jc w:val="left"/>
              <w:rPr/>
            </w:pPr>
            <w:r>
              <w:rPr/>
              <w:t>Non-Contravention; Consents</w:t>
            </w:r>
          </w:p>
        </w:tc>
        <w:tc>
          <w:tcPr>
            <w:tcW w:w="276" w:type="dxa"/>
            <w:tcBorders/>
            <w:vAlign w:val="center"/>
          </w:tcPr>
          <w:p>
            <w:pPr>
              <w:pStyle w:val="TableContents"/>
              <w:bidi w:val="0"/>
              <w:spacing w:before="0" w:after="283"/>
              <w:jc w:val="right"/>
              <w:rPr/>
            </w:pPr>
            <w:r>
              <w:rPr/>
              <w:t>39</w:t>
            </w:r>
          </w:p>
        </w:tc>
      </w:tr>
      <w:tr>
        <w:trPr/>
        <w:tc>
          <w:tcPr>
            <w:tcW w:w="805" w:type="dxa"/>
            <w:tcBorders/>
            <w:vAlign w:val="center"/>
          </w:tcPr>
          <w:p>
            <w:pPr>
              <w:pStyle w:val="TableContents"/>
              <w:bidi w:val="0"/>
              <w:spacing w:before="0" w:after="283"/>
              <w:jc w:val="left"/>
              <w:rPr/>
            </w:pPr>
            <w:r>
              <w:rPr/>
              <w:t>3.4   </w:t>
            </w:r>
          </w:p>
        </w:tc>
        <w:tc>
          <w:tcPr>
            <w:tcW w:w="9124" w:type="dxa"/>
            <w:tcBorders/>
            <w:vAlign w:val="center"/>
          </w:tcPr>
          <w:p>
            <w:pPr>
              <w:pStyle w:val="TableContents"/>
              <w:bidi w:val="0"/>
              <w:spacing w:before="0" w:after="283"/>
              <w:jc w:val="left"/>
              <w:rPr/>
            </w:pPr>
            <w:r>
              <w:rPr/>
              <w:t>Legal Proceedings; Investigations; Orders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3.5   </w:t>
            </w:r>
          </w:p>
        </w:tc>
        <w:tc>
          <w:tcPr>
            <w:tcW w:w="9124" w:type="dxa"/>
            <w:tcBorders/>
            <w:vAlign w:val="center"/>
          </w:tcPr>
          <w:p>
            <w:pPr>
              <w:pStyle w:val="TableContents"/>
              <w:bidi w:val="0"/>
              <w:spacing w:before="0" w:after="283"/>
              <w:jc w:val="left"/>
              <w:rPr/>
            </w:pPr>
            <w:r>
              <w:rPr/>
              <w:t>Ownership of Company Common Stock</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3.6   </w:t>
            </w:r>
          </w:p>
        </w:tc>
        <w:tc>
          <w:tcPr>
            <w:tcW w:w="9124" w:type="dxa"/>
            <w:tcBorders/>
            <w:vAlign w:val="center"/>
          </w:tcPr>
          <w:p>
            <w:pPr>
              <w:pStyle w:val="TableContents"/>
              <w:bidi w:val="0"/>
              <w:spacing w:before="0" w:after="283"/>
              <w:jc w:val="left"/>
              <w:rPr/>
            </w:pPr>
            <w:r>
              <w:rPr/>
              <w:t>Brokers</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3.7   </w:t>
            </w:r>
          </w:p>
        </w:tc>
        <w:tc>
          <w:tcPr>
            <w:tcW w:w="9124" w:type="dxa"/>
            <w:tcBorders/>
            <w:vAlign w:val="center"/>
          </w:tcPr>
          <w:p>
            <w:pPr>
              <w:pStyle w:val="TableContents"/>
              <w:bidi w:val="0"/>
              <w:spacing w:before="0" w:after="283"/>
              <w:jc w:val="left"/>
              <w:rPr/>
            </w:pPr>
            <w:r>
              <w:rPr/>
              <w:t>Information Supplied</w:t>
            </w:r>
          </w:p>
        </w:tc>
        <w:tc>
          <w:tcPr>
            <w:tcW w:w="276" w:type="dxa"/>
            <w:tcBorders/>
            <w:vAlign w:val="center"/>
          </w:tcPr>
          <w:p>
            <w:pPr>
              <w:pStyle w:val="TableContents"/>
              <w:bidi w:val="0"/>
              <w:spacing w:before="0" w:after="283"/>
              <w:jc w:val="right"/>
              <w:rPr/>
            </w:pPr>
            <w:r>
              <w:rPr/>
              <w:t>40</w:t>
            </w:r>
          </w:p>
        </w:tc>
      </w:tr>
      <w:tr>
        <w:trPr/>
        <w:tc>
          <w:tcPr>
            <w:tcW w:w="805" w:type="dxa"/>
            <w:tcBorders/>
            <w:vAlign w:val="center"/>
          </w:tcPr>
          <w:p>
            <w:pPr>
              <w:pStyle w:val="TableContents"/>
              <w:bidi w:val="0"/>
              <w:spacing w:before="0" w:after="283"/>
              <w:jc w:val="left"/>
              <w:rPr/>
            </w:pPr>
            <w:r>
              <w:rPr/>
              <w:t>3.8   </w:t>
            </w:r>
          </w:p>
        </w:tc>
        <w:tc>
          <w:tcPr>
            <w:tcW w:w="9124"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41</w:t>
            </w:r>
          </w:p>
        </w:tc>
      </w:tr>
      <w:tr>
        <w:trPr/>
        <w:tc>
          <w:tcPr>
            <w:tcW w:w="805" w:type="dxa"/>
            <w:tcBorders/>
            <w:vAlign w:val="center"/>
          </w:tcPr>
          <w:p>
            <w:pPr>
              <w:pStyle w:val="TableContents"/>
              <w:bidi w:val="0"/>
              <w:spacing w:before="0" w:after="283"/>
              <w:jc w:val="left"/>
              <w:rPr/>
            </w:pPr>
            <w:r>
              <w:rPr/>
              <w:t>3.9   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42</w:t>
            </w:r>
          </w:p>
        </w:tc>
      </w:tr>
      <w:tr>
        <w:trPr/>
        <w:tc>
          <w:tcPr>
            <w:tcW w:w="9929" w:type="dxa"/>
            <w:gridSpan w:val="2"/>
            <w:tcBorders/>
            <w:vAlign w:val="center"/>
          </w:tcPr>
          <w:p>
            <w:pPr>
              <w:pStyle w:val="TableContents"/>
              <w:bidi w:val="0"/>
              <w:spacing w:before="0" w:after="283"/>
              <w:jc w:val="left"/>
              <w:rPr>
                <w:b/>
              </w:rPr>
            </w:pPr>
            <w:r>
              <w:rPr>
                <w:b/>
              </w:rPr>
              <w:t>ARTICLE IV. COVENANTS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4.1   </w:t>
            </w:r>
          </w:p>
        </w:tc>
        <w:tc>
          <w:tcPr>
            <w:tcW w:w="9124" w:type="dxa"/>
            <w:tcBorders/>
            <w:vAlign w:val="center"/>
          </w:tcPr>
          <w:p>
            <w:pPr>
              <w:pStyle w:val="TableContents"/>
              <w:bidi w:val="0"/>
              <w:spacing w:before="0" w:after="283"/>
              <w:jc w:val="left"/>
              <w:rPr/>
            </w:pPr>
            <w:r>
              <w:rPr/>
              <w:t>Access</w:t>
            </w:r>
          </w:p>
        </w:tc>
        <w:tc>
          <w:tcPr>
            <w:tcW w:w="276" w:type="dxa"/>
            <w:tcBorders/>
            <w:vAlign w:val="center"/>
          </w:tcPr>
          <w:p>
            <w:pPr>
              <w:pStyle w:val="TableContents"/>
              <w:bidi w:val="0"/>
              <w:spacing w:before="0" w:after="283"/>
              <w:jc w:val="right"/>
              <w:rPr/>
            </w:pPr>
            <w:r>
              <w:rPr/>
              <w:t>42</w:t>
            </w:r>
          </w:p>
        </w:tc>
      </w:tr>
      <w:tr>
        <w:trPr/>
        <w:tc>
          <w:tcPr>
            <w:tcW w:w="805" w:type="dxa"/>
            <w:tcBorders/>
            <w:vAlign w:val="center"/>
          </w:tcPr>
          <w:p>
            <w:pPr>
              <w:pStyle w:val="TableContents"/>
              <w:bidi w:val="0"/>
              <w:spacing w:before="0" w:after="283"/>
              <w:jc w:val="left"/>
              <w:rPr/>
            </w:pPr>
            <w:r>
              <w:rPr/>
              <w:t>4.2   </w:t>
            </w:r>
          </w:p>
        </w:tc>
        <w:tc>
          <w:tcPr>
            <w:tcW w:w="9124" w:type="dxa"/>
            <w:tcBorders/>
            <w:vAlign w:val="center"/>
          </w:tcPr>
          <w:p>
            <w:pPr>
              <w:pStyle w:val="TableContents"/>
              <w:bidi w:val="0"/>
              <w:spacing w:before="0" w:after="283"/>
              <w:jc w:val="left"/>
              <w:rPr/>
            </w:pPr>
            <w:r>
              <w:rPr/>
              <w:t>Interim Operations</w:t>
            </w:r>
          </w:p>
        </w:tc>
        <w:tc>
          <w:tcPr>
            <w:tcW w:w="276" w:type="dxa"/>
            <w:tcBorders/>
            <w:vAlign w:val="center"/>
          </w:tcPr>
          <w:p>
            <w:pPr>
              <w:pStyle w:val="TableContents"/>
              <w:bidi w:val="0"/>
              <w:spacing w:before="0" w:after="283"/>
              <w:jc w:val="right"/>
              <w:rPr/>
            </w:pPr>
            <w:r>
              <w:rPr/>
              <w:t>43</w:t>
            </w:r>
          </w:p>
        </w:tc>
      </w:tr>
      <w:tr>
        <w:trPr/>
        <w:tc>
          <w:tcPr>
            <w:tcW w:w="805" w:type="dxa"/>
            <w:tcBorders/>
            <w:vAlign w:val="center"/>
          </w:tcPr>
          <w:p>
            <w:pPr>
              <w:pStyle w:val="TableContents"/>
              <w:bidi w:val="0"/>
              <w:spacing w:before="0" w:after="283"/>
              <w:jc w:val="left"/>
              <w:rPr/>
            </w:pPr>
            <w:r>
              <w:rPr/>
              <w:t>4.3   </w:t>
            </w:r>
          </w:p>
        </w:tc>
        <w:tc>
          <w:tcPr>
            <w:tcW w:w="9124" w:type="dxa"/>
            <w:tcBorders/>
            <w:vAlign w:val="center"/>
          </w:tcPr>
          <w:p>
            <w:pPr>
              <w:pStyle w:val="TableContents"/>
              <w:bidi w:val="0"/>
              <w:spacing w:before="0" w:after="283"/>
              <w:jc w:val="left"/>
              <w:rPr/>
            </w:pPr>
            <w:r>
              <w:rPr/>
              <w:t>Company No Solicitation</w:t>
            </w:r>
          </w:p>
        </w:tc>
        <w:tc>
          <w:tcPr>
            <w:tcW w:w="276" w:type="dxa"/>
            <w:tcBorders/>
            <w:vAlign w:val="center"/>
          </w:tcPr>
          <w:p>
            <w:pPr>
              <w:pStyle w:val="TableContents"/>
              <w:bidi w:val="0"/>
              <w:spacing w:before="0" w:after="283"/>
              <w:jc w:val="right"/>
              <w:rPr/>
            </w:pPr>
            <w:r>
              <w:rPr/>
              <w:t>50</w:t>
            </w:r>
          </w:p>
        </w:tc>
      </w:tr>
      <w:tr>
        <w:trPr/>
        <w:tc>
          <w:tcPr>
            <w:tcW w:w="805" w:type="dxa"/>
            <w:tcBorders/>
            <w:vAlign w:val="center"/>
          </w:tcPr>
          <w:p>
            <w:pPr>
              <w:pStyle w:val="TableContents"/>
              <w:bidi w:val="0"/>
              <w:spacing w:before="0" w:after="283"/>
              <w:jc w:val="left"/>
              <w:rPr/>
            </w:pPr>
            <w:r>
              <w:rPr/>
              <w:t>4.4   </w:t>
            </w:r>
          </w:p>
        </w:tc>
        <w:tc>
          <w:tcPr>
            <w:tcW w:w="9124" w:type="dxa"/>
            <w:tcBorders/>
            <w:vAlign w:val="center"/>
          </w:tcPr>
          <w:p>
            <w:pPr>
              <w:pStyle w:val="TableContents"/>
              <w:bidi w:val="0"/>
              <w:spacing w:before="0" w:after="283"/>
              <w:jc w:val="left"/>
              <w:rPr/>
            </w:pPr>
            <w:r>
              <w:rPr/>
              <w:t>Proxy Statement</w:t>
            </w:r>
          </w:p>
        </w:tc>
        <w:tc>
          <w:tcPr>
            <w:tcW w:w="276" w:type="dxa"/>
            <w:tcBorders/>
            <w:vAlign w:val="center"/>
          </w:tcPr>
          <w:p>
            <w:pPr>
              <w:pStyle w:val="TableContents"/>
              <w:bidi w:val="0"/>
              <w:spacing w:before="0" w:after="283"/>
              <w:jc w:val="right"/>
              <w:rPr/>
            </w:pPr>
            <w:r>
              <w:rPr/>
              <w:t>53</w:t>
            </w:r>
          </w:p>
        </w:tc>
      </w:tr>
      <w:tr>
        <w:trPr/>
        <w:tc>
          <w:tcPr>
            <w:tcW w:w="805" w:type="dxa"/>
            <w:tcBorders/>
            <w:vAlign w:val="center"/>
          </w:tcPr>
          <w:p>
            <w:pPr>
              <w:pStyle w:val="TableContents"/>
              <w:bidi w:val="0"/>
              <w:spacing w:before="0" w:after="283"/>
              <w:jc w:val="left"/>
              <w:rPr/>
            </w:pPr>
            <w:r>
              <w:rPr/>
              <w:t>4.5   </w:t>
            </w:r>
          </w:p>
        </w:tc>
        <w:tc>
          <w:tcPr>
            <w:tcW w:w="9124" w:type="dxa"/>
            <w:tcBorders/>
            <w:vAlign w:val="center"/>
          </w:tcPr>
          <w:p>
            <w:pPr>
              <w:pStyle w:val="TableContents"/>
              <w:bidi w:val="0"/>
              <w:spacing w:before="0" w:after="283"/>
              <w:jc w:val="left"/>
              <w:rPr/>
            </w:pPr>
            <w:r>
              <w:rPr/>
              <w:t>Meeting of Company’s Stockholders; Company Change in Recommendation</w:t>
            </w:r>
          </w:p>
        </w:tc>
        <w:tc>
          <w:tcPr>
            <w:tcW w:w="276" w:type="dxa"/>
            <w:tcBorders/>
            <w:vAlign w:val="center"/>
          </w:tcPr>
          <w:p>
            <w:pPr>
              <w:pStyle w:val="TableContents"/>
              <w:bidi w:val="0"/>
              <w:spacing w:before="0" w:after="283"/>
              <w:jc w:val="right"/>
              <w:rPr/>
            </w:pPr>
            <w:r>
              <w:rPr/>
              <w:t>54</w:t>
            </w:r>
          </w:p>
        </w:tc>
      </w:tr>
      <w:tr>
        <w:trPr/>
        <w:tc>
          <w:tcPr>
            <w:tcW w:w="805" w:type="dxa"/>
            <w:tcBorders/>
            <w:vAlign w:val="center"/>
          </w:tcPr>
          <w:p>
            <w:pPr>
              <w:pStyle w:val="TableContents"/>
              <w:bidi w:val="0"/>
              <w:spacing w:before="0" w:after="283"/>
              <w:jc w:val="left"/>
              <w:rPr/>
            </w:pPr>
            <w:r>
              <w:rPr/>
              <w:t>4.6   </w:t>
            </w:r>
          </w:p>
        </w:tc>
        <w:tc>
          <w:tcPr>
            <w:tcW w:w="9124" w:type="dxa"/>
            <w:tcBorders/>
            <w:vAlign w:val="center"/>
          </w:tcPr>
          <w:p>
            <w:pPr>
              <w:pStyle w:val="TableContents"/>
              <w:bidi w:val="0"/>
              <w:spacing w:before="0" w:after="283"/>
              <w:jc w:val="left"/>
              <w:rPr/>
            </w:pPr>
            <w:r>
              <w:rPr/>
              <w:t>Filings; Other Actions</w:t>
            </w:r>
          </w:p>
        </w:tc>
        <w:tc>
          <w:tcPr>
            <w:tcW w:w="276" w:type="dxa"/>
            <w:tcBorders/>
            <w:vAlign w:val="center"/>
          </w:tcPr>
          <w:p>
            <w:pPr>
              <w:pStyle w:val="TableContents"/>
              <w:bidi w:val="0"/>
              <w:spacing w:before="0" w:after="283"/>
              <w:jc w:val="right"/>
              <w:rPr/>
            </w:pPr>
            <w:r>
              <w:rPr/>
              <w:t>58</w:t>
            </w:r>
          </w:p>
        </w:tc>
      </w:tr>
      <w:tr>
        <w:trPr/>
        <w:tc>
          <w:tcPr>
            <w:tcW w:w="805" w:type="dxa"/>
            <w:tcBorders/>
            <w:vAlign w:val="center"/>
          </w:tcPr>
          <w:p>
            <w:pPr>
              <w:pStyle w:val="TableContents"/>
              <w:bidi w:val="0"/>
              <w:spacing w:before="0" w:after="283"/>
              <w:jc w:val="left"/>
              <w:rPr/>
            </w:pPr>
            <w:r>
              <w:rPr/>
              <w:t>4.7   </w:t>
            </w:r>
          </w:p>
        </w:tc>
        <w:tc>
          <w:tcPr>
            <w:tcW w:w="9124" w:type="dxa"/>
            <w:tcBorders/>
            <w:vAlign w:val="center"/>
          </w:tcPr>
          <w:p>
            <w:pPr>
              <w:pStyle w:val="TableContents"/>
              <w:bidi w:val="0"/>
              <w:spacing w:before="0" w:after="283"/>
              <w:jc w:val="left"/>
              <w:rPr/>
            </w:pPr>
            <w:r>
              <w:rPr/>
              <w:t>Merger Sub</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4.8   </w:t>
            </w:r>
          </w:p>
        </w:tc>
        <w:tc>
          <w:tcPr>
            <w:tcW w:w="9124" w:type="dxa"/>
            <w:tcBorders/>
            <w:vAlign w:val="center"/>
          </w:tcPr>
          <w:p>
            <w:pPr>
              <w:pStyle w:val="TableContents"/>
              <w:bidi w:val="0"/>
              <w:spacing w:before="0" w:after="283"/>
              <w:jc w:val="left"/>
              <w:rPr/>
            </w:pPr>
            <w:r>
              <w:rPr/>
              <w:t>Publicity; Confidentiality</w:t>
            </w:r>
          </w:p>
        </w:tc>
        <w:tc>
          <w:tcPr>
            <w:tcW w:w="276" w:type="dxa"/>
            <w:tcBorders/>
            <w:vAlign w:val="center"/>
          </w:tcPr>
          <w:p>
            <w:pPr>
              <w:pStyle w:val="TableContents"/>
              <w:bidi w:val="0"/>
              <w:spacing w:before="0" w:after="283"/>
              <w:jc w:val="right"/>
              <w:rPr/>
            </w:pPr>
            <w:r>
              <w:rPr/>
              <w:t>61</w:t>
            </w:r>
          </w:p>
        </w:tc>
      </w:tr>
      <w:tr>
        <w:trPr/>
        <w:tc>
          <w:tcPr>
            <w:tcW w:w="805" w:type="dxa"/>
            <w:tcBorders/>
            <w:vAlign w:val="center"/>
          </w:tcPr>
          <w:p>
            <w:pPr>
              <w:pStyle w:val="TableContents"/>
              <w:bidi w:val="0"/>
              <w:spacing w:before="0" w:after="283"/>
              <w:jc w:val="left"/>
              <w:rPr/>
            </w:pPr>
            <w:r>
              <w:rPr/>
              <w:t>4.9   </w:t>
            </w:r>
          </w:p>
        </w:tc>
        <w:tc>
          <w:tcPr>
            <w:tcW w:w="9124" w:type="dxa"/>
            <w:tcBorders/>
            <w:vAlign w:val="center"/>
          </w:tcPr>
          <w:p>
            <w:pPr>
              <w:pStyle w:val="TableContents"/>
              <w:bidi w:val="0"/>
              <w:spacing w:before="0" w:after="283"/>
              <w:jc w:val="left"/>
              <w:rPr/>
            </w:pPr>
            <w:r>
              <w:rPr/>
              <w:t>Company ESPP; Other Employee Benefits</w:t>
            </w:r>
          </w:p>
        </w:tc>
        <w:tc>
          <w:tcPr>
            <w:tcW w:w="276" w:type="dxa"/>
            <w:tcBorders/>
            <w:vAlign w:val="center"/>
          </w:tcPr>
          <w:p>
            <w:pPr>
              <w:pStyle w:val="TableContents"/>
              <w:bidi w:val="0"/>
              <w:spacing w:before="0" w:after="283"/>
              <w:jc w:val="right"/>
              <w:rPr/>
            </w:pPr>
            <w:r>
              <w:rPr/>
              <w:t>62</w:t>
            </w:r>
          </w:p>
        </w:tc>
      </w:tr>
      <w:tr>
        <w:trPr/>
        <w:tc>
          <w:tcPr>
            <w:tcW w:w="805" w:type="dxa"/>
            <w:tcBorders/>
            <w:vAlign w:val="center"/>
          </w:tcPr>
          <w:p>
            <w:pPr>
              <w:pStyle w:val="TableContents"/>
              <w:bidi w:val="0"/>
              <w:spacing w:before="0" w:after="283"/>
              <w:jc w:val="left"/>
              <w:rPr/>
            </w:pPr>
            <w:r>
              <w:rPr/>
              <w:t>4.10   </w:t>
            </w:r>
          </w:p>
        </w:tc>
        <w:tc>
          <w:tcPr>
            <w:tcW w:w="9124" w:type="dxa"/>
            <w:tcBorders/>
            <w:vAlign w:val="center"/>
          </w:tcPr>
          <w:p>
            <w:pPr>
              <w:pStyle w:val="TableContents"/>
              <w:bidi w:val="0"/>
              <w:spacing w:before="0" w:after="283"/>
              <w:jc w:val="left"/>
              <w:rPr/>
            </w:pPr>
            <w:r>
              <w:rPr/>
              <w:t>Indemnification; Directors’ and Officers’ Insurance</w:t>
            </w:r>
          </w:p>
        </w:tc>
        <w:tc>
          <w:tcPr>
            <w:tcW w:w="276" w:type="dxa"/>
            <w:tcBorders/>
            <w:vAlign w:val="center"/>
          </w:tcPr>
          <w:p>
            <w:pPr>
              <w:pStyle w:val="TableContents"/>
              <w:bidi w:val="0"/>
              <w:spacing w:before="0" w:after="283"/>
              <w:jc w:val="right"/>
              <w:rPr/>
            </w:pPr>
            <w:r>
              <w:rPr/>
              <w:t>66</w:t>
            </w:r>
          </w:p>
        </w:tc>
      </w:tr>
      <w:tr>
        <w:trPr/>
        <w:tc>
          <w:tcPr>
            <w:tcW w:w="805" w:type="dxa"/>
            <w:tcBorders/>
            <w:vAlign w:val="center"/>
          </w:tcPr>
          <w:p>
            <w:pPr>
              <w:pStyle w:val="TableContents"/>
              <w:bidi w:val="0"/>
              <w:spacing w:before="0" w:after="283"/>
              <w:jc w:val="left"/>
              <w:rPr/>
            </w:pPr>
            <w:r>
              <w:rPr/>
              <w:t>4.11   </w:t>
            </w:r>
          </w:p>
        </w:tc>
        <w:tc>
          <w:tcPr>
            <w:tcW w:w="9124" w:type="dxa"/>
            <w:tcBorders/>
            <w:vAlign w:val="center"/>
          </w:tcPr>
          <w:p>
            <w:pPr>
              <w:pStyle w:val="TableContents"/>
              <w:bidi w:val="0"/>
              <w:spacing w:before="0" w:after="283"/>
              <w:jc w:val="left"/>
              <w:rPr/>
            </w:pPr>
            <w:r>
              <w:rPr/>
              <w:t>Stockholder Litigation</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4.12  </w:t>
            </w:r>
          </w:p>
        </w:tc>
        <w:tc>
          <w:tcPr>
            <w:tcW w:w="9124" w:type="dxa"/>
            <w:tcBorders/>
            <w:vAlign w:val="center"/>
          </w:tcPr>
          <w:p>
            <w:pPr>
              <w:pStyle w:val="TableContents"/>
              <w:bidi w:val="0"/>
              <w:spacing w:before="0" w:after="283"/>
              <w:jc w:val="left"/>
              <w:rPr/>
            </w:pPr>
            <w:r>
              <w:rPr/>
              <w:t>Stock Exchange Delisting</w:t>
            </w:r>
          </w:p>
        </w:tc>
        <w:tc>
          <w:tcPr>
            <w:tcW w:w="276" w:type="dxa"/>
            <w:tcBorders/>
            <w:vAlign w:val="center"/>
          </w:tcPr>
          <w:p>
            <w:pPr>
              <w:pStyle w:val="TableContents"/>
              <w:bidi w:val="0"/>
              <w:spacing w:before="0" w:after="283"/>
              <w:jc w:val="right"/>
              <w:rPr/>
            </w:pPr>
            <w:r>
              <w:rPr/>
              <w:t>68</w:t>
            </w:r>
          </w:p>
        </w:tc>
      </w:tr>
      <w:tr>
        <w:trPr/>
        <w:tc>
          <w:tcPr>
            <w:tcW w:w="805" w:type="dxa"/>
            <w:tcBorders/>
            <w:vAlign w:val="center"/>
          </w:tcPr>
          <w:p>
            <w:pPr>
              <w:pStyle w:val="TableContents"/>
              <w:bidi w:val="0"/>
              <w:spacing w:before="0" w:after="283"/>
              <w:jc w:val="left"/>
              <w:rPr/>
            </w:pPr>
            <w:r>
              <w:rPr/>
              <w:t>4.13   </w:t>
            </w:r>
          </w:p>
        </w:tc>
        <w:tc>
          <w:tcPr>
            <w:tcW w:w="9124" w:type="dxa"/>
            <w:tcBorders/>
            <w:vAlign w:val="center"/>
          </w:tcPr>
          <w:p>
            <w:pPr>
              <w:pStyle w:val="TableContents"/>
              <w:bidi w:val="0"/>
              <w:spacing w:before="0" w:after="283"/>
              <w:jc w:val="left"/>
              <w:rPr/>
            </w:pPr>
            <w:r>
              <w:rPr/>
              <w:t>Section 16 Matters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4.14   </w:t>
            </w:r>
          </w:p>
        </w:tc>
        <w:tc>
          <w:tcPr>
            <w:tcW w:w="9124" w:type="dxa"/>
            <w:tcBorders/>
            <w:vAlign w:val="center"/>
          </w:tcPr>
          <w:p>
            <w:pPr>
              <w:pStyle w:val="TableContents"/>
              <w:bidi w:val="0"/>
              <w:spacing w:before="0" w:after="283"/>
              <w:jc w:val="left"/>
              <w:rPr/>
            </w:pPr>
            <w:r>
              <w:rPr/>
              <w:t>Director and Officer Resignations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4.15   </w:t>
            </w:r>
          </w:p>
        </w:tc>
        <w:tc>
          <w:tcPr>
            <w:tcW w:w="9124" w:type="dxa"/>
            <w:tcBorders/>
            <w:vAlign w:val="center"/>
          </w:tcPr>
          <w:p>
            <w:pPr>
              <w:pStyle w:val="TableContents"/>
              <w:bidi w:val="0"/>
              <w:spacing w:before="0" w:after="283"/>
              <w:jc w:val="left"/>
              <w:rPr/>
            </w:pPr>
            <w:r>
              <w:rPr/>
              <w:t>Takeover Statutes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4.16   </w:t>
            </w:r>
          </w:p>
        </w:tc>
        <w:tc>
          <w:tcPr>
            <w:tcW w:w="9124" w:type="dxa"/>
            <w:tcBorders/>
            <w:vAlign w:val="center"/>
          </w:tcPr>
          <w:p>
            <w:pPr>
              <w:pStyle w:val="TableContents"/>
              <w:bidi w:val="0"/>
              <w:spacing w:before="0" w:after="283"/>
              <w:jc w:val="left"/>
              <w:rPr/>
            </w:pPr>
            <w:r>
              <w:rPr/>
              <w:t>Treatment of Company Indebtedness</w:t>
            </w:r>
          </w:p>
        </w:tc>
        <w:tc>
          <w:tcPr>
            <w:tcW w:w="276" w:type="dxa"/>
            <w:tcBorders/>
            <w:vAlign w:val="center"/>
          </w:tcPr>
          <w:p>
            <w:pPr>
              <w:pStyle w:val="TableContents"/>
              <w:bidi w:val="0"/>
              <w:spacing w:before="0" w:after="283"/>
              <w:jc w:val="right"/>
              <w:rPr/>
            </w:pPr>
            <w:r>
              <w:rPr/>
              <w:t>69</w:t>
            </w:r>
          </w:p>
        </w:tc>
      </w:tr>
      <w:tr>
        <w:trPr/>
        <w:tc>
          <w:tcPr>
            <w:tcW w:w="805" w:type="dxa"/>
            <w:tcBorders/>
            <w:vAlign w:val="center"/>
          </w:tcPr>
          <w:p>
            <w:pPr>
              <w:pStyle w:val="TableContents"/>
              <w:bidi w:val="0"/>
              <w:spacing w:before="0" w:after="283"/>
              <w:jc w:val="left"/>
              <w:rPr/>
            </w:pPr>
            <w:r>
              <w:rPr/>
              <w:t>4.17   </w:t>
            </w:r>
          </w:p>
        </w:tc>
        <w:tc>
          <w:tcPr>
            <w:tcW w:w="9124" w:type="dxa"/>
            <w:tcBorders/>
            <w:vAlign w:val="center"/>
          </w:tcPr>
          <w:p>
            <w:pPr>
              <w:pStyle w:val="TableContents"/>
              <w:bidi w:val="0"/>
              <w:spacing w:before="0" w:after="283"/>
              <w:jc w:val="left"/>
              <w:rPr/>
            </w:pPr>
            <w:r>
              <w:rPr/>
              <w:t>Financing Cooperation</w:t>
            </w:r>
          </w:p>
        </w:tc>
        <w:tc>
          <w:tcPr>
            <w:tcW w:w="276" w:type="dxa"/>
            <w:tcBorders/>
            <w:vAlign w:val="center"/>
          </w:tcPr>
          <w:p>
            <w:pPr>
              <w:pStyle w:val="TableContents"/>
              <w:bidi w:val="0"/>
              <w:spacing w:before="0" w:after="283"/>
              <w:jc w:val="right"/>
              <w:rPr/>
            </w:pPr>
            <w:r>
              <w:rPr/>
              <w:t>71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8915"/>
        <w:gridCol w:w="276"/>
      </w:tblGrid>
      <w:tr>
        <w:trPr/>
        <w:tc>
          <w:tcPr>
            <w:tcW w:w="1014" w:type="dxa"/>
            <w:tcBorders/>
            <w:vAlign w:val="center"/>
          </w:tcPr>
          <w:p>
            <w:pPr>
              <w:pStyle w:val="TableContents"/>
              <w:bidi w:val="0"/>
              <w:spacing w:before="0" w:after="283"/>
              <w:jc w:val="left"/>
              <w:rPr/>
            </w:pPr>
            <w:r>
              <w:rPr/>
              <w:t>4.18   </w:t>
            </w:r>
          </w:p>
        </w:tc>
        <w:tc>
          <w:tcPr>
            <w:tcW w:w="8915" w:type="dxa"/>
            <w:tcBorders/>
            <w:vAlign w:val="center"/>
          </w:tcPr>
          <w:p>
            <w:pPr>
              <w:pStyle w:val="TableContents"/>
              <w:bidi w:val="0"/>
              <w:spacing w:before="0" w:after="283"/>
              <w:jc w:val="left"/>
              <w:rPr/>
            </w:pPr>
            <w:r>
              <w:rPr/>
              <w:t>Notification of Certain Events</w:t>
            </w:r>
          </w:p>
        </w:tc>
        <w:tc>
          <w:tcPr>
            <w:tcW w:w="276" w:type="dxa"/>
            <w:tcBorders/>
            <w:vAlign w:val="center"/>
          </w:tcPr>
          <w:p>
            <w:pPr>
              <w:pStyle w:val="TableContents"/>
              <w:bidi w:val="0"/>
              <w:spacing w:before="0" w:after="283"/>
              <w:jc w:val="right"/>
              <w:rPr/>
            </w:pPr>
            <w:r>
              <w:rPr/>
              <w:t>76</w:t>
            </w:r>
          </w:p>
        </w:tc>
      </w:tr>
      <w:tr>
        <w:trPr/>
        <w:tc>
          <w:tcPr>
            <w:tcW w:w="1014" w:type="dxa"/>
            <w:tcBorders/>
            <w:vAlign w:val="center"/>
          </w:tcPr>
          <w:p>
            <w:pPr>
              <w:pStyle w:val="TableContents"/>
              <w:bidi w:val="0"/>
              <w:spacing w:before="0" w:after="283"/>
              <w:jc w:val="left"/>
              <w:rPr/>
            </w:pPr>
            <w:r>
              <w:rPr/>
              <w:t>4.19   </w:t>
            </w:r>
          </w:p>
        </w:tc>
        <w:tc>
          <w:tcPr>
            <w:tcW w:w="8915" w:type="dxa"/>
            <w:tcBorders/>
            <w:vAlign w:val="center"/>
          </w:tcPr>
          <w:p>
            <w:pPr>
              <w:pStyle w:val="TableContents"/>
              <w:bidi w:val="0"/>
              <w:spacing w:before="0" w:after="283"/>
              <w:jc w:val="left"/>
              <w:rPr/>
            </w:pPr>
            <w:r>
              <w:rPr/>
              <w:t>Financing</w:t>
            </w:r>
          </w:p>
        </w:tc>
        <w:tc>
          <w:tcPr>
            <w:tcW w:w="276" w:type="dxa"/>
            <w:tcBorders/>
            <w:vAlign w:val="center"/>
          </w:tcPr>
          <w:p>
            <w:pPr>
              <w:pStyle w:val="TableContents"/>
              <w:bidi w:val="0"/>
              <w:spacing w:before="0" w:after="283"/>
              <w:jc w:val="right"/>
              <w:rPr/>
            </w:pPr>
            <w:r>
              <w:rPr/>
              <w:t>77</w:t>
            </w:r>
          </w:p>
        </w:tc>
      </w:tr>
      <w:tr>
        <w:trPr/>
        <w:tc>
          <w:tcPr>
            <w:tcW w:w="9929" w:type="dxa"/>
            <w:gridSpan w:val="2"/>
            <w:tcBorders/>
            <w:vAlign w:val="center"/>
          </w:tcPr>
          <w:p>
            <w:pPr>
              <w:pStyle w:val="TableContents"/>
              <w:bidi w:val="0"/>
              <w:spacing w:before="0" w:after="283"/>
              <w:jc w:val="left"/>
              <w:rPr>
                <w:b/>
              </w:rPr>
            </w:pPr>
            <w:r>
              <w:rPr>
                <w:b/>
              </w:rPr>
              <w:t>ARTICLE V. CONDITIONS TO EACH PARTY’S OBLIGATION TO EFFECT THE MERGER</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5.1   </w:t>
            </w:r>
          </w:p>
        </w:tc>
        <w:tc>
          <w:tcPr>
            <w:tcW w:w="8915" w:type="dxa"/>
            <w:tcBorders/>
            <w:vAlign w:val="center"/>
          </w:tcPr>
          <w:p>
            <w:pPr>
              <w:pStyle w:val="TableContents"/>
              <w:bidi w:val="0"/>
              <w:spacing w:before="0" w:after="283"/>
              <w:jc w:val="left"/>
              <w:rPr/>
            </w:pPr>
            <w:r>
              <w:rPr/>
              <w:t>Conditions Precedent to Each Party’s Obligations</w:t>
            </w:r>
          </w:p>
        </w:tc>
        <w:tc>
          <w:tcPr>
            <w:tcW w:w="276" w:type="dxa"/>
            <w:tcBorders/>
            <w:vAlign w:val="center"/>
          </w:tcPr>
          <w:p>
            <w:pPr>
              <w:pStyle w:val="TableContents"/>
              <w:bidi w:val="0"/>
              <w:spacing w:before="0" w:after="283"/>
              <w:jc w:val="right"/>
              <w:rPr/>
            </w:pPr>
            <w:r>
              <w:rPr/>
              <w:t>79</w:t>
            </w:r>
          </w:p>
        </w:tc>
      </w:tr>
      <w:tr>
        <w:trPr/>
        <w:tc>
          <w:tcPr>
            <w:tcW w:w="1014" w:type="dxa"/>
            <w:tcBorders/>
            <w:vAlign w:val="center"/>
          </w:tcPr>
          <w:p>
            <w:pPr>
              <w:pStyle w:val="TableContents"/>
              <w:bidi w:val="0"/>
              <w:spacing w:before="0" w:after="283"/>
              <w:jc w:val="left"/>
              <w:rPr/>
            </w:pPr>
            <w:r>
              <w:rPr/>
              <w:t>5.2   </w:t>
            </w:r>
          </w:p>
        </w:tc>
        <w:tc>
          <w:tcPr>
            <w:tcW w:w="8915" w:type="dxa"/>
            <w:tcBorders/>
            <w:vAlign w:val="center"/>
          </w:tcPr>
          <w:p>
            <w:pPr>
              <w:pStyle w:val="TableContents"/>
              <w:bidi w:val="0"/>
              <w:spacing w:before="0" w:after="283"/>
              <w:jc w:val="left"/>
              <w:rPr/>
            </w:pPr>
            <w:r>
              <w:rPr/>
              <w:t>Additional Conditions Precedent to Parent’s Obligations</w:t>
            </w:r>
          </w:p>
        </w:tc>
        <w:tc>
          <w:tcPr>
            <w:tcW w:w="276" w:type="dxa"/>
            <w:tcBorders/>
            <w:vAlign w:val="center"/>
          </w:tcPr>
          <w:p>
            <w:pPr>
              <w:pStyle w:val="TableContents"/>
              <w:bidi w:val="0"/>
              <w:spacing w:before="0" w:after="283"/>
              <w:jc w:val="right"/>
              <w:rPr/>
            </w:pPr>
            <w:r>
              <w:rPr/>
              <w:t>80</w:t>
            </w:r>
          </w:p>
        </w:tc>
      </w:tr>
      <w:tr>
        <w:trPr/>
        <w:tc>
          <w:tcPr>
            <w:tcW w:w="1014" w:type="dxa"/>
            <w:tcBorders/>
            <w:vAlign w:val="center"/>
          </w:tcPr>
          <w:p>
            <w:pPr>
              <w:pStyle w:val="TableContents"/>
              <w:bidi w:val="0"/>
              <w:spacing w:before="0" w:after="283"/>
              <w:jc w:val="left"/>
              <w:rPr/>
            </w:pPr>
            <w:r>
              <w:rPr/>
              <w:t>5.3   </w:t>
            </w:r>
          </w:p>
        </w:tc>
        <w:tc>
          <w:tcPr>
            <w:tcW w:w="8915" w:type="dxa"/>
            <w:tcBorders/>
            <w:vAlign w:val="center"/>
          </w:tcPr>
          <w:p>
            <w:pPr>
              <w:pStyle w:val="TableContents"/>
              <w:bidi w:val="0"/>
              <w:spacing w:before="0" w:after="283"/>
              <w:jc w:val="left"/>
              <w:rPr/>
            </w:pPr>
            <w:r>
              <w:rPr/>
              <w:t>Additional Conditions Precedent to Company’s Obligations</w:t>
            </w:r>
          </w:p>
        </w:tc>
        <w:tc>
          <w:tcPr>
            <w:tcW w:w="276" w:type="dxa"/>
            <w:tcBorders/>
            <w:vAlign w:val="center"/>
          </w:tcPr>
          <w:p>
            <w:pPr>
              <w:pStyle w:val="TableContents"/>
              <w:bidi w:val="0"/>
              <w:spacing w:before="0" w:after="283"/>
              <w:jc w:val="right"/>
              <w:rPr/>
            </w:pPr>
            <w:r>
              <w:rPr/>
              <w:t>81</w:t>
            </w:r>
          </w:p>
        </w:tc>
      </w:tr>
      <w:tr>
        <w:trPr/>
        <w:tc>
          <w:tcPr>
            <w:tcW w:w="9929" w:type="dxa"/>
            <w:gridSpan w:val="2"/>
            <w:tcBorders/>
            <w:vAlign w:val="center"/>
          </w:tcPr>
          <w:p>
            <w:pPr>
              <w:pStyle w:val="TableContents"/>
              <w:bidi w:val="0"/>
              <w:spacing w:before="0" w:after="283"/>
              <w:jc w:val="left"/>
              <w:rPr>
                <w:b/>
              </w:rPr>
            </w:pPr>
            <w:r>
              <w:rPr>
                <w:b/>
              </w:rPr>
              <w:t>ARTICLE VI. 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6.1   </w:t>
            </w:r>
          </w:p>
        </w:tc>
        <w:tc>
          <w:tcPr>
            <w:tcW w:w="8915" w:type="dxa"/>
            <w:tcBorders/>
            <w:vAlign w:val="center"/>
          </w:tcPr>
          <w:p>
            <w:pPr>
              <w:pStyle w:val="TableContents"/>
              <w:bidi w:val="0"/>
              <w:spacing w:before="0" w:after="283"/>
              <w:jc w:val="left"/>
              <w:rPr/>
            </w:pPr>
            <w:r>
              <w:rPr/>
              <w:t>Termination</w:t>
            </w:r>
          </w:p>
        </w:tc>
        <w:tc>
          <w:tcPr>
            <w:tcW w:w="276" w:type="dxa"/>
            <w:tcBorders/>
            <w:vAlign w:val="center"/>
          </w:tcPr>
          <w:p>
            <w:pPr>
              <w:pStyle w:val="TableContents"/>
              <w:bidi w:val="0"/>
              <w:spacing w:before="0" w:after="283"/>
              <w:jc w:val="right"/>
              <w:rPr/>
            </w:pPr>
            <w:r>
              <w:rPr/>
              <w:t>82</w:t>
            </w:r>
          </w:p>
        </w:tc>
      </w:tr>
      <w:tr>
        <w:trPr/>
        <w:tc>
          <w:tcPr>
            <w:tcW w:w="1014" w:type="dxa"/>
            <w:tcBorders/>
            <w:vAlign w:val="center"/>
          </w:tcPr>
          <w:p>
            <w:pPr>
              <w:pStyle w:val="TableContents"/>
              <w:bidi w:val="0"/>
              <w:spacing w:before="0" w:after="283"/>
              <w:jc w:val="left"/>
              <w:rPr/>
            </w:pPr>
            <w:r>
              <w:rPr/>
              <w:t>6.2   </w:t>
            </w:r>
          </w:p>
        </w:tc>
        <w:tc>
          <w:tcPr>
            <w:tcW w:w="8915" w:type="dxa"/>
            <w:tcBorders/>
            <w:vAlign w:val="center"/>
          </w:tcPr>
          <w:p>
            <w:pPr>
              <w:pStyle w:val="TableContents"/>
              <w:bidi w:val="0"/>
              <w:spacing w:before="0" w:after="283"/>
              <w:jc w:val="left"/>
              <w:rPr/>
            </w:pPr>
            <w:r>
              <w:rPr/>
              <w:t>Effect of Termination</w:t>
            </w:r>
          </w:p>
        </w:tc>
        <w:tc>
          <w:tcPr>
            <w:tcW w:w="276" w:type="dxa"/>
            <w:tcBorders/>
            <w:vAlign w:val="center"/>
          </w:tcPr>
          <w:p>
            <w:pPr>
              <w:pStyle w:val="TableContents"/>
              <w:bidi w:val="0"/>
              <w:spacing w:before="0" w:after="283"/>
              <w:jc w:val="right"/>
              <w:rPr/>
            </w:pPr>
            <w:r>
              <w:rPr/>
              <w:t>84</w:t>
            </w:r>
          </w:p>
        </w:tc>
      </w:tr>
      <w:tr>
        <w:trPr/>
        <w:tc>
          <w:tcPr>
            <w:tcW w:w="1014" w:type="dxa"/>
            <w:tcBorders/>
            <w:vAlign w:val="center"/>
          </w:tcPr>
          <w:p>
            <w:pPr>
              <w:pStyle w:val="TableContents"/>
              <w:bidi w:val="0"/>
              <w:spacing w:before="0" w:after="283"/>
              <w:jc w:val="left"/>
              <w:rPr/>
            </w:pPr>
            <w:r>
              <w:rPr/>
              <w:t>6.3   </w:t>
            </w:r>
          </w:p>
        </w:tc>
        <w:tc>
          <w:tcPr>
            <w:tcW w:w="8915" w:type="dxa"/>
            <w:tcBorders/>
            <w:vAlign w:val="center"/>
          </w:tcPr>
          <w:p>
            <w:pPr>
              <w:pStyle w:val="TableContents"/>
              <w:bidi w:val="0"/>
              <w:spacing w:before="0" w:after="283"/>
              <w:jc w:val="left"/>
              <w:rPr/>
            </w:pPr>
            <w:r>
              <w:rPr/>
              <w:t>Termination Fees</w:t>
            </w:r>
          </w:p>
        </w:tc>
        <w:tc>
          <w:tcPr>
            <w:tcW w:w="276" w:type="dxa"/>
            <w:tcBorders/>
            <w:vAlign w:val="center"/>
          </w:tcPr>
          <w:p>
            <w:pPr>
              <w:pStyle w:val="TableContents"/>
              <w:bidi w:val="0"/>
              <w:spacing w:before="0" w:after="283"/>
              <w:jc w:val="right"/>
              <w:rPr/>
            </w:pPr>
            <w:r>
              <w:rPr/>
              <w:t>84</w:t>
            </w:r>
          </w:p>
        </w:tc>
      </w:tr>
      <w:tr>
        <w:trPr/>
        <w:tc>
          <w:tcPr>
            <w:tcW w:w="9929" w:type="dxa"/>
            <w:gridSpan w:val="2"/>
            <w:tcBorders/>
            <w:vAlign w:val="center"/>
          </w:tcPr>
          <w:p>
            <w:pPr>
              <w:pStyle w:val="TableContents"/>
              <w:bidi w:val="0"/>
              <w:spacing w:before="0" w:after="283"/>
              <w:jc w:val="left"/>
              <w:rPr>
                <w:b/>
              </w:rPr>
            </w:pPr>
            <w:r>
              <w:rPr>
                <w:b/>
              </w:rPr>
              <w:t>ARTICLE VII. MISCELLANEOUS PROVISIONS</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7.1   </w:t>
            </w:r>
          </w:p>
        </w:tc>
        <w:tc>
          <w:tcPr>
            <w:tcW w:w="8915" w:type="dxa"/>
            <w:tcBorders/>
            <w:vAlign w:val="center"/>
          </w:tcPr>
          <w:p>
            <w:pPr>
              <w:pStyle w:val="TableContents"/>
              <w:bidi w:val="0"/>
              <w:spacing w:before="0" w:after="283"/>
              <w:jc w:val="left"/>
              <w:rPr/>
            </w:pPr>
            <w:r>
              <w:rPr/>
              <w:t>Amendment</w:t>
            </w:r>
          </w:p>
        </w:tc>
        <w:tc>
          <w:tcPr>
            <w:tcW w:w="276" w:type="dxa"/>
            <w:tcBorders/>
            <w:vAlign w:val="center"/>
          </w:tcPr>
          <w:p>
            <w:pPr>
              <w:pStyle w:val="TableContents"/>
              <w:bidi w:val="0"/>
              <w:spacing w:before="0" w:after="283"/>
              <w:jc w:val="right"/>
              <w:rPr/>
            </w:pPr>
            <w:r>
              <w:rPr/>
              <w:t>86</w:t>
            </w:r>
          </w:p>
        </w:tc>
      </w:tr>
      <w:tr>
        <w:trPr/>
        <w:tc>
          <w:tcPr>
            <w:tcW w:w="1014" w:type="dxa"/>
            <w:tcBorders/>
            <w:vAlign w:val="center"/>
          </w:tcPr>
          <w:p>
            <w:pPr>
              <w:pStyle w:val="TableContents"/>
              <w:bidi w:val="0"/>
              <w:spacing w:before="0" w:after="283"/>
              <w:jc w:val="left"/>
              <w:rPr/>
            </w:pPr>
            <w:r>
              <w:rPr/>
              <w:t>7.2   </w:t>
            </w:r>
          </w:p>
        </w:tc>
        <w:tc>
          <w:tcPr>
            <w:tcW w:w="8915" w:type="dxa"/>
            <w:tcBorders/>
            <w:vAlign w:val="center"/>
          </w:tcPr>
          <w:p>
            <w:pPr>
              <w:pStyle w:val="TableContents"/>
              <w:bidi w:val="0"/>
              <w:spacing w:before="0" w:after="283"/>
              <w:jc w:val="left"/>
              <w:rPr/>
            </w:pPr>
            <w:r>
              <w:rPr/>
              <w:t>Waiver</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7.3   </w:t>
            </w:r>
          </w:p>
        </w:tc>
        <w:tc>
          <w:tcPr>
            <w:tcW w:w="8915" w:type="dxa"/>
            <w:tcBorders/>
            <w:vAlign w:val="center"/>
          </w:tcPr>
          <w:p>
            <w:pPr>
              <w:pStyle w:val="TableContents"/>
              <w:bidi w:val="0"/>
              <w:spacing w:before="0" w:after="283"/>
              <w:jc w:val="left"/>
              <w:rPr/>
            </w:pPr>
            <w:r>
              <w:rPr/>
              <w:t>No Survival of Representations and Warranties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7.4   </w:t>
            </w:r>
          </w:p>
        </w:tc>
        <w:tc>
          <w:tcPr>
            <w:tcW w:w="8915" w:type="dxa"/>
            <w:tcBorders/>
            <w:vAlign w:val="center"/>
          </w:tcPr>
          <w:p>
            <w:pPr>
              <w:pStyle w:val="TableContents"/>
              <w:bidi w:val="0"/>
              <w:spacing w:before="0" w:after="283"/>
              <w:jc w:val="left"/>
              <w:rPr/>
            </w:pPr>
            <w:r>
              <w:rPr/>
              <w:t>Entire Agreement; Non-Reliance; Third-Party Beneficiaries</w:t>
            </w:r>
          </w:p>
        </w:tc>
        <w:tc>
          <w:tcPr>
            <w:tcW w:w="276" w:type="dxa"/>
            <w:tcBorders/>
            <w:vAlign w:val="center"/>
          </w:tcPr>
          <w:p>
            <w:pPr>
              <w:pStyle w:val="TableContents"/>
              <w:bidi w:val="0"/>
              <w:spacing w:before="0" w:after="283"/>
              <w:jc w:val="right"/>
              <w:rPr/>
            </w:pPr>
            <w:r>
              <w:rPr/>
              <w:t>87</w:t>
            </w:r>
          </w:p>
        </w:tc>
      </w:tr>
      <w:tr>
        <w:trPr/>
        <w:tc>
          <w:tcPr>
            <w:tcW w:w="1014" w:type="dxa"/>
            <w:tcBorders/>
            <w:vAlign w:val="center"/>
          </w:tcPr>
          <w:p>
            <w:pPr>
              <w:pStyle w:val="TableContents"/>
              <w:bidi w:val="0"/>
              <w:spacing w:before="0" w:after="283"/>
              <w:jc w:val="left"/>
              <w:rPr/>
            </w:pPr>
            <w:r>
              <w:rPr/>
              <w:t>7.5   </w:t>
            </w:r>
          </w:p>
        </w:tc>
        <w:tc>
          <w:tcPr>
            <w:tcW w:w="8915" w:type="dxa"/>
            <w:tcBorders/>
            <w:vAlign w:val="center"/>
          </w:tcPr>
          <w:p>
            <w:pPr>
              <w:pStyle w:val="TableContents"/>
              <w:bidi w:val="0"/>
              <w:spacing w:before="0" w:after="283"/>
              <w:jc w:val="left"/>
              <w:rPr/>
            </w:pPr>
            <w:r>
              <w:rPr/>
              <w:t>Governing Law; Jurisdiction</w:t>
            </w:r>
          </w:p>
        </w:tc>
        <w:tc>
          <w:tcPr>
            <w:tcW w:w="276" w:type="dxa"/>
            <w:tcBorders/>
            <w:vAlign w:val="center"/>
          </w:tcPr>
          <w:p>
            <w:pPr>
              <w:pStyle w:val="TableContents"/>
              <w:bidi w:val="0"/>
              <w:spacing w:before="0" w:after="283"/>
              <w:jc w:val="right"/>
              <w:rPr/>
            </w:pPr>
            <w:r>
              <w:rPr/>
              <w:t>89</w:t>
            </w:r>
          </w:p>
        </w:tc>
      </w:tr>
      <w:tr>
        <w:trPr/>
        <w:tc>
          <w:tcPr>
            <w:tcW w:w="1014" w:type="dxa"/>
            <w:tcBorders/>
            <w:vAlign w:val="center"/>
          </w:tcPr>
          <w:p>
            <w:pPr>
              <w:pStyle w:val="TableContents"/>
              <w:bidi w:val="0"/>
              <w:spacing w:before="0" w:after="283"/>
              <w:jc w:val="left"/>
              <w:rPr/>
            </w:pPr>
            <w:r>
              <w:rPr/>
              <w:t>7.6   </w:t>
            </w:r>
          </w:p>
        </w:tc>
        <w:tc>
          <w:tcPr>
            <w:tcW w:w="8915" w:type="dxa"/>
            <w:tcBorders/>
            <w:vAlign w:val="center"/>
          </w:tcPr>
          <w:p>
            <w:pPr>
              <w:pStyle w:val="TableContents"/>
              <w:bidi w:val="0"/>
              <w:spacing w:before="0" w:after="283"/>
              <w:jc w:val="left"/>
              <w:rPr/>
            </w:pPr>
            <w:r>
              <w:rPr/>
              <w:t>Payment of Expenses</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7.7   </w:t>
            </w:r>
          </w:p>
        </w:tc>
        <w:tc>
          <w:tcPr>
            <w:tcW w:w="8915" w:type="dxa"/>
            <w:tcBorders/>
            <w:vAlign w:val="center"/>
          </w:tcPr>
          <w:p>
            <w:pPr>
              <w:pStyle w:val="TableContents"/>
              <w:bidi w:val="0"/>
              <w:spacing w:before="0" w:after="283"/>
              <w:jc w:val="left"/>
              <w:rPr/>
            </w:pPr>
            <w:r>
              <w:rPr/>
              <w:t>Assignability; Parties in Interest</w:t>
            </w:r>
          </w:p>
        </w:tc>
        <w:tc>
          <w:tcPr>
            <w:tcW w:w="276" w:type="dxa"/>
            <w:tcBorders/>
            <w:vAlign w:val="center"/>
          </w:tcPr>
          <w:p>
            <w:pPr>
              <w:pStyle w:val="TableContents"/>
              <w:bidi w:val="0"/>
              <w:spacing w:before="0" w:after="283"/>
              <w:jc w:val="right"/>
              <w:rPr/>
            </w:pPr>
            <w:r>
              <w:rPr/>
              <w:t>90</w:t>
            </w:r>
          </w:p>
        </w:tc>
      </w:tr>
      <w:tr>
        <w:trPr/>
        <w:tc>
          <w:tcPr>
            <w:tcW w:w="1014" w:type="dxa"/>
            <w:tcBorders/>
            <w:vAlign w:val="center"/>
          </w:tcPr>
          <w:p>
            <w:pPr>
              <w:pStyle w:val="TableContents"/>
              <w:bidi w:val="0"/>
              <w:spacing w:before="0" w:after="283"/>
              <w:jc w:val="left"/>
              <w:rPr/>
            </w:pPr>
            <w:r>
              <w:rPr/>
              <w:t>7.8   </w:t>
            </w:r>
          </w:p>
        </w:tc>
        <w:tc>
          <w:tcPr>
            <w:tcW w:w="8915" w:type="dxa"/>
            <w:tcBorders/>
            <w:vAlign w:val="center"/>
          </w:tcPr>
          <w:p>
            <w:pPr>
              <w:pStyle w:val="TableContents"/>
              <w:bidi w:val="0"/>
              <w:spacing w:before="0" w:after="283"/>
              <w:jc w:val="left"/>
              <w:rPr/>
            </w:pPr>
            <w:r>
              <w:rPr/>
              <w:t>Notices</w:t>
            </w:r>
          </w:p>
        </w:tc>
        <w:tc>
          <w:tcPr>
            <w:tcW w:w="276" w:type="dxa"/>
            <w:tcBorders/>
            <w:vAlign w:val="center"/>
          </w:tcPr>
          <w:p>
            <w:pPr>
              <w:pStyle w:val="TableContents"/>
              <w:bidi w:val="0"/>
              <w:spacing w:before="0" w:after="283"/>
              <w:jc w:val="right"/>
              <w:rPr/>
            </w:pPr>
            <w:r>
              <w:rPr/>
              <w:t>91</w:t>
            </w:r>
          </w:p>
        </w:tc>
      </w:tr>
      <w:tr>
        <w:trPr/>
        <w:tc>
          <w:tcPr>
            <w:tcW w:w="1014" w:type="dxa"/>
            <w:tcBorders/>
            <w:vAlign w:val="center"/>
          </w:tcPr>
          <w:p>
            <w:pPr>
              <w:pStyle w:val="TableContents"/>
              <w:bidi w:val="0"/>
              <w:spacing w:before="0" w:after="283"/>
              <w:jc w:val="left"/>
              <w:rPr/>
            </w:pPr>
            <w:r>
              <w:rPr/>
              <w:t>7.9   </w:t>
            </w:r>
          </w:p>
        </w:tc>
        <w:tc>
          <w:tcPr>
            <w:tcW w:w="8915" w:type="dxa"/>
            <w:tcBorders/>
            <w:vAlign w:val="center"/>
          </w:tcPr>
          <w:p>
            <w:pPr>
              <w:pStyle w:val="TableContents"/>
              <w:bidi w:val="0"/>
              <w:spacing w:before="0" w:after="283"/>
              <w:jc w:val="left"/>
              <w:rPr/>
            </w:pPr>
            <w:r>
              <w:rPr/>
              <w:t>Severability</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7.10   </w:t>
            </w:r>
          </w:p>
        </w:tc>
        <w:tc>
          <w:tcPr>
            <w:tcW w:w="8915" w:type="dxa"/>
            <w:tcBorders/>
            <w:vAlign w:val="center"/>
          </w:tcPr>
          <w:p>
            <w:pPr>
              <w:pStyle w:val="TableContents"/>
              <w:bidi w:val="0"/>
              <w:spacing w:before="0" w:after="283"/>
              <w:jc w:val="left"/>
              <w:rPr/>
            </w:pPr>
            <w:r>
              <w:rPr/>
              <w:t>Counterparts</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7.11   </w:t>
            </w:r>
          </w:p>
        </w:tc>
        <w:tc>
          <w:tcPr>
            <w:tcW w:w="8915" w:type="dxa"/>
            <w:tcBorders/>
            <w:vAlign w:val="center"/>
          </w:tcPr>
          <w:p>
            <w:pPr>
              <w:pStyle w:val="TableContents"/>
              <w:bidi w:val="0"/>
              <w:spacing w:before="0" w:after="283"/>
              <w:jc w:val="left"/>
              <w:rPr/>
            </w:pPr>
            <w:r>
              <w:rPr/>
              <w:t>Specific Performance</w:t>
            </w:r>
          </w:p>
        </w:tc>
        <w:tc>
          <w:tcPr>
            <w:tcW w:w="276" w:type="dxa"/>
            <w:tcBorders/>
            <w:vAlign w:val="center"/>
          </w:tcPr>
          <w:p>
            <w:pPr>
              <w:pStyle w:val="TableContents"/>
              <w:bidi w:val="0"/>
              <w:spacing w:before="0" w:after="283"/>
              <w:jc w:val="right"/>
              <w:rPr/>
            </w:pPr>
            <w:r>
              <w:rPr/>
              <w:t>92</w:t>
            </w:r>
          </w:p>
        </w:tc>
      </w:tr>
      <w:tr>
        <w:trPr/>
        <w:tc>
          <w:tcPr>
            <w:tcW w:w="1014" w:type="dxa"/>
            <w:tcBorders/>
            <w:vAlign w:val="center"/>
          </w:tcPr>
          <w:p>
            <w:pPr>
              <w:pStyle w:val="TableContents"/>
              <w:bidi w:val="0"/>
              <w:spacing w:before="0" w:after="283"/>
              <w:jc w:val="left"/>
              <w:rPr/>
            </w:pPr>
            <w:r>
              <w:rPr/>
              <w:t>7.12   </w:t>
            </w:r>
          </w:p>
        </w:tc>
        <w:tc>
          <w:tcPr>
            <w:tcW w:w="8915" w:type="dxa"/>
            <w:tcBorders/>
            <w:vAlign w:val="center"/>
          </w:tcPr>
          <w:p>
            <w:pPr>
              <w:pStyle w:val="TableContents"/>
              <w:bidi w:val="0"/>
              <w:spacing w:before="0" w:after="283"/>
              <w:jc w:val="left"/>
              <w:rPr/>
            </w:pPr>
            <w:r>
              <w:rPr/>
              <w:t>Disclosure Schedules</w:t>
            </w:r>
          </w:p>
        </w:tc>
        <w:tc>
          <w:tcPr>
            <w:tcW w:w="276" w:type="dxa"/>
            <w:tcBorders/>
            <w:vAlign w:val="center"/>
          </w:tcPr>
          <w:p>
            <w:pPr>
              <w:pStyle w:val="TableContents"/>
              <w:bidi w:val="0"/>
              <w:spacing w:before="0" w:after="283"/>
              <w:jc w:val="right"/>
              <w:rPr/>
            </w:pPr>
            <w:r>
              <w:rPr/>
              <w:t>93</w:t>
            </w:r>
          </w:p>
        </w:tc>
      </w:tr>
      <w:tr>
        <w:trPr/>
        <w:tc>
          <w:tcPr>
            <w:tcW w:w="1014" w:type="dxa"/>
            <w:tcBorders/>
            <w:vAlign w:val="center"/>
          </w:tcPr>
          <w:p>
            <w:pPr>
              <w:pStyle w:val="TableContents"/>
              <w:bidi w:val="0"/>
              <w:spacing w:before="0" w:after="283"/>
              <w:jc w:val="left"/>
              <w:rPr/>
            </w:pPr>
            <w:r>
              <w:rPr/>
              <w:t>7.13   </w:t>
            </w:r>
          </w:p>
        </w:tc>
        <w:tc>
          <w:tcPr>
            <w:tcW w:w="8915" w:type="dxa"/>
            <w:tcBorders/>
            <w:vAlign w:val="center"/>
          </w:tcPr>
          <w:p>
            <w:pPr>
              <w:pStyle w:val="TableContents"/>
              <w:bidi w:val="0"/>
              <w:spacing w:before="0" w:after="283"/>
              <w:jc w:val="left"/>
              <w:rPr/>
            </w:pPr>
            <w:r>
              <w:rPr/>
              <w:t>Certain Financing Provisions</w:t>
            </w:r>
          </w:p>
        </w:tc>
        <w:tc>
          <w:tcPr>
            <w:tcW w:w="276" w:type="dxa"/>
            <w:tcBorders/>
            <w:vAlign w:val="center"/>
          </w:tcPr>
          <w:p>
            <w:pPr>
              <w:pStyle w:val="TableContents"/>
              <w:bidi w:val="0"/>
              <w:spacing w:before="0" w:after="283"/>
              <w:jc w:val="right"/>
              <w:rPr/>
            </w:pPr>
            <w:r>
              <w:rPr/>
              <w:t>94</w:t>
            </w:r>
          </w:p>
        </w:tc>
      </w:tr>
      <w:tr>
        <w:trPr/>
        <w:tc>
          <w:tcPr>
            <w:tcW w:w="1014" w:type="dxa"/>
            <w:tcBorders/>
            <w:vAlign w:val="center"/>
          </w:tcPr>
          <w:p>
            <w:pPr>
              <w:pStyle w:val="TableContents"/>
              <w:bidi w:val="0"/>
              <w:spacing w:before="0" w:after="283"/>
              <w:jc w:val="left"/>
              <w:rPr/>
            </w:pPr>
            <w:r>
              <w:rPr/>
              <w:t>7.14   </w:t>
            </w:r>
          </w:p>
        </w:tc>
        <w:tc>
          <w:tcPr>
            <w:tcW w:w="8915" w:type="dxa"/>
            <w:tcBorders/>
            <w:vAlign w:val="center"/>
          </w:tcPr>
          <w:p>
            <w:pPr>
              <w:pStyle w:val="TableContents"/>
              <w:bidi w:val="0"/>
              <w:spacing w:before="0" w:after="283"/>
              <w:jc w:val="left"/>
              <w:rPr/>
            </w:pPr>
            <w:r>
              <w:rPr/>
              <w:t>Construction</w:t>
            </w:r>
          </w:p>
        </w:tc>
        <w:tc>
          <w:tcPr>
            <w:tcW w:w="276" w:type="dxa"/>
            <w:tcBorders/>
            <w:vAlign w:val="center"/>
          </w:tcPr>
          <w:p>
            <w:pPr>
              <w:pStyle w:val="TableContents"/>
              <w:bidi w:val="0"/>
              <w:spacing w:before="0" w:after="283"/>
              <w:jc w:val="right"/>
              <w:rPr/>
            </w:pPr>
            <w:r>
              <w:rPr/>
              <w:t>95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830"/>
        <w:gridCol w:w="5030"/>
      </w:tblGrid>
      <w:tr>
        <w:trPr/>
        <w:tc>
          <w:tcPr>
            <w:tcW w:w="830" w:type="dxa"/>
            <w:tcBorders/>
            <w:vAlign w:val="center"/>
          </w:tcPr>
          <w:p>
            <w:pPr>
              <w:pStyle w:val="TableContents"/>
              <w:bidi w:val="0"/>
              <w:spacing w:before="0" w:after="283"/>
              <w:jc w:val="left"/>
              <w:rPr>
                <w:sz w:val="20"/>
              </w:rPr>
            </w:pPr>
            <w:r>
              <w:rPr>
                <w:sz w:val="20"/>
              </w:rPr>
              <w:t>Exhibit A</w:t>
            </w:r>
          </w:p>
        </w:tc>
        <w:tc>
          <w:tcPr>
            <w:tcW w:w="5030" w:type="dxa"/>
            <w:tcBorders/>
            <w:vAlign w:val="center"/>
          </w:tcPr>
          <w:p>
            <w:pPr>
              <w:pStyle w:val="TableContents"/>
              <w:bidi w:val="0"/>
              <w:spacing w:before="0" w:after="283"/>
              <w:jc w:val="left"/>
              <w:rPr>
                <w:sz w:val="20"/>
              </w:rPr>
            </w:pPr>
            <w:r>
              <w:rPr>
                <w:sz w:val="20"/>
              </w:rPr>
              <w:t>Definitions</w:t>
            </w:r>
          </w:p>
        </w:tc>
      </w:tr>
      <w:tr>
        <w:trPr/>
        <w:tc>
          <w:tcPr>
            <w:tcW w:w="830" w:type="dxa"/>
            <w:tcBorders/>
            <w:vAlign w:val="center"/>
          </w:tcPr>
          <w:p>
            <w:pPr>
              <w:pStyle w:val="TableContents"/>
              <w:bidi w:val="0"/>
              <w:spacing w:before="0" w:after="283"/>
              <w:jc w:val="left"/>
              <w:rPr>
                <w:sz w:val="20"/>
              </w:rPr>
            </w:pPr>
            <w:r>
              <w:rPr>
                <w:sz w:val="20"/>
              </w:rPr>
              <w:t>Exhibit B</w:t>
            </w:r>
          </w:p>
        </w:tc>
        <w:tc>
          <w:tcPr>
            <w:tcW w:w="5030" w:type="dxa"/>
            <w:tcBorders/>
            <w:vAlign w:val="center"/>
          </w:tcPr>
          <w:p>
            <w:pPr>
              <w:pStyle w:val="TableContents"/>
              <w:bidi w:val="0"/>
              <w:spacing w:before="0" w:after="283"/>
              <w:jc w:val="left"/>
              <w:rPr>
                <w:sz w:val="20"/>
              </w:rPr>
            </w:pPr>
            <w:r>
              <w:rPr>
                <w:sz w:val="20"/>
              </w:rPr>
              <w:t>Form of Certificate of Incorporation of Surviving Corporation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iii</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AMENDED AND RESTATED AGREEMENT AND PLAN OF MERGER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AGREEMENT AND PLAN OF MERGER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October 1, 2026, by and among: ON Semiconductor Corporation, a Delaware corporation (“</w:t>
      </w:r>
      <w:r>
        <w:rPr>
          <w:rFonts w:ascii="Times New Roman;Times;Serif" w:hAnsi="Times New Roman;Times;Serif"/>
          <w:b w:val="false"/>
          <w:i w:val="false"/>
          <w:caps w:val="false"/>
          <w:smallCaps w:val="false"/>
          <w:sz w:val="20"/>
          <w:u w:val="single"/>
        </w:rPr>
        <w:t>Parent</w:t>
      </w:r>
      <w:r>
        <w:rPr>
          <w:rFonts w:ascii="Times New Roman;Times;Serif" w:hAnsi="Times New Roman;Times;Serif"/>
          <w:b w:val="false"/>
          <w:i w:val="false"/>
          <w:caps w:val="false"/>
          <w:smallCaps w:val="false"/>
          <w:sz w:val="20"/>
        </w:rPr>
        <w:t>”); Sonic Acquisition Corp., a Delaware corporation and a wholly owned subsidiary of Parent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Synaptics Incorporated,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amends and restates in its entirety that certain Agreement and Plan of Reorganization, dated as of June 25, 2026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 xml:space="preserve">”), by and among Parent, Merger Sub and the Company. Certain capitalized terms used in this Agreement are defined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Pursuant to Section 7.1 of the Original Agreement, Parent, Merger Sub and the Company now desire to amend and restate the Original Agreement in its entirety on the terms and subject to the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Parent, Merger Sub and the Company desires to effect the acquisition of the Company by Parent, by means of a statutory merger of Merger Sub with and into the Company, pursuant to which the Company would survive and become a wholly owned Subsidiary of Parent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upon the terms and subject to the conditions of this Agreement and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Parent Board has unanimously (i) determined that this Agreement and the transactions contemplated by this Agreement, including the Merger, are fair to and in the best interests of Parent and its stockholders; and (ii) approved and declared advisable this Agreement and the transactions contemplated by this Agreement, including the Merger, on the terms and subject to the conditions set forth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to this Agreement, in consideration of the representations, warranties, covenants and agreements set forth herein and for other good and valuable consideration, the receipt and adequacy of which are hereby acknowledged, and intending to be legally bound,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r>
      <w:r>
        <w:rPr>
          <w:rFonts w:ascii="Times New Roman;Times;Serif" w:hAnsi="Times New Roman;Times;Serif"/>
          <w:b/>
          <w:i w:val="false"/>
          <w:caps w:val="false"/>
          <w:smallCaps w:val="false"/>
          <w:sz w:val="20"/>
          <w:u w:val="single"/>
        </w:rPr>
        <w:t>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 in the Merger and a wholly 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consummation of the Merger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5.3</w:t>
      </w:r>
      <w:r>
        <w:rPr>
          <w:rFonts w:ascii="Times New Roman;Times;Serif" w:hAnsi="Times New Roman;Times;Serif"/>
          <w:b w:val="false"/>
          <w:i w:val="false"/>
          <w:caps w:val="false"/>
          <w:smallCaps w:val="false"/>
          <w:sz w:val="20"/>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b w:val="false"/>
          <w:i w:val="false"/>
          <w:caps w:val="false"/>
          <w:smallCaps w:val="false"/>
          <w:sz w:val="20"/>
          <w:u w:val="single"/>
        </w:rPr>
        <w:t>Certificate of Merger</w:t>
      </w:r>
      <w:r>
        <w:rPr>
          <w:rFonts w:ascii="Times New Roman;Times;Serif" w:hAnsi="Times New Roman;Times;Serif"/>
          <w:b w:val="false"/>
          <w:i w:val="false"/>
          <w:caps w:val="false"/>
          <w:smallCaps w:val="false"/>
          <w:sz w:val="20"/>
        </w:rPr>
        <w:t>”) with the Secretary of State of the State of Delaware (the “</w:t>
      </w:r>
      <w:r>
        <w:rPr>
          <w:rFonts w:ascii="Times New Roman;Times;Serif" w:hAnsi="Times New Roman;Times;Serif"/>
          <w:b w:val="false"/>
          <w:i w:val="false"/>
          <w:caps w:val="false"/>
          <w:smallCaps w:val="false"/>
          <w:sz w:val="20"/>
          <w:u w:val="single"/>
        </w:rPr>
        <w:t>Delaware Secretary</w:t>
      </w:r>
      <w:r>
        <w:rPr>
          <w:rFonts w:ascii="Times New Roman;Times;Serif" w:hAnsi="Times New Roman;Times;Serif"/>
          <w:b w:val="false"/>
          <w:i w:val="false"/>
          <w:caps w:val="false"/>
          <w:smallCaps w:val="false"/>
          <w:sz w:val="20"/>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Certificate of Incorporation and Bylaws</w:t>
      </w:r>
      <w:r>
        <w:rPr>
          <w:rFonts w:ascii="Times New Roman;Times;Serif" w:hAnsi="Times New Roman;Times;Serif"/>
          <w:b w:val="false"/>
          <w:i w:val="false"/>
          <w:caps w:val="false"/>
          <w:smallCaps w:val="false"/>
          <w:sz w:val="20"/>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and subject to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Effect on Company Capital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terms and conditions of this Agreement, at the Effective Time, automatically, by virtue of the Merger and without any further action on the part of Parent, Merger Sub, the Company or any stockholder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Effect on Company Common Stock</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each share of Company Common Stock issued and outstanding immediately prior to the Effective Time (other than any Cancelled Shares and any Dissenting Shares) shall be converted into the right to receive $123.00 per share in cash, without interest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 All shares of Company Common Stock, including all uncertificated shares of Company Common Stock represented by book-entry form (“</w:t>
      </w:r>
      <w:r>
        <w:rPr>
          <w:rFonts w:ascii="Times New Roman;Times;Serif" w:hAnsi="Times New Roman;Times;Serif"/>
          <w:b w:val="false"/>
          <w:i w:val="false"/>
          <w:caps w:val="false"/>
          <w:smallCaps w:val="false"/>
          <w:sz w:val="20"/>
          <w:u w:val="single"/>
        </w:rPr>
        <w:t>Company Book-Entry Shares</w:t>
      </w:r>
      <w:r>
        <w:rPr>
          <w:rFonts w:ascii="Times New Roman;Times;Serif" w:hAnsi="Times New Roman;Times;Serif"/>
          <w:b w:val="false"/>
          <w:i w:val="false"/>
          <w:caps w:val="false"/>
          <w:smallCaps w:val="false"/>
          <w:sz w:val="20"/>
        </w:rPr>
        <w:t>”) and each certificate that, immediately prior to the Effective Time, represented any such shares of Company Common Stock (each a “</w:t>
      </w:r>
      <w:r>
        <w:rPr>
          <w:rFonts w:ascii="Times New Roman;Times;Serif" w:hAnsi="Times New Roman;Times;Serif"/>
          <w:b w:val="false"/>
          <w:i w:val="false"/>
          <w:caps w:val="false"/>
          <w:smallCaps w:val="false"/>
          <w:sz w:val="20"/>
          <w:u w:val="single"/>
        </w:rPr>
        <w:t>Company Stock Certificate</w:t>
      </w:r>
      <w:r>
        <w:rPr>
          <w:rFonts w:ascii="Times New Roman;Times;Serif" w:hAnsi="Times New Roman;Times;Serif"/>
          <w:b w:val="false"/>
          <w:i w:val="false"/>
          <w:caps w:val="false"/>
          <w:smallCaps w:val="false"/>
          <w:sz w:val="20"/>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upon the surrender of such shares of Company Common Stock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Cancellation of Company Common Stock</w:t>
      </w:r>
      <w:r>
        <w:rPr>
          <w:rFonts w:ascii="Times New Roman;Times;Serif" w:hAnsi="Times New Roman;Times;Serif"/>
          <w:b w:val="false"/>
          <w:i w:val="false"/>
          <w:caps w:val="false"/>
          <w:smallCaps w:val="false"/>
          <w:sz w:val="20"/>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or any Parent Subsidiary (including Merger Sub) immediately prior to the Effective Time, shall be cancelled and shall cease to exist (the “</w:t>
      </w:r>
      <w:r>
        <w:rPr>
          <w:rFonts w:ascii="Times New Roman;Times;Serif" w:hAnsi="Times New Roman;Times;Serif"/>
          <w:b w:val="false"/>
          <w:i w:val="false"/>
          <w:caps w:val="false"/>
          <w:smallCaps w:val="false"/>
          <w:sz w:val="20"/>
          <w:u w:val="single"/>
        </w:rPr>
        <w:t>Cancelled Shares</w:t>
      </w:r>
      <w:r>
        <w:rPr>
          <w:rFonts w:ascii="Times New Roman;Times;Serif" w:hAnsi="Times New Roman;Times;Serif"/>
          <w:b w:val="false"/>
          <w:i w:val="false"/>
          <w:caps w:val="false"/>
          <w:smallCaps w:val="false"/>
          <w:sz w:val="20"/>
        </w:rPr>
        <w:t>”), and no consideration shall be paid or payable in respect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Treatment of Equity Interests of Merger Sub</w:t>
      </w:r>
      <w:r>
        <w:rPr>
          <w:rFonts w:ascii="Times New Roman;Times;Serif" w:hAnsi="Times New Roman;Times;Serif"/>
          <w:b w:val="false"/>
          <w:i w:val="false"/>
          <w:caps w:val="false"/>
          <w:smallCaps w:val="false"/>
          <w:sz w:val="20"/>
        </w:rPr>
        <w:t>.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Equitable Adjustments</w:t>
      </w:r>
      <w:r>
        <w:rPr>
          <w:rFonts w:ascii="Times New Roman;Times;Serif" w:hAnsi="Times New Roman;Times;Serif"/>
          <w:b w:val="false"/>
          <w:i w:val="false"/>
          <w:caps w:val="false"/>
          <w:smallCaps w:val="false"/>
          <w:sz w:val="20"/>
        </w:rPr>
        <w:t xml:space="preserve">. Notwithstanding anything in this Agreement to the contrary, if, during the period from the date of this Agreement through the Effective Time, the outstanding shares of Company Common Stock are changed or converted into a different number or class or series of shares by reason of any stock split, division, combination, exchange or subdivision of shares, stock dividend (including any dividend or distribution of securities convertible into Company Common Stock), reverse stock split, consolidation of shares, reorganization, reclassification, recapitalization, or other similar transaction or similar change, or a record date with respect to any such event shall occur during such period, then the Merger Consideration (including the Conversion Ratio) and any other similarly dependent items, as the case may be, shall be adjusted, without duplication, to the extent appropriate to provide the same economic effect as contemplated by this Agreement prior to such action. Nothing in this </w:t>
      </w:r>
      <w:r>
        <w:rPr>
          <w:rFonts w:ascii="Times New Roman;Times;Serif" w:hAnsi="Times New Roman;Times;Serif"/>
          <w:b w:val="false"/>
          <w:i w:val="false"/>
          <w:caps w:val="false"/>
          <w:smallCaps w:val="false"/>
          <w:sz w:val="20"/>
          <w:u w:val="single"/>
        </w:rPr>
        <w:t>Section 1.5(c)</w:t>
      </w:r>
      <w:r>
        <w:rPr>
          <w:rFonts w:ascii="Times New Roman;Times;Serif" w:hAnsi="Times New Roman;Times;Serif"/>
          <w:b w:val="false"/>
          <w:i w:val="false"/>
          <w:caps w:val="false"/>
          <w:smallCaps w:val="false"/>
          <w:sz w:val="20"/>
        </w:rPr>
        <w:t xml:space="preserve"> shall be construed to permit the parties to take any action except to the extent consistent with, or not otherwise prohibited by, the terms of this Agreement, including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Treatment of Company Equity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Effect on Company RSUs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RSUs</w:t>
      </w:r>
      <w:r>
        <w:rPr>
          <w:rFonts w:ascii="Times New Roman;Times;Serif" w:hAnsi="Times New Roman;Times;Serif"/>
          <w:b w:val="false"/>
          <w:i w:val="false"/>
          <w:caps w:val="false"/>
          <w:smallCaps w:val="false"/>
          <w:sz w:val="20"/>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RSU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Conversion Ratio; and (B) each Company Converted RSU shall be subject to such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RSUs</w:t>
      </w:r>
      <w:r>
        <w:rPr>
          <w:rFonts w:ascii="Times New Roman;Times;Serif" w:hAnsi="Times New Roman;Times;Serif"/>
          <w:b w:val="false"/>
          <w:i w:val="false"/>
          <w:caps w:val="false"/>
          <w:smallCaps w:val="false"/>
          <w:sz w:val="20"/>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RSU</w:t>
      </w:r>
      <w:r>
        <w:rPr>
          <w:rFonts w:ascii="Times New Roman;Times;Serif" w:hAnsi="Times New Roman;Times;Serif"/>
          <w:b w:val="false"/>
          <w:i w:val="false"/>
          <w:caps w:val="false"/>
          <w:smallCaps w:val="false"/>
          <w:sz w:val="20"/>
        </w:rPr>
        <w:t>”), shall be cancelled, with the former holder of such cancelled Company Accelerated RSU becoming entitled to receive an amount of Merger Consideration equal to the product of (x) the per-share Merger Consideration multiplied by (y) the applicable number of shares of Company Common Stock subject to such Company Accelerated RSU after giving effect to any accumulated dividend equivalent rights (the “</w:t>
      </w:r>
      <w:r>
        <w:rPr>
          <w:rFonts w:ascii="Times New Roman;Times;Serif" w:hAnsi="Times New Roman;Times;Serif"/>
          <w:b w:val="false"/>
          <w:i w:val="false"/>
          <w:caps w:val="false"/>
          <w:smallCaps w:val="false"/>
          <w:sz w:val="20"/>
          <w:u w:val="single"/>
        </w:rPr>
        <w:t>Company Accelerated RSU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RSU Payment to the holder of a Company Accelerated RSU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RSU Payment shall be promptly remitted by the Surviving Corporation in cash to the applicable Governmental Entity.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Effect on Company PSUs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PSUs</w:t>
      </w:r>
      <w:r>
        <w:rPr>
          <w:rFonts w:ascii="Times New Roman;Times;Serif" w:hAnsi="Times New Roman;Times;Serif"/>
          <w:b w:val="false"/>
          <w:i w:val="false"/>
          <w:caps w:val="false"/>
          <w:smallCaps w:val="false"/>
          <w:sz w:val="20"/>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PSU</w:t>
      </w:r>
      <w:r>
        <w:rPr>
          <w:rFonts w:ascii="Times New Roman;Times;Serif" w:hAnsi="Times New Roman;Times;Serif"/>
          <w:b w:val="false"/>
          <w:i w:val="false"/>
          <w:caps w:val="false"/>
          <w:smallCaps w:val="false"/>
          <w:sz w:val="20"/>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PSUs</w:t>
      </w:r>
      <w:r>
        <w:rPr>
          <w:rFonts w:ascii="Times New Roman;Times;Serif" w:hAnsi="Times New Roman;Times;Serif"/>
          <w:b w:val="false"/>
          <w:i w:val="false"/>
          <w:caps w:val="false"/>
          <w:smallCaps w:val="false"/>
          <w:sz w:val="20"/>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PSU</w:t>
      </w:r>
      <w:r>
        <w:rPr>
          <w:rFonts w:ascii="Times New Roman;Times;Serif" w:hAnsi="Times New Roman;Times;Serif"/>
          <w:b w:val="false"/>
          <w:i w:val="false"/>
          <w:caps w:val="false"/>
          <w:smallCaps w:val="false"/>
          <w:sz w:val="20"/>
        </w:rPr>
        <w:t>”), shall be cancelled, with the former holder of such cancelled Company Accelerated PSU becoming entitled to receive an amount of Merger Consideration equal to the product of (x) the per-share Merger Consideration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b w:val="false"/>
          <w:i w:val="false"/>
          <w:caps w:val="false"/>
          <w:smallCaps w:val="false"/>
          <w:sz w:val="20"/>
          <w:u w:val="single"/>
        </w:rPr>
        <w:t>Company Accelerated PSU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PSU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 on Company MSUs</w:t>
      </w:r>
      <w:r>
        <w:rPr>
          <w:rFonts w:ascii="Times New Roman;Times;Serif" w:hAnsi="Times New Roman;Times;Serif"/>
          <w:b w:val="false"/>
          <w:i w:val="false"/>
          <w:caps w:val="false"/>
          <w:smallCaps w:val="false"/>
          <w:sz w:val="20"/>
        </w:rPr>
        <w:t>. Effective as of the Effective Time, and without any action on the part of Parent, Merger Sub, the Company or the holder thereof, other than the Company delivering any notices required pursuant to the terms of the applicable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Converted MSUs</w:t>
      </w:r>
      <w:r>
        <w:rPr>
          <w:rFonts w:ascii="Times New Roman;Times;Serif" w:hAnsi="Times New Roman;Times;Serif"/>
          <w:b w:val="false"/>
          <w:i w:val="false"/>
          <w:caps w:val="false"/>
          <w:smallCaps w:val="false"/>
          <w:sz w:val="20"/>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b w:val="false"/>
          <w:i w:val="false"/>
          <w:caps w:val="false"/>
          <w:smallCaps w:val="false"/>
          <w:sz w:val="20"/>
          <w:u w:val="single"/>
        </w:rPr>
        <w:t>Company Converted MSU</w:t>
      </w:r>
      <w:r>
        <w:rPr>
          <w:rFonts w:ascii="Times New Roman;Times;Serif" w:hAnsi="Times New Roman;Times;Serif"/>
          <w:b w:val="false"/>
          <w:i w:val="false"/>
          <w:caps w:val="false"/>
          <w:smallCaps w:val="false"/>
          <w:sz w:val="20"/>
        </w:rPr>
        <w:t>”),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Accelerated MSUs</w:t>
      </w:r>
      <w:r>
        <w:rPr>
          <w:rFonts w:ascii="Times New Roman;Times;Serif" w:hAnsi="Times New Roman;Times;Serif"/>
          <w:b w:val="false"/>
          <w:i w:val="false"/>
          <w:caps w:val="false"/>
          <w:smallCaps w:val="false"/>
          <w:sz w:val="20"/>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b w:val="false"/>
          <w:i w:val="false"/>
          <w:caps w:val="false"/>
          <w:smallCaps w:val="false"/>
          <w:sz w:val="20"/>
          <w:u w:val="single"/>
        </w:rPr>
        <w:t>Company Accelerated MSU</w:t>
      </w:r>
      <w:r>
        <w:rPr>
          <w:rFonts w:ascii="Times New Roman;Times;Serif" w:hAnsi="Times New Roman;Times;Serif"/>
          <w:b w:val="false"/>
          <w:i w:val="false"/>
          <w:caps w:val="false"/>
          <w:smallCaps w:val="false"/>
          <w:sz w:val="20"/>
        </w:rPr>
        <w:t>”), shall be cancelled, with the former holder of such cancelled Company Accelerated MSU becoming entitled to receive an amount of Merger Consideration equal to the product of (x) the per-share Merger Consideration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Company Equity Award terms, after giving effect to any accumulated dividend equivalent rights (the “</w:t>
      </w:r>
      <w:r>
        <w:rPr>
          <w:rFonts w:ascii="Times New Roman;Times;Serif" w:hAnsi="Times New Roman;Times;Serif"/>
          <w:b w:val="false"/>
          <w:i w:val="false"/>
          <w:caps w:val="false"/>
          <w:smallCaps w:val="false"/>
          <w:sz w:val="20"/>
          <w:u w:val="single"/>
        </w:rPr>
        <w:t>Company Accelerated MSU Payment</w:t>
      </w:r>
      <w:r>
        <w:rPr>
          <w:rFonts w:ascii="Times New Roman;Times;Serif" w:hAnsi="Times New Roman;Times;Serif"/>
          <w:b w:val="false"/>
          <w:i w:val="false"/>
          <w:caps w:val="false"/>
          <w:smallCaps w:val="false"/>
          <w:sz w:val="20"/>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b w:val="false"/>
          <w:i w:val="false"/>
          <w:caps w:val="false"/>
          <w:smallCaps w:val="false"/>
          <w:sz w:val="20"/>
          <w:u w:val="single"/>
        </w:rPr>
        <w:t>Section 1.9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applicable Taxes required to be withheld from the Company Accelerated MSU Payment shall be promptly remitted by the Surviving Corporation in cash to the applicable Governmental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Company Actions.</w:t>
      </w:r>
      <w:r>
        <w:rPr>
          <w:rFonts w:ascii="Times New Roman;Times;Serif" w:hAnsi="Times New Roman;Times;Serif"/>
          <w:b w:val="false"/>
          <w:i w:val="false"/>
          <w:caps w:val="false"/>
          <w:smallCaps w:val="false"/>
          <w:sz w:val="20"/>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b w:val="false"/>
          <w:i w:val="false"/>
          <w:caps w:val="false"/>
          <w:smallCaps w:val="false"/>
          <w:sz w:val="20"/>
          <w:u w:val="single"/>
        </w:rPr>
        <w:t>Section 1.6(a)(i)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1.6(b)(i)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1.6(c)(i)</w:t>
      </w:r>
      <w:r>
        <w:rPr>
          <w:rFonts w:ascii="Times New Roman;Times;Serif" w:hAnsi="Times New Roman;Times;Serif"/>
          <w:b w:val="false"/>
          <w:i w:val="false"/>
          <w:caps w:val="false"/>
          <w:smallCaps w:val="false"/>
          <w:sz w:val="20"/>
        </w:rPr>
        <w:t xml:space="preserve"> and the Agreement otherwise, shall constitute the grant by Parent of “Replacement Awards” for all purposes under the Company Equity Agreements, and neither the Company Board nor any committee thereof shall make any determination otherwise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Non-U.S. Grantees</w:t>
      </w:r>
      <w:r>
        <w:rPr>
          <w:rFonts w:ascii="Times New Roman;Times;Serif" w:hAnsi="Times New Roman;Times;Serif"/>
          <w:b w:val="false"/>
          <w:i w:val="false"/>
          <w:caps w:val="false"/>
          <w:smallCaps w:val="false"/>
          <w:sz w:val="20"/>
        </w:rPr>
        <w:t xml:space="preserve">. If the treatment of a non-U.S. grantee’s Company RSU, Company PSU or Company MSU specified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b w:val="false"/>
          <w:i w:val="false"/>
          <w:caps w:val="false"/>
          <w:smallCaps w:val="false"/>
          <w:sz w:val="20"/>
          <w:u w:val="single"/>
        </w:rPr>
        <w:t>Section 1.6</w:t>
      </w:r>
      <w:r>
        <w:rPr>
          <w:rFonts w:ascii="Times New Roman;Times;Serif" w:hAnsi="Times New Roman;Times;Serif"/>
          <w:b w:val="false"/>
          <w:i w:val="false"/>
          <w:caps w:val="false"/>
          <w:smallCaps w:val="false"/>
          <w:sz w:val="20"/>
        </w:rPr>
        <w:t xml:space="preserve"> (i.e., an amount of Merger Consideration equal to the product of (x) the per-share Merger Consideration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any such compensation provided to the holder of any such Company RSU, Company PSU or Company MSU shall be considered a “Replacement Award” for purposes of the Company Equity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Form S-8</w:t>
      </w:r>
      <w:r>
        <w:rPr>
          <w:rFonts w:ascii="Times New Roman;Times;Serif" w:hAnsi="Times New Roman;Times;Serif"/>
          <w:b w:val="false"/>
          <w:i w:val="false"/>
          <w:caps w:val="false"/>
          <w:smallCaps w:val="false"/>
          <w:sz w:val="20"/>
        </w:rPr>
        <w:t>. Parent shall take all corporate action necessary to reserve for issuance a sufficient number of shares of Parent Common Stock for delivery with respect to all Company Converted RSUs, Company Converted PSUs and Company Converted MSUs.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Exchange of Certificates and Cancellation of Book-Entry 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b w:val="false"/>
          <w:i w:val="false"/>
          <w:caps w:val="false"/>
          <w:smallCaps w:val="false"/>
          <w:sz w:val="20"/>
          <w:u w:val="single"/>
        </w:rPr>
        <w:t>Exchange Agent</w:t>
      </w:r>
      <w:r>
        <w:rPr>
          <w:rFonts w:ascii="Times New Roman;Times;Serif" w:hAnsi="Times New Roman;Times;Serif"/>
          <w:b w:val="false"/>
          <w:i w:val="false"/>
          <w:caps w:val="false"/>
          <w:smallCaps w:val="false"/>
          <w:sz w:val="20"/>
        </w:rPr>
        <w:t xml:space="preserve">”). Prior to or concurrent with the Effective Time, Parent shall cause to be deposited with the Exchange Agent cash sufficient to pay the aggregate Merger Consideration payable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The cash amounts so deposited with the Exchange Agent pursuant to this </w:t>
      </w:r>
      <w:r>
        <w:rPr>
          <w:rFonts w:ascii="Times New Roman;Times;Serif" w:hAnsi="Times New Roman;Times;Serif"/>
          <w:b w:val="false"/>
          <w:i w:val="false"/>
          <w:caps w:val="false"/>
          <w:smallCaps w:val="false"/>
          <w:sz w:val="20"/>
          <w:u w:val="single"/>
        </w:rPr>
        <w:t>Section 1.7(a)</w:t>
      </w:r>
      <w:r>
        <w:rPr>
          <w:rFonts w:ascii="Times New Roman;Times;Serif" w:hAnsi="Times New Roman;Times;Serif"/>
          <w:b w:val="false"/>
          <w:i w:val="false"/>
          <w:caps w:val="false"/>
          <w:smallCaps w:val="false"/>
          <w:sz w:val="20"/>
        </w:rPr>
        <w:t xml:space="preserve"> together with any interest or other income with respect to such cash amount, are referred to collectively as the “</w:t>
      </w:r>
      <w:r>
        <w:rPr>
          <w:rFonts w:ascii="Times New Roman;Times;Serif" w:hAnsi="Times New Roman;Times;Serif"/>
          <w:b w:val="false"/>
          <w:i w:val="false"/>
          <w:caps w:val="false"/>
          <w:smallCaps w:val="false"/>
          <w:sz w:val="20"/>
          <w:u w:val="single"/>
        </w:rPr>
        <w:t>Exchange Fund</w:t>
      </w:r>
      <w:r>
        <w:rPr>
          <w:rFonts w:ascii="Times New Roman;Times;Serif" w:hAnsi="Times New Roman;Times;Serif"/>
          <w:b w:val="false"/>
          <w:i w:val="false"/>
          <w:caps w:val="false"/>
          <w:smallCaps w:val="false"/>
          <w:sz w:val="20"/>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losses on such investments shall affect the cash payable to former holders of shares of Company Common Stock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(and Parent shall promptly deliver to the Exchange Agent cash in an amount sufficient to replenish any deficiency in the Exchange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b w:val="false"/>
          <w:i w:val="false"/>
          <w:caps w:val="false"/>
          <w:smallCaps w:val="false"/>
          <w:sz w:val="20"/>
          <w:u w:val="single"/>
        </w:rPr>
        <w:t>DTC</w:t>
      </w:r>
      <w:r>
        <w:rPr>
          <w:rFonts w:ascii="Times New Roman;Times;Serif" w:hAnsi="Times New Roman;Times;Serif"/>
          <w:b w:val="false"/>
          <w:i w:val="false"/>
          <w:caps w:val="false"/>
          <w:smallCaps w:val="false"/>
          <w:sz w:val="20"/>
        </w:rPr>
        <w:t xml:space="preserve">”) or any other similar book-entry transfer facility) whose shares of Company Common Stock were converted pursuant to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and (ii) instructions for use in effecting the surrender of Company Stock Certificates (or affidavits of loss in lieu thereof) in exchange for the Merger Consideration.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With respect to Company Book-Entry Shares held through DTC or any other similar book-entry transfer facility, the holders thereof shall be entitled to receive the Merger Consideration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In the event of a transfer of ownership of shares of Company Common Stock that is not registered in the transfer or stock records of the Company, any cash to be paid upon due surrender of the Company Stock Certificate or Company Book-Entry Share formerly representing such shares of Company Common Stock shall be paid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Times;Serif" w:hAnsi="Times New Roman;Times;Serif"/>
          <w:b w:val="false"/>
          <w:i w:val="false"/>
          <w:caps w:val="false"/>
          <w:smallCaps w:val="false"/>
          <w:sz w:val="20"/>
          <w:u w:val="single"/>
        </w:rPr>
        <w:t>Section 1.7(c)</w:t>
      </w:r>
      <w:r>
        <w:rPr>
          <w:rFonts w:ascii="Times New Roman;Times;Serif" w:hAnsi="Times New Roman;Times;Serif"/>
          <w:b w:val="false"/>
          <w:i w:val="false"/>
          <w:caps w:val="false"/>
          <w:smallCaps w:val="false"/>
          <w:sz w:val="20"/>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payable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as if such lost, stolen or destroyed Company Stock Certificate had been surrendered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that a holder of such Company Stock Certificate or Company Book-Entry Share has the right to receive pursuant to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such Company Stock Certificate or Company Book-Entry Share would otherwise escheat to or become property of any Governmental Entity, any such cash in respect of such Company Stock Certificate or Company Book-Entry Share shall, to the extent permitted by applicable Legal Requirements, become the property of Parent, free and clear of all claims or interests of any Person previously entitled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The Merger Consideration paid in accordance with the terms of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without interest, and (ii) the stock transfer books of the Company 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Further Action</w:t>
      </w:r>
      <w:r>
        <w:rPr>
          <w:rFonts w:ascii="Times New Roman;Times;Serif" w:hAnsi="Times New Roman;Times;Serif"/>
          <w:b w:val="false"/>
          <w:i w:val="false"/>
          <w:caps w:val="false"/>
          <w:smallCaps w:val="false"/>
          <w:sz w:val="20"/>
        </w:rPr>
        <w:t>.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Notwithstanding anything in this Agreement to the contrary, shares of Company Common Stock issued and outstanding immediately prior to the Effective Time (other than Cancelled Shares) and held by a holder who has not voted in favor of adoption of this Agreement or consented thereto in writing and who has properly exercised appraisal rights with respect to such shares in accordance with the DGCL (such shares being referred to collectively as the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after the Effective Time, such holder fails to perfect, withdraws or 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Times;Serif" w:hAnsi="Times New Roman;Times;Serif"/>
          <w:b w:val="false"/>
          <w:i w:val="false"/>
          <w:caps w:val="false"/>
          <w:smallCaps w:val="false"/>
          <w:sz w:val="20"/>
          <w:u w:val="single"/>
        </w:rPr>
        <w:t>Section 1.5(a)(i)</w:t>
      </w:r>
      <w:r>
        <w:rPr>
          <w:rFonts w:ascii="Times New Roman;Times;Serif" w:hAnsi="Times New Roman;Times;Serif"/>
          <w:b w:val="false"/>
          <w:i w:val="false"/>
          <w:caps w:val="false"/>
          <w:smallCaps w:val="false"/>
          <w:sz w:val="20"/>
        </w:rPr>
        <w:t xml:space="preserve">, without interest thereon, upon surrender of such Company Stock Certificate formerly representing such share or transfer of such Company Book-Entry Share, as the case may be, in compliance with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The Company shall provide Parent prompt written notice of any demands received by the Company for appraisal of shares of Company Common Stock in connection with the Merger,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r>
      <w:r>
        <w:rPr>
          <w:rFonts w:ascii="Times New Roman;Times;Serif" w:hAnsi="Times New Roman;Times;Serif"/>
          <w:b/>
          <w:i w:val="false"/>
          <w:caps w:val="false"/>
          <w:smallCaps w:val="false"/>
          <w:sz w:val="20"/>
          <w:u w:val="single"/>
        </w:rPr>
        <w:t>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not be applicable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2.2(d)</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2.2(e)</w:t>
      </w:r>
      <w:r>
        <w:rPr>
          <w:rFonts w:ascii="Times New Roman;Times;Serif" w:hAnsi="Times New Roman;Times;Serif"/>
          <w:b w:val="false"/>
          <w:i w:val="false"/>
          <w:caps w:val="false"/>
          <w:smallCaps w:val="false"/>
          <w:sz w:val="20"/>
        </w:rPr>
        <w:t xml:space="preserve">),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Parent prior to the execution of this Agreement (the “</w:t>
      </w:r>
      <w:r>
        <w:rPr>
          <w:rFonts w:ascii="Times New Roman;Times;Serif" w:hAnsi="Times New Roman;Times;Serif"/>
          <w:b w:val="false"/>
          <w:i w:val="false"/>
          <w:caps w:val="false"/>
          <w:smallCaps w:val="false"/>
          <w:sz w:val="20"/>
          <w:u w:val="single"/>
        </w:rPr>
        <w:t>Company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Due Organization and Good Standing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authorized capital stock of the Company consists of: (i) 120,000,000 shares of Company Common Stock, of which 39,701,387 shares were issued and outstanding as of September 30, 2026 (the “</w:t>
      </w:r>
      <w:r>
        <w:rPr>
          <w:rFonts w:ascii="Times New Roman;Times;Serif" w:hAnsi="Times New Roman;Times;Serif"/>
          <w:b w:val="false"/>
          <w:i w:val="false"/>
          <w:caps w:val="false"/>
          <w:smallCaps w:val="false"/>
          <w:sz w:val="20"/>
          <w:u w:val="single"/>
        </w:rPr>
        <w:t>Company Capitalization Date</w:t>
      </w:r>
      <w:r>
        <w:rPr>
          <w:rFonts w:ascii="Times New Roman;Times;Serif" w:hAnsi="Times New Roman;Times;Serif"/>
          <w:b w:val="false"/>
          <w:i w:val="false"/>
          <w:caps w:val="false"/>
          <w:smallCaps w:val="false"/>
          <w:sz w:val="20"/>
        </w:rPr>
        <w:t>”); and (ii) 10,000,000 shares of preferred stock, par value $0.001 per share, none of which were outstanding as of the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Company Capitalization Date: (i) no shares of Company Common Stock were subject to issuance pursuant to any outstanding options to purchase shares of Company Common Stock; (ii) 2,742,330 shares of Company Common Stock were subject to issuance pursuant to outstanding Company RSUs, including 2,551,742 Company RSUs issued under the Company Incentive Plan and 190,588 Company RSUs issued under the Company Inducement Plans; (iii) 200,420 shares of Company Common Stock were subject to issuance pursuant to outstanding Company MSUs, assuming all applicable performance conditions with respect to such Company MSUs are satisfied at target levels (and 400,840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175,566 shares of Company Common Stock were subject to issuance pursuant to outstanding Company PSUs assuming all applicable performance conditions with respect to such Company PSUs are satisfied at target levels (and 322,383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(viii) 2,562,235 shares of Company Common Stock were reserved for issuance pursuant to the available share reserves contained in the Company Incentive Plan and the Company Inducement Plans; and (ix) no other shares of capital stock or other voting securities of the Company were issued, reserved for issuance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Except as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and other than the Company Convertible Notes and the Company Convertible Note Hedge Obligations, as of the Company Capitalization Date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t>
      </w:r>
      <w:r>
        <w:rPr>
          <w:rFonts w:ascii="Times New Roman;Times;Serif" w:hAnsi="Times New Roman;Times;Serif"/>
          <w:b w:val="false"/>
          <w:i w:val="false"/>
          <w:caps w:val="false"/>
          <w:smallCaps w:val="false"/>
          <w:sz w:val="20"/>
          <w:u w:val="single"/>
        </w:rPr>
        <w:t>Significant Company Subsidiary</w:t>
      </w:r>
      <w:r>
        <w:rPr>
          <w:rFonts w:ascii="Times New Roman;Times;Serif" w:hAnsi="Times New Roman;Times;Serif"/>
          <w:b w:val="false"/>
          <w:i w:val="false"/>
          <w:caps w:val="false"/>
          <w:smallCaps w:val="false"/>
          <w:sz w:val="20"/>
        </w:rPr>
        <w:t xml:space="preserve">” shall mean those Company Subsidiaries set forth on Exhibit 21 of the Most Recent Company 10-K and any Subsidiary that is material to the Company. </w:t>
      </w:r>
      <w:r>
        <w:rPr>
          <w:rFonts w:ascii="Times New Roman;Times;Serif" w:hAnsi="Times New Roman;Times;Serif"/>
          <w:b w:val="false"/>
          <w:i w:val="false"/>
          <w:caps w:val="false"/>
          <w:smallCaps w:val="false"/>
          <w:sz w:val="20"/>
          <w:u w:val="single"/>
        </w:rPr>
        <w:t>Section 2.3(a)</w:t>
      </w:r>
      <w:r>
        <w:rPr>
          <w:rFonts w:ascii="Times New Roman;Times;Serif" w:hAnsi="Times New Roman;Times;Serif"/>
          <w:b w:val="false"/>
          <w:i w:val="false"/>
          <w:caps w:val="false"/>
          <w:smallCaps w:val="false"/>
          <w:sz w:val="20"/>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b w:val="false"/>
          <w:i w:val="false"/>
          <w:caps w:val="false"/>
          <w:smallCaps w:val="false"/>
          <w:sz w:val="20"/>
          <w:u w:val="single"/>
        </w:rPr>
        <w:t>Company Board Recommendation</w:t>
      </w:r>
      <w:r>
        <w:rPr>
          <w:rFonts w:ascii="Times New Roman;Times;Serif" w:hAnsi="Times New Roman;Times;Serif"/>
          <w:b w:val="false"/>
          <w:i w:val="false"/>
          <w:caps w:val="false"/>
          <w:smallCaps w:val="false"/>
          <w:sz w:val="20"/>
        </w:rPr>
        <w:t xml:space="preserve">”), and resolved to include the Company Board Recommendation in the Proxy Statement, subject to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4.5</w:t>
      </w:r>
      <w:r>
        <w:rPr>
          <w:rFonts w:ascii="Times New Roman;Times;Serif" w:hAnsi="Times New Roman;Times;Serif"/>
          <w:b w:val="false"/>
          <w:i w:val="false"/>
          <w:caps w:val="false"/>
          <w:smallCaps w:val="false"/>
          <w:sz w:val="20"/>
        </w:rPr>
        <w:t>.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Vote Required</w:t>
      </w:r>
      <w:r>
        <w:rPr>
          <w:rFonts w:ascii="Times New Roman;Times;Serif" w:hAnsi="Times New Roman;Times;Serif"/>
          <w:b w:val="false"/>
          <w:i w:val="false"/>
          <w:caps w:val="false"/>
          <w:smallCaps w:val="false"/>
          <w:sz w:val="20"/>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b w:val="false"/>
          <w:i w:val="false"/>
          <w:caps w:val="false"/>
          <w:smallCaps w:val="false"/>
          <w:sz w:val="20"/>
          <w:u w:val="single"/>
        </w:rPr>
        <w:t>Required Company Stockholder Vote</w:t>
      </w:r>
      <w:r>
        <w:rPr>
          <w:rFonts w:ascii="Times New Roman;Times;Serif" w:hAnsi="Times New Roman;Times;Serif"/>
          <w:b w:val="false"/>
          <w:i w:val="false"/>
          <w:caps w:val="false"/>
          <w:smallCaps w:val="false"/>
          <w:sz w:val="20"/>
        </w:rPr>
        <w:t>”)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the Company and, assuming receipt of the Required Company Stockholder Vote, the consummation by the Company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2.6(b)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Company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Company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Reports; Financial Statements; Internal Controls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b w:val="false"/>
          <w:i w:val="false"/>
          <w:caps w:val="false"/>
          <w:smallCaps w:val="false"/>
          <w:sz w:val="20"/>
          <w:u w:val="single"/>
        </w:rPr>
        <w:t>Company SEC Documents</w:t>
      </w:r>
      <w:r>
        <w:rPr>
          <w:rFonts w:ascii="Times New Roman;Times;Serif" w:hAnsi="Times New Roman;Times;Serif"/>
          <w:b w:val="false"/>
          <w:i w:val="false"/>
          <w:caps w:val="false"/>
          <w:smallCaps w:val="false"/>
          <w:sz w:val="20"/>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financial statements of the Company and its subsidiaries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Neither the Company nor any Company Subsidiary is a party to, or has a commitment to effect, enter into or create, any “off-balance sheet arrangement” (as defined in Item 303(b) of Regulation S-K under the Exchange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Since the date of the Most Recent Company Balance Sheet through the date of this Agreement, there has not been any Effect that has had, or would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b w:val="false"/>
          <w:i w:val="false"/>
          <w:caps w:val="false"/>
          <w:smallCaps w:val="false"/>
          <w:sz w:val="20"/>
          <w:u w:val="single"/>
        </w:rPr>
        <w:t>Section 4.2(a)(i)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Amendments to Organizational Documents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Liquidations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Share Splits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Acquisitions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Issuances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Asset Sales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Accounting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Taxes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Affiliate Transactions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Capital Expenditures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Settlement of Litigation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(xxiv)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Commencement of Litigation</w:t>
      </w:r>
      <w:r>
        <w:rPr>
          <w:rFonts w:ascii="Times New Roman;Times;Serif" w:hAnsi="Times New Roman;Times;Serif"/>
          <w:b w:val="false"/>
          <w:i w:val="false"/>
          <w:caps w:val="false"/>
          <w:smallCaps w:val="false"/>
          <w:sz w:val="20"/>
        </w:rPr>
        <w:t xml:space="preserve">), or, as it relates to any of the foregoing clauses, </w:t>
      </w:r>
      <w:r>
        <w:rPr>
          <w:rFonts w:ascii="Times New Roman;Times;Serif" w:hAnsi="Times New Roman;Times;Serif"/>
          <w:b w:val="false"/>
          <w:i w:val="false"/>
          <w:caps w:val="false"/>
          <w:smallCaps w:val="false"/>
          <w:sz w:val="20"/>
          <w:u w:val="single"/>
        </w:rPr>
        <w:t>(xxix)</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Restricted 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Intellectual Property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the Company IP that is Registered IP (“</w:t>
      </w:r>
      <w:r>
        <w:rPr>
          <w:rFonts w:ascii="Times New Roman;Times;Serif" w:hAnsi="Times New Roman;Times;Serif"/>
          <w:b w:val="false"/>
          <w:i w:val="false"/>
          <w:caps w:val="false"/>
          <w:smallCaps w:val="false"/>
          <w:sz w:val="20"/>
          <w:u w:val="single"/>
        </w:rPr>
        <w:t>Company Registered IP</w:t>
      </w:r>
      <w:r>
        <w:rPr>
          <w:rFonts w:ascii="Times New Roman;Times;Serif" w:hAnsi="Times New Roman;Times;Serif"/>
          <w:b w:val="false"/>
          <w:i w:val="false"/>
          <w:caps w:val="false"/>
          <w:smallCaps w:val="false"/>
          <w:sz w:val="20"/>
        </w:rPr>
        <w:t>”) (other than applications for Patents, Marks or Copyrights pending as of the date hereof), including all Company Registered IP that is currently being asserted in any infringement proceedings, is subsisting and, to the knowledge of the Company, valid and 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19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neither the Company nor any Company Subsidiary has received any funding or resources from, nor used, directly or indirectly, 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Company IT Systems or any customer’s computer and communications facilities or equipment (“</w:t>
      </w:r>
      <w:r>
        <w:rPr>
          <w:rFonts w:ascii="Times New Roman;Times;Serif" w:hAnsi="Times New Roman;Times;Serif"/>
          <w:b w:val="false"/>
          <w:i w:val="false"/>
          <w:caps w:val="false"/>
          <w:smallCaps w:val="false"/>
          <w:sz w:val="20"/>
          <w:u w:val="single"/>
        </w:rPr>
        <w:t>Harmful Code</w:t>
      </w:r>
      <w:r>
        <w:rPr>
          <w:rFonts w:ascii="Times New Roman;Times;Serif" w:hAnsi="Times New Roman;Times;Serif"/>
          <w:b w:val="false"/>
          <w:i w:val="false"/>
          <w:caps w:val="false"/>
          <w:smallCaps w:val="false"/>
          <w:sz w:val="20"/>
        </w:rPr>
        <w:t>”), and (y) the Company and the Company Subsidiaries use and have used reasonable efforts to prevent the introduction of such Harmful Code to all Software, firmware and media distributed or sold by the Company and the Company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Except as would not have, and would not reasonably be expected to have, individually or in the aggregate, a Company Material Adverse Effect, (i)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Company Subsidiary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b w:val="false"/>
          <w:i w:val="false"/>
          <w:caps w:val="false"/>
          <w:smallCaps w:val="false"/>
          <w:sz w:val="20"/>
          <w:u w:val="single"/>
        </w:rPr>
        <w:t>Company IT Systems</w:t>
      </w:r>
      <w:r>
        <w:rPr>
          <w:rFonts w:ascii="Times New Roman;Times;Serif" w:hAnsi="Times New Roman;Times;Serif"/>
          <w:b w:val="false"/>
          <w:i w:val="false"/>
          <w:caps w:val="false"/>
          <w:smallCaps w:val="false"/>
          <w:sz w:val="20"/>
        </w:rPr>
        <w:t>”) are designed, implemented, operated and maintained in accordance with customary industry standards and practices for entities operating businesses similar to the business of the Company and the Company Subsidiaries, including with respect to redundancy, reliability, 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 Company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 Company IT Systems, and (iii) there has been no failure, breakdown, loss or impairment of, or any unauthorized intrusions or breaches of the security with respect to the Company IT Systems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Title to Assets; Real Property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Neither the Company nor any Company Subsidiary owns any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Section 2.10(c)</w:t>
      </w:r>
      <w:r>
        <w:rPr>
          <w:rFonts w:ascii="Times New Roman;Times;Serif" w:hAnsi="Times New Roman;Times;Serif"/>
          <w:b w:val="false"/>
          <w:i w:val="false"/>
          <w:caps w:val="false"/>
          <w:smallCaps w:val="false"/>
          <w:sz w:val="20"/>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b w:val="false"/>
          <w:i w:val="false"/>
          <w:caps w:val="false"/>
          <w:smallCaps w:val="false"/>
          <w:sz w:val="20"/>
          <w:u w:val="single"/>
        </w:rPr>
        <w:t>Company Real Property Leases</w:t>
      </w:r>
      <w:r>
        <w:rPr>
          <w:rFonts w:ascii="Times New Roman;Times;Serif" w:hAnsi="Times New Roman;Times;Serif"/>
          <w:b w:val="false"/>
          <w:i w:val="false"/>
          <w:caps w:val="false"/>
          <w:smallCaps w:val="false"/>
          <w:sz w:val="20"/>
        </w:rPr>
        <w:t>”) under which the Company or any Company Subsidiary uses or occupies or has the right to use or occupy any real property (collectively, the “</w:t>
      </w:r>
      <w:r>
        <w:rPr>
          <w:rFonts w:ascii="Times New Roman;Times;Serif" w:hAnsi="Times New Roman;Times;Serif"/>
          <w:b w:val="false"/>
          <w:i w:val="false"/>
          <w:caps w:val="false"/>
          <w:smallCaps w:val="false"/>
          <w:sz w:val="20"/>
          <w:u w:val="single"/>
        </w:rPr>
        <w:t>Company Leased Real Property</w:t>
      </w:r>
      <w:r>
        <w:rPr>
          <w:rFonts w:ascii="Times New Roman;Times;Serif" w:hAnsi="Times New Roman;Times;Serif"/>
          <w:b w:val="false"/>
          <w:i w:val="false"/>
          <w:caps w:val="false"/>
          <w:smallCaps w:val="false"/>
          <w:sz w:val="20"/>
        </w:rPr>
        <w:t>”), and the location of each Company Leased Real Property. The Company has made available to Parent, in all material respects, complete copies of each Company Real Property Lease, including any amendments, modifications, supplements or guarantees thereof. Except as would not have, and would not reasonably be expected to have, individually or in the aggregate, a Company Material Adverse Effect, with respect to each Company Leased Real Property (i) either the Company or a Company Subsidiary has a good, valid and binding leasehold interest in such Company Leased Real Property, free and clear of all Liens (other than Company Permitted Encumbrances), (ii) the Real Property Lease for such Company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Company Leased Real Property, is in breach or default of any provision of such Real Property Lease nor has any event occurred which, with notice or the passage of time, or both, would give rise to such a default or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Company Leased Real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Company Leased Real Property, or (ii) zoning, building code or other moratorium proceedings, or similar matters which would reasonably be expected to materially and adversely affect the ability to operate any Company Leased Real Property as currently operated.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ongoing or planned alterations, renovations, additions or improvements with respect to the Company Leased Real Property by the Company or a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Contracts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contains a list as of the date of this Agreement of each of the following Contracts (other than Company Real Property Leases) to which the Company or a Company Subsidiary is a party (each such Contract (x) required to be listed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b w:val="false"/>
          <w:i w:val="false"/>
          <w:caps w:val="false"/>
          <w:smallCaps w:val="false"/>
          <w:sz w:val="20"/>
          <w:u w:val="single"/>
        </w:rPr>
        <w:t>Company Material Contract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Contracts with any distributor of the Company or any Company Subsidiary other than Contracts with any Company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joint venture agreement, partnership agreement or similar agreement with a third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Contract with any foundry, or any provider of semiconductor product assembly, testing, and manufacturing services containing any “take or pay” or minimum purchase commitments that have outstanding payment obligations of the Company or a Company Subsidiary in excess of $3,000,000;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25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each written collective bargaining or other labor or works council agreement covering employees of the Company or a Company Subsidiary, excluding any national, sector, industry or similar generally applicable contract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Company Top Customer, Company Top Supplier or Company Top Distributor that includes a price protection or rebate provision in favor of the counterparty to such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each Contract with any Company Top Customer, Company Top Distributor or Company Top Supplier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each Contract that creates any obligation under any interest rate, currency or commodity derivative or hedging transaction (other than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Contract with any Governmental Entity;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each other Contract not otherwise required to be disclosed under, or not in a category contemplated by, the foregoing clauses of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that contemplates or involves the payment or delivery of cash or other consideration, or the performance of services, by or to the Company or any Company Subsidiary in an amount or having a value in excess of $20,000,000 on an annual basis.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existing breaches or defaults on the part of the Company or any Company Subsidiary under any Company Material Contract, and, to the knowledge of the Company, there are no existing breaches or defaults on the part of any other Person under any Company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Company Material Contract intends to terminate any Company Material Contract, or (B) of any material dispute related to any Company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Company Material Contract, in each case except where, such breaches or defaults would not have, and would not reasonably be expected to have, individually or in the aggregate, a Company Material Adverse Effect. Each Company Material Contract is valid, has not been terminated prior to the date of this Agreement, is enforceable against the Company or the applicable Company Subsidiary that is a party to such Company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Company Material Contract in effect as of the date of this Agreement, together with all amendments and supplements thereto in effect as of the date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Company Products and Warranties</w:t>
      </w:r>
      <w:r>
        <w:rPr>
          <w:rFonts w:ascii="Times New Roman;Times;Serif" w:hAnsi="Times New Roman;Times;Serif"/>
          <w:b w:val="false"/>
          <w:i w:val="false"/>
          <w:caps w:val="false"/>
          <w:smallCaps w:val="false"/>
          <w:sz w:val="20"/>
        </w:rPr>
        <w:t>.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any Company Subsidiary has received warranty claims in excess of such warranty reserve. Except as would not have,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Company Top Customers; Distributors and Suppliers</w:t>
      </w:r>
      <w:r>
        <w:rPr>
          <w:rFonts w:ascii="Times New Roman;Times;Serif" w:hAnsi="Times New Roman;Times;Serif"/>
          <w:b w:val="false"/>
          <w:i w:val="false"/>
          <w:caps w:val="false"/>
          <w:smallCaps w:val="false"/>
          <w:sz w:val="20"/>
        </w:rPr>
        <w:t>.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Company Top Customer, Company Top Distributor or Company Top Supplier given to or received from any such Company Top Customer, Company Top Distributor or Company Top Supplier; (ii) none of the Company nor any of the Company Subsidiaries has any outstanding dispute with any Company Top Customer, Company Top Distributor or Company Top Supplier, and (iii) no Company Top Customer, Company Top Distributor or Company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Compliance with Legal Requirements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or verbal notice from any Governmental Entity regarding any violation by the Company or any Company Subsidiary of any Legal Requirement; or (ii) provided any notice to any Governmental Entity regarding any violation by the Company or any Company Subsidiary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b w:val="false"/>
          <w:i w:val="false"/>
          <w:caps w:val="false"/>
          <w:smallCaps w:val="false"/>
          <w:sz w:val="20"/>
          <w:u w:val="single"/>
        </w:rPr>
        <w:t>Company Permits</w:t>
      </w:r>
      <w:r>
        <w:rPr>
          <w:rFonts w:ascii="Times New Roman;Times;Serif" w:hAnsi="Times New Roman;Times;Serif"/>
          <w:b w:val="false"/>
          <w:i w:val="false"/>
          <w:caps w:val="false"/>
          <w:smallCaps w:val="false"/>
          <w:sz w:val="20"/>
        </w:rPr>
        <w:t>”)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the Company Permits.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be, and would not reasonably be expected to be, individually or in the aggregate, material to the Company and the Company Subsidiaries, taken as a whole, there is no Order outstanding against the Company or any Company Subsidiary or any of their respective assets, rights or properties.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Anti-Corruption Laws: Anti-Money Laundering Laws: Sanctions Laws: Export Control Laws</w:t>
      </w:r>
      <w:r>
        <w:rPr>
          <w:rFonts w:ascii="Times New Roman;Times;Serif" w:hAnsi="Times New Roman;Times;Serif"/>
          <w:b w:val="false"/>
          <w:i w:val="false"/>
          <w:caps w:val="false"/>
          <w:smallCaps w:val="false"/>
          <w:sz w:val="20"/>
        </w:rPr>
        <w:t>. Except as would not, and would not reasonably be expected to be, individually or in the aggregate, material to the Company and the Company Subsidiaries, taken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nor any of their respective directors, officers, employees, or, to the knowledge of Company, other Representatives, is a Prohibited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has implemented policies and procedures reasonably designed to ensure compliance with all applicable Anti-Corruption Laws, Anti-Money Laundering Laws, Sanctions Laws, and Export Control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would not have, and would not reasonably be expected to have, individually or in the aggregate, a Company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b w:val="false"/>
          <w:i w:val="false"/>
          <w:caps w:val="false"/>
          <w:smallCaps w:val="false"/>
          <w:sz w:val="20"/>
          <w:u w:val="single"/>
        </w:rPr>
        <w:t>Company Returns</w:t>
      </w:r>
      <w:r>
        <w:rPr>
          <w:rFonts w:ascii="Times New Roman;Times;Serif" w:hAnsi="Times New Roman;Times;Serif"/>
          <w:b w:val="false"/>
          <w:i w:val="false"/>
          <w:caps w:val="false"/>
          <w:smallCaps w:val="false"/>
          <w:sz w:val="20"/>
        </w:rPr>
        <w:t>”) and all such Company Returns are true, correct and complete. The Company and the Company Subsidiaries have made available to Parent true, correct and complete copies of all material Company Returns for each of the preceding three (3) taxable years.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Since January 1, 2020, no claim has been made in writing by any taxing authority in a jurisdiction where the Company or any Company Subsidiary has not filed Tax Returns of a particular type that the Company or any Company Subsidiary is or may be subject to Tax by, or required to file Tax Returns with respect to Taxes in, such jurisdiction.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or (ii) any agreement or arrangement solely between or among the Company and/or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Since January 1, 2024, neither the Company nor any Company Subsidiary has distributed stock of another Person, or has had its stock distributed by another Person, in a transaction that was purported or intended to be governed in whole or in part by Section 355(a)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Neither the Company nor any Company Subsidiary has participated in any “listed transaction” within the meaning of Treasury Regulations Section 1.6011-4(b)(2) (or any similar state, local or non-U.S. Legal Requirement).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and Company Subsidiaries have complied in all material respects with (i) the requirements of Section 482 of the Code and the Treasury Regulations thereunder (and any comparable provision of other applicable Law) and (ii) their obligations to timely and properly prepare and maintain all material documentation (including any applicable transfer pricing studies) required under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Neither the Company nor any Company Subsidiary is the beneficiary of any income or other material Tax exemption, Tax holiday or other Tax incentive agreement or order.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To the Company’s knowledge and based on the Company’s review of the Company Disclosure Schedule, the proper entity classification for U.S. federal income tax purposes that has applied to each of the Company Subsidiaries at all times since its formation is set forth on </w:t>
      </w:r>
      <w:r>
        <w:rPr>
          <w:rFonts w:ascii="Times New Roman;Times;Serif" w:hAnsi="Times New Roman;Times;Serif"/>
          <w:b w:val="false"/>
          <w:i w:val="false"/>
          <w:caps w:val="false"/>
          <w:smallCaps w:val="false"/>
          <w:sz w:val="20"/>
          <w:u w:val="single"/>
        </w:rPr>
        <w:t>Section 2.17(l)</w:t>
      </w:r>
      <w:r>
        <w:rPr>
          <w:rFonts w:ascii="Times New Roman;Times;Serif" w:hAnsi="Times New Roman;Times;Serif"/>
          <w:b w:val="false"/>
          <w:i w:val="false"/>
          <w:caps w:val="false"/>
          <w:smallCaps w:val="false"/>
          <w:sz w:val="20"/>
        </w:rPr>
        <w:t xml:space="preserve"> of the Company Disclosure Schedule. To the Company’s knowledge, no election has been filed or made or is pending to change any of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Employee Benefit Plans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Section 2.18(a)</w:t>
      </w:r>
      <w:r>
        <w:rPr>
          <w:rFonts w:ascii="Times New Roman;Times;Serif" w:hAnsi="Times New Roman;Times;Serif"/>
          <w:b w:val="false"/>
          <w:i w:val="false"/>
          <w:caps w:val="false"/>
          <w:smallCaps w:val="false"/>
          <w:sz w:val="20"/>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b w:val="false"/>
          <w:i w:val="false"/>
          <w:caps w:val="false"/>
          <w:smallCaps w:val="false"/>
          <w:sz w:val="20"/>
          <w:u w:val="single"/>
        </w:rPr>
        <w:t xml:space="preserve">Section 2.18(a) </w:t>
      </w:r>
      <w:r>
        <w:rPr>
          <w:rFonts w:ascii="Times New Roman;Times;Serif" w:hAnsi="Times New Roman;Times;Serif"/>
          <w:b w:val="false"/>
          <w:i w:val="false"/>
          <w:caps w:val="false"/>
          <w:smallCaps w:val="false"/>
          <w:sz w:val="20"/>
        </w:rPr>
        <w:t>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b w:val="false"/>
          <w:i w:val="false"/>
          <w:caps w:val="false"/>
          <w:smallCaps w:val="false"/>
          <w:sz w:val="20"/>
          <w:u w:val="single"/>
        </w:rPr>
        <w:t>Company Foreign Plan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has made available to Parent copies of, to the extent applicable: (i) the plan document for each material Company Plan (and all material amendments thereto);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of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Except as would not have, and would not reasonably be expected to have, individually or in the aggregate, a Company Material Adverse Effect, each Company Foreign Plan has been administered in compliance with its terms and operated in compliance with applicable Legal Requirements. With respect to each Company Foreign Plan, except as would not have, and would not reasonably be expected to have, individually or in the aggregate, a Company Material Adverse Effect, such Company Foreign Plan has obtained from the Governmental Entity having jurisdiction with respect to such Company Foreign Plan any required determinations, if any, that such Company Foreign Plan is in compliance with the applicable Legal Requirements of the relevant jurisdiction. Except as would not have, and would not reasonably be expected to have, individually or in the aggregate, a Company Material Adverse Effect, each Company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Company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Company Foreign Plan that is a pension plan or end of service defined benefit is funded to the extent required by the terms of such Company Foreign Plan and applicable Legal Requirements.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Labor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xml:space="preserve">. Assuming the accuracy of Parent’s representations in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Ownership of Parent Common Stock</w:t>
      </w:r>
      <w:r>
        <w:rPr>
          <w:rFonts w:ascii="Times New Roman;Times;Serif" w:hAnsi="Times New Roman;Times;Serif"/>
          <w:b w:val="false"/>
          <w:i w:val="false"/>
          <w:caps w:val="false"/>
          <w:smallCaps w:val="false"/>
          <w:sz w:val="20"/>
        </w:rPr>
        <w:t>.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Opinion of Financial Advisor</w:t>
      </w:r>
      <w:r>
        <w:rPr>
          <w:rFonts w:ascii="Times New Roman;Times;Serif" w:hAnsi="Times New Roman;Times;Serif"/>
          <w:b w:val="false"/>
          <w:i w:val="false"/>
          <w:caps w:val="false"/>
          <w:smallCaps w:val="false"/>
          <w:sz w:val="20"/>
        </w:rPr>
        <w:t>. As of September 29, 2026, the Company Board has received the opinion of Qatalyst Partners LP (the “</w:t>
      </w:r>
      <w:r>
        <w:rPr>
          <w:rFonts w:ascii="Times New Roman;Times;Serif" w:hAnsi="Times New Roman;Times;Serif"/>
          <w:b w:val="false"/>
          <w:i w:val="false"/>
          <w:caps w:val="false"/>
          <w:smallCaps w:val="false"/>
          <w:sz w:val="20"/>
          <w:u w:val="single"/>
        </w:rPr>
        <w:t>Company Financial Advisor</w:t>
      </w:r>
      <w:r>
        <w:rPr>
          <w:rFonts w:ascii="Times New Roman;Times;Serif" w:hAnsi="Times New Roman;Times;Serif"/>
          <w:b w:val="false"/>
          <w:i w:val="false"/>
          <w:caps w:val="false"/>
          <w:smallCaps w:val="false"/>
          <w:sz w:val="20"/>
        </w:rPr>
        <w:t>” and such opinion, the “</w:t>
      </w:r>
      <w:r>
        <w:rPr>
          <w:rFonts w:ascii="Times New Roman;Times;Serif" w:hAnsi="Times New Roman;Times;Serif"/>
          <w:b w:val="false"/>
          <w:i w:val="false"/>
          <w:caps w:val="false"/>
          <w:smallCaps w:val="false"/>
          <w:sz w:val="20"/>
          <w:u w:val="single"/>
        </w:rPr>
        <w:t>Company Financial Advisor Opinion</w:t>
      </w:r>
      <w:r>
        <w:rPr>
          <w:rFonts w:ascii="Times New Roman;Times;Serif" w:hAnsi="Times New Roman;Times;Serif"/>
          <w:b w:val="false"/>
          <w:i w:val="false"/>
          <w:caps w:val="false"/>
          <w:smallCaps w:val="false"/>
          <w:sz w:val="20"/>
        </w:rPr>
        <w:t>”), financial advisor to the Company, to the effect that, as of the date of such opinion and subject to the various qualifications, assumptions, limitations, and other matters set forth therein, the Merger Consideration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the Company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Proxy Statement based on information supplied by Parent for inclusion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r>
      <w:r>
        <w:rPr>
          <w:rFonts w:ascii="Times New Roman;Times;Serif" w:hAnsi="Times New Roman;Times;Serif"/>
          <w:b/>
          <w:i w:val="false"/>
          <w:caps w:val="false"/>
          <w:smallCaps w:val="false"/>
          <w:sz w:val="20"/>
          <w:u w:val="single"/>
        </w:rPr>
        <w:t>REPRESENTATIONS AND WARRANTIES OF PARENT AND MERGER SUB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and (ii) subject to </w:t>
      </w:r>
      <w:r>
        <w:rPr>
          <w:rFonts w:ascii="Times New Roman;Times;Serif" w:hAnsi="Times New Roman;Times;Serif"/>
          <w:b w:val="false"/>
          <w:i w:val="false"/>
          <w:caps w:val="false"/>
          <w:smallCaps w:val="false"/>
          <w:sz w:val="20"/>
          <w:u w:val="single"/>
        </w:rPr>
        <w:t>Section 7.12</w:t>
      </w:r>
      <w:r>
        <w:rPr>
          <w:rFonts w:ascii="Times New Roman;Times;Serif" w:hAnsi="Times New Roman;Times;Serif"/>
          <w:b w:val="false"/>
          <w:i w:val="false"/>
          <w:caps w:val="false"/>
          <w:smallCaps w:val="false"/>
          <w:sz w:val="20"/>
        </w:rPr>
        <w:t>, in the disclosure schedule delivered to the Company prior to the execution of this Agreement (the “</w:t>
      </w:r>
      <w:r>
        <w:rPr>
          <w:rFonts w:ascii="Times New Roman;Times;Serif" w:hAnsi="Times New Roman;Times;Serif"/>
          <w:b w:val="false"/>
          <w:i w:val="false"/>
          <w:caps w:val="false"/>
          <w:smallCaps w:val="false"/>
          <w:sz w:val="20"/>
          <w:u w:val="single"/>
        </w:rPr>
        <w:t>Parent Disclosure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Due Organization and Good 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Authority; Binding Nature of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Assuming the accuracy of the representations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the compliance by the Company with its obligations under </w:t>
      </w:r>
      <w:r>
        <w:rPr>
          <w:rFonts w:ascii="Times New Roman;Times;Serif" w:hAnsi="Times New Roman;Times;Serif"/>
          <w:b w:val="false"/>
          <w:i w:val="false"/>
          <w:caps w:val="false"/>
          <w:smallCaps w:val="false"/>
          <w:sz w:val="20"/>
          <w:u w:val="single"/>
        </w:rPr>
        <w:t xml:space="preserve">Section 4.2(a) </w:t>
      </w:r>
      <w:r>
        <w:rPr>
          <w:rFonts w:ascii="Times New Roman;Times;Serif" w:hAnsi="Times New Roman;Times;Serif"/>
          <w:b w:val="false"/>
          <w:i w:val="false"/>
          <w:caps w:val="false"/>
          <w:smallCaps w:val="false"/>
          <w:sz w:val="20"/>
        </w:rPr>
        <w:t>(to the extent non-compliance impacts or contributes to the inaccuracy of the following representation), no vote of the holders of shares of Parent Common Stock is necessary to approve this Agreement, the Merger or the other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Merger Sub was formed solely for the purpose of entering into the transactions contemplated by this Agreement (including prior to the amendments provided herein)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as the sole stockholder of Merger Sub, will execute and deliver a written consent to adopt this Agreement promptly after the execution and delivery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Non-Contravention;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execution and delivery of this Agreement by Parent and the consummation by Parent of the Merger will not: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cause a violation of any of the provisions of the Organizational Documents of Parent or any Significant Parent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assuming the consents and filings referred to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except, in the cases of </w:t>
      </w:r>
      <w:r>
        <w:rPr>
          <w:rFonts w:ascii="Times New Roman;Times;Serif" w:hAnsi="Times New Roman;Times;Serif"/>
          <w:b w:val="false"/>
          <w:i w:val="false"/>
          <w:caps w:val="false"/>
          <w:smallCaps w:val="false"/>
          <w:sz w:val="20"/>
          <w:u w:val="single"/>
        </w:rPr>
        <w:t>clauses (ii)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as would not have, and would not reasonably be expected to have, individually or in the aggregate, a Parent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Legal Proceedings; Investigations; Orders</w:t>
      </w:r>
      <w:r>
        <w:rPr>
          <w:rFonts w:ascii="Times New Roman;Times;Serif" w:hAnsi="Times New Roman;Times;Serif"/>
          <w:b w:val="false"/>
          <w:i w:val="false"/>
          <w:caps w:val="false"/>
          <w:smallCaps w:val="false"/>
          <w:sz w:val="20"/>
        </w:rPr>
        <w:t>.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Ownership of Company Common Stock</w:t>
      </w:r>
      <w:r>
        <w:rPr>
          <w:rFonts w:ascii="Times New Roman;Times;Serif" w:hAnsi="Times New Roman;Times;Serif"/>
          <w:b w:val="false"/>
          <w:i w:val="false"/>
          <w:caps w:val="false"/>
          <w:smallCaps w:val="false"/>
          <w:sz w:val="20"/>
        </w:rPr>
        <w:t>.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Brokers</w:t>
      </w:r>
      <w:r>
        <w:rPr>
          <w:rFonts w:ascii="Times New Roman;Times;Serif" w:hAnsi="Times New Roman;Times;Serif"/>
          <w:b w:val="false"/>
          <w:i w:val="false"/>
          <w:caps w:val="false"/>
          <w:smallCaps w:val="false"/>
          <w:sz w:val="20"/>
        </w:rPr>
        <w:t>. No broker, finder or investment banker (other than Morgan Stanley &amp; Co. LLC and J.P. Morgan Securities LLC) is entitled to any brokerage, finder’s or other similar fee or commission in connection with the Merger based upon arrangements made by or on behalf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Information Supplied</w:t>
      </w:r>
      <w:r>
        <w:rPr>
          <w:rFonts w:ascii="Times New Roman;Times;Serif" w:hAnsi="Times New Roman;Times;Serif"/>
          <w:b w:val="false"/>
          <w:i w:val="false"/>
          <w:caps w:val="false"/>
          <w:smallCaps w:val="false"/>
          <w:sz w:val="20"/>
        </w:rPr>
        <w:t>. The information supplied or to be supplied by Parent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Proxy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has delivered to the Company true and complete copies of (i) the executed commitment letter, dated as of the date hereof, among Parent and the Financing Sources party thereto including all exhibits, schedules and annexes to such letter in effect as of the execution and delivery of this Agreement and (ii) the executed fee letter related thereto (together, the “</w:t>
      </w:r>
      <w:r>
        <w:rPr>
          <w:rFonts w:ascii="Times New Roman;Times;Serif" w:hAnsi="Times New Roman;Times;Serif"/>
          <w:b w:val="false"/>
          <w:i w:val="false"/>
          <w:caps w:val="false"/>
          <w:smallCaps w:val="false"/>
          <w:sz w:val="20"/>
          <w:u w:val="single"/>
        </w:rPr>
        <w:t>Debt Commitment Letter</w:t>
      </w:r>
      <w:r>
        <w:rPr>
          <w:rFonts w:ascii="Times New Roman;Times;Serif" w:hAnsi="Times New Roman;Times;Serif"/>
          <w:b w:val="false"/>
          <w:i w:val="false"/>
          <w:caps w:val="false"/>
          <w:smallCaps w:val="false"/>
          <w:sz w:val="20"/>
        </w:rPr>
        <w:t>”) pursuant to which the Financing Sources party thereto have agreed to provide, subject to the terms and conditions therein, debt financing in the amounts set forth therein (the “</w:t>
      </w:r>
      <w:r>
        <w:rPr>
          <w:rFonts w:ascii="Times New Roman;Times;Serif" w:hAnsi="Times New Roman;Times;Serif"/>
          <w:b w:val="false"/>
          <w:i w:val="false"/>
          <w:caps w:val="false"/>
          <w:smallCaps w:val="false"/>
          <w:sz w:val="20"/>
          <w:u w:val="single"/>
        </w:rPr>
        <w:t>Committed Financing</w:t>
      </w:r>
      <w:r>
        <w:rPr>
          <w:rFonts w:ascii="Times New Roman;Times;Serif" w:hAnsi="Times New Roman;Times;Serif"/>
          <w:b w:val="false"/>
          <w:i w:val="false"/>
          <w:caps w:val="false"/>
          <w:smallCaps w:val="false"/>
          <w:sz w:val="20"/>
        </w:rPr>
        <w:t xml:space="preserve">”) (it being understood that such fee letter has been redacted to remove fees, the rates and amounts in the “market flex”, if any, and other economic terms that are customarily redacted in connection with transactions of this type and that could not adversely affect the amount, conditionality, availability or termination of the Committed Financing). As of the execution and delivery of this Agreement, other than the Debt Commitment Letter, there are no side letters, understandings, arrangements or other agreements or contracts related to the Financing (other than customary engagement letters that do not contain provisions that could adversely affect the amount, conditionality, availability or termination of the Committed Financing). The Debt Commitment Letter contains all of the conditions precedent to make the Committed Financing available to Parent on the terms therein, and there are no other conditions or other contingencies related to the funding of the full amount of the Committed Financing, including any condition or other contingency relating to the availability of the Committed Financing pursuant to any “flex” provision.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except as may be limited by the Enforceability Limitations. As of the execution and delivery of this Agreement, (i) the Debt Commitment Letter has not been amended, restated, supplemented or otherwise modified, or compliance with any of the terms waived, (ii) no commitment under the Debt Commitment Letter has been withdrawn, terminated or rescinded in any respect and (iii) no amendment, restatement, supplement, modification, withdrawal, termination or rescission of the Debt Commitment Letter is contemplated by Parent or, to the knowledge of Parent, by any other party thereto, except for joinders expressly contemplated by the Debt Commitment Letter in connection with the syndication of the financing contemplated thereby and permitted by Section 4.19(b). Parent or the Parent Subsidiaries have fully paid (or caused to be paid) any and all commitment fees and other amounts that are required to be paid pursuant to the terms of the Debt Commitment Letter on or prior to the execution and delivery of this Agreement. As of the execution and delivery of this Agreement, no event has occurred, which, with or without notice, lapse of time or both, could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or (z) result in a failure of any condition to the funding of the full amount of the Committed Financing or otherwise result in any portion of the Committed Financing being unavailable at the Closing. Assuming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Parent has no reason to believe that any of the conditions to funding set forth in the Debt Commitment Letter will not be satisfied or that the Committed Financing will not be available to Parent on the Closing Date in accordance with the terms of the Debt Commitment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Assuming the accuracy of the representations and warranties set forth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Sections 2.11(e)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2.11(g)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2.11(p)</w:t>
      </w:r>
      <w:r>
        <w:rPr>
          <w:rFonts w:ascii="Times New Roman;Times;Serif" w:hAnsi="Times New Roman;Times;Serif"/>
          <w:b w:val="false"/>
          <w:i w:val="false"/>
          <w:caps w:val="false"/>
          <w:smallCaps w:val="false"/>
          <w:sz w:val="20"/>
        </w:rPr>
        <w:t xml:space="preserve"> and the Company’s compliance with its obligations contained in </w:t>
      </w:r>
      <w:r>
        <w:rPr>
          <w:rFonts w:ascii="Times New Roman;Times;Serif" w:hAnsi="Times New Roman;Times;Serif"/>
          <w:b w:val="false"/>
          <w:i w:val="false"/>
          <w:caps w:val="false"/>
          <w:smallCaps w:val="false"/>
          <w:sz w:val="20"/>
          <w:u w:val="single"/>
        </w:rPr>
        <w:t>Sections 4.2(a)(iii)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4.2(a)(iv)</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4.2(a)(viii)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4.2(a)(x)</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4.2(a)(xi)</w:t>
      </w:r>
      <w:r>
        <w:rPr>
          <w:rFonts w:ascii="Times New Roman;Times;Serif" w:hAnsi="Times New Roman;Times;Serif"/>
          <w:b w:val="false"/>
          <w:i w:val="false"/>
          <w:caps w:val="false"/>
          <w:smallCaps w:val="false"/>
          <w:sz w:val="20"/>
        </w:rPr>
        <w:t xml:space="preserve"> (it being understood that, for purposes of this assumption, any action taken by the Company or any Company Subsidiary with the prior written consent of Parent pursuant to Section 4.2(a) shall not be deemed non-compliance with such obligations, and Parent shall not be entitled to rely on such assumption with respect to any such consented-to action), Parent will have, as of the Closing, funds sufficient to (i) make all cash payments contemplated to be made by Parent, or the Surviving Corporation under this Agreement in connection with the Merger (including the aggregate Merger Consideration), any amounts that become payable in respect of the Credit Facility Termination, the redemption or repurchase of the Company Senior Notes, any redemption or repurchase of the Company Convertible Notes and any conversion of the Company Convertible Notes, (ii) pay all fees and expenses required to be paid by them on the Closing Date and (iii) satisfy all other payment obligations of Parent, Merger Sub or any of their respective Subsidiaries that are required to be satisfied in connection with Closing or with respect to the Merger and the other transactions contemplated hereby (collectively, the “</w:t>
      </w:r>
      <w:r>
        <w:rPr>
          <w:rFonts w:ascii="Times New Roman;Times;Serif" w:hAnsi="Times New Roman;Times;Serif"/>
          <w:b w:val="false"/>
          <w:i w:val="false"/>
          <w:caps w:val="false"/>
          <w:smallCaps w:val="false"/>
          <w:sz w:val="20"/>
          <w:u w:val="single"/>
        </w:rPr>
        <w:t>Required Amounts</w:t>
      </w:r>
      <w:r>
        <w:rPr>
          <w:rFonts w:ascii="Times New Roman;Times;Serif" w:hAnsi="Times New Roman;Times;Serif"/>
          <w:b w:val="false"/>
          <w:i w:val="false"/>
          <w:caps w:val="false"/>
          <w:smallCaps w:val="false"/>
          <w:sz w:val="20"/>
        </w:rPr>
        <w:t>”). Notwithstanding anything to the contrary contained herein, in no event shall the receipt or availability of any funds or financing, including the Financing, by Parent or Merger Sub be a condition to any of Parent’s or Merger Sub’s obligations hereunder.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Parent is the sole stockholder of Merger Sub. Since the date of its incorporation, Merger Sub has not carried on any business or conducted any operation other than the execution of this Agreement (including prior to the amendments provided herein), the performance of its obligations hereunder and matters ancillary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r>
      <w:r>
        <w:rPr>
          <w:rFonts w:ascii="Times New Roman;Times;Serif" w:hAnsi="Times New Roman;Times;Serif"/>
          <w:b/>
          <w:i w:val="false"/>
          <w:caps w:val="false"/>
          <w:smallCaps w:val="false"/>
          <w:sz w:val="20"/>
          <w:u w:val="single"/>
        </w:rP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Access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the Company and the Company Subsidiaries shall not be required to implement such plans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nothing in this </w:t>
      </w:r>
      <w:r>
        <w:rPr>
          <w:rFonts w:ascii="Times New Roman;Times;Serif" w:hAnsi="Times New Roman;Times;Serif"/>
          <w:b w:val="false"/>
          <w:i w:val="false"/>
          <w:caps w:val="false"/>
          <w:smallCaps w:val="false"/>
          <w:sz w:val="20"/>
          <w:u w:val="single"/>
        </w:rPr>
        <w:t xml:space="preserve">Section 4.1(a) </w:t>
      </w:r>
      <w:r>
        <w:rPr>
          <w:rFonts w:ascii="Times New Roman;Times;Serif" w:hAnsi="Times New Roman;Times;Serif"/>
          <w:b w:val="false"/>
          <w:i w:val="false"/>
          <w:caps w:val="false"/>
          <w:smallCaps w:val="false"/>
          <w:sz w:val="20"/>
        </w:rPr>
        <w:t>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 exchange of information or investigation by either party or such party’s Representatives under this </w:t>
      </w:r>
      <w:r>
        <w:rPr>
          <w:rFonts w:ascii="Times New Roman;Times;Serif" w:hAnsi="Times New Roman;Times;Serif"/>
          <w:b w:val="false"/>
          <w:i w:val="false"/>
          <w:caps w:val="false"/>
          <w:smallCaps w:val="false"/>
          <w:sz w:val="20"/>
          <w:u w:val="single"/>
        </w:rPr>
        <w:t xml:space="preserve">Section 4.1 </w:t>
      </w:r>
      <w:r>
        <w:rPr>
          <w:rFonts w:ascii="Times New Roman;Times;Serif" w:hAnsi="Times New Roman;Times;Serif"/>
          <w:b w:val="false"/>
          <w:i w:val="false"/>
          <w:caps w:val="false"/>
          <w:smallCaps w:val="false"/>
          <w:sz w:val="20"/>
        </w:rPr>
        <w:t>shall affect or be deemed to affect, modify or waive the scope of the representations and warranties of the other party set forth in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Interim Operations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Parent does not respond in writing to such request within five (5) Business Days after receipt thereof, such consent shall be deemed to have been given), (B) as set forth in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(provided that the limitations and thresholds set forth in this Section 4.2(a) and in the corresponding sections of the Company Disclosure Schedule shall be effective as of and from June 25, 2026 and shall take into account actions taken by the Company and the Company Subsidiaries from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amend the Organizational Documents of the Company or any Significant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except to the extent permitted by </w:t>
      </w:r>
      <w:r>
        <w:rPr>
          <w:rFonts w:ascii="Times New Roman;Times;Serif" w:hAnsi="Times New Roman;Times;Serif"/>
          <w:b w:val="false"/>
          <w:i w:val="false"/>
          <w:caps w:val="false"/>
          <w:smallCaps w:val="false"/>
          <w:sz w:val="20"/>
          <w:u w:val="single"/>
        </w:rPr>
        <w:t>Sections 4.2(a)(v)</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(xxii)</w:t>
      </w:r>
      <w:r>
        <w:rPr>
          <w:rFonts w:ascii="Times New Roman;Times;Serif" w:hAnsi="Times New Roman;Times;Serif"/>
          <w:b w:val="false"/>
          <w:i w:val="false"/>
          <w:caps w:val="false"/>
          <w:smallCaps w:val="false"/>
          <w:sz w:val="20"/>
        </w:rPr>
        <w:t>,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(viii)  issue, sell, pledge (except in connection with the actions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that are otherwise permitted to be granted following the date of this Agreement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b w:val="false"/>
          <w:i w:val="false"/>
          <w:caps w:val="false"/>
          <w:smallCaps w:val="false"/>
          <w:sz w:val="20"/>
          <w:u w:val="single"/>
        </w:rPr>
        <w:t xml:space="preserve">Section 4.2(a)(ix) </w:t>
      </w:r>
      <w:r>
        <w:rPr>
          <w:rFonts w:ascii="Times New Roman;Times;Serif" w:hAnsi="Times New Roman;Times;Serif"/>
          <w:b w:val="false"/>
          <w:i w:val="false"/>
          <w:caps w:val="false"/>
          <w:smallCaps w:val="false"/>
          <w:sz w:val="20"/>
        </w:rPr>
        <w:t xml:space="preserve">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Company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b w:val="false"/>
          <w:i w:val="false"/>
          <w:caps w:val="false"/>
          <w:smallCaps w:val="false"/>
          <w:sz w:val="20"/>
          <w:u w:val="single"/>
        </w:rPr>
        <w:t>clause (xi)</w:t>
      </w:r>
      <w:r>
        <w:rPr>
          <w:rFonts w:ascii="Times New Roman;Times;Serif" w:hAnsi="Times New Roman;Times;Serif"/>
          <w:b w:val="false"/>
          <w:i w:val="false"/>
          <w:caps w:val="false"/>
          <w:smallCaps w:val="false"/>
          <w:sz w:val="20"/>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Company Debt Modification of the foregoing, or (c) any action taken pursuant to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b w:val="false"/>
          <w:i w:val="false"/>
          <w:caps w:val="false"/>
          <w:smallCaps w:val="false"/>
          <w:sz w:val="20"/>
          <w:u w:val="single"/>
        </w:rPr>
        <w:t>Section 4.16(d)</w:t>
      </w:r>
      <w:r>
        <w:rPr>
          <w:rFonts w:ascii="Times New Roman;Times;Serif" w:hAnsi="Times New Roman;Times;Serif"/>
          <w:b w:val="false"/>
          <w:i w:val="false"/>
          <w:caps w:val="false"/>
          <w:smallCaps w:val="false"/>
          <w:sz w:val="20"/>
        </w:rPr>
        <w:t>)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b w:val="false"/>
          <w:i w:val="false"/>
          <w:caps w:val="false"/>
          <w:smallCaps w:val="false"/>
          <w:sz w:val="20"/>
          <w:u w:val="single"/>
        </w:rPr>
        <w:t>Permitted Company Debt Modification</w:t>
      </w:r>
      <w:r>
        <w:rPr>
          <w:rFonts w:ascii="Times New Roman;Times;Serif" w:hAnsi="Times New Roman;Times;Serif"/>
          <w:b w:val="false"/>
          <w:i w:val="false"/>
          <w:caps w:val="false"/>
          <w:smallCaps w:val="false"/>
          <w:sz w:val="20"/>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4.2(a)(xi)</w:t>
      </w:r>
      <w:r>
        <w:rPr>
          <w:rFonts w:ascii="Times New Roman;Times;Serif" w:hAnsi="Times New Roman;Times;Serif"/>
          <w:b w:val="false"/>
          <w:i w:val="false"/>
          <w:caps w:val="false"/>
          <w:smallCaps w:val="false"/>
          <w:sz w:val="20"/>
        </w:rPr>
        <w:t>, (iii) Company Permitted Encumbrances, or (iv) other Liens securing obligations in an aggregate amount not to exceed $5,000,000 at any time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engage in any “plant closing,” “mass layoff” or similar act requiring notice under the Worker Adjustment and Retraining Notification Act of 1988 or any similar federal, state or local Law (whether foreign or domestic);</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(xvii)  (A) enter into any Contract with any customer, distributor or supplier that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(B) renew or extend any Contract that is a Company Material Contract or would constitute a Company Material Contract if in effect as of the date of this Agreement under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(m)</w:t>
      </w:r>
      <w:r>
        <w:rPr>
          <w:rFonts w:ascii="Times New Roman;Times;Serif" w:hAnsi="Times New Roman;Times;Serif"/>
          <w:b w:val="false"/>
          <w:i w:val="false"/>
          <w:caps w:val="false"/>
          <w:smallCaps w:val="false"/>
          <w:sz w:val="20"/>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b w:val="false"/>
          <w:i w:val="false"/>
          <w:caps w:val="false"/>
          <w:smallCaps w:val="false"/>
          <w:sz w:val="20"/>
          <w:u w:val="single"/>
        </w:rPr>
        <w:t>Section 4.2(a)(xvii)(C)</w:t>
      </w:r>
      <w:r>
        <w:rPr>
          <w:rFonts w:ascii="Times New Roman;Times;Serif" w:hAnsi="Times New Roman;Times;Serif"/>
          <w:b w:val="false"/>
          <w:i w:val="false"/>
          <w:caps w:val="false"/>
          <w:smallCaps w:val="false"/>
          <w:sz w:val="20"/>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Company Material Contract if in effect as of the date of this Agreement, (2) renew, extend, amend in any material respect, any Company Material Contract, or (3) voluntarily terminate any Company Material Contract;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in each case of </w:t>
      </w:r>
      <w:r>
        <w:rPr>
          <w:rFonts w:ascii="Times New Roman;Times;Serif" w:hAnsi="Times New Roman;Times;Serif"/>
          <w:b w:val="false"/>
          <w:i w:val="false"/>
          <w:caps w:val="false"/>
          <w:smallCaps w:val="false"/>
          <w:sz w:val="20"/>
          <w:u w:val="single"/>
        </w:rPr>
        <w:t>clause (A),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(D)</w:t>
      </w:r>
      <w:r>
        <w:rPr>
          <w:rFonts w:ascii="Times New Roman;Times;Serif" w:hAnsi="Times New Roman;Times;Serif"/>
          <w:b w:val="false"/>
          <w:i w:val="false"/>
          <w:caps w:val="false"/>
          <w:smallCaps w:val="false"/>
          <w:sz w:val="20"/>
        </w:rPr>
        <w:t xml:space="preserve">, any Contract that addresses subject matter for which Parent’s consent would be required, or is expressly permitted, pursuant to another clause under this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shall be governed by such other clause hereof, and no separate consent shall be required under this </w:t>
      </w:r>
      <w:r>
        <w:rPr>
          <w:rFonts w:ascii="Times New Roman;Times;Serif" w:hAnsi="Times New Roman;Times;Serif"/>
          <w:b w:val="false"/>
          <w:i w:val="false"/>
          <w:caps w:val="false"/>
          <w:smallCaps w:val="false"/>
          <w:sz w:val="20"/>
          <w:u w:val="single"/>
        </w:rPr>
        <w:t>clause (xvii)</w:t>
      </w:r>
      <w:r>
        <w:rPr>
          <w:rFonts w:ascii="Times New Roman;Times;Serif" w:hAnsi="Times New Roman;Times;Serif"/>
          <w:b w:val="false"/>
          <w:i w:val="false"/>
          <w:caps w:val="false"/>
          <w:smallCaps w:val="false"/>
          <w:sz w:val="20"/>
        </w:rPr>
        <w:t xml:space="preserve"> for the entry into a Contract effecting such action, to the extent the provisions of such Contract would customarily form part of the subject matter of the Contract effecting such matter;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change any of its methods of financial accounting or accounting practices in any material respect other than as required by changes in GAAP, the SEC or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other than in the ordinary course of business consistent with past practice or as required by GAAP, revalue in any material respect any of its properties or assets, including writing-off notes or accounts receivable;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b w:val="false"/>
          <w:i w:val="false"/>
          <w:caps w:val="false"/>
          <w:smallCaps w:val="false"/>
          <w:sz w:val="20"/>
          <w:u w:val="single"/>
        </w:rPr>
        <w:t xml:space="preserve">Section 4.2(a)(xx) </w:t>
      </w:r>
      <w:r>
        <w:rPr>
          <w:rFonts w:ascii="Times New Roman;Times;Serif" w:hAnsi="Times New Roman;Times;Serif"/>
          <w:b w:val="false"/>
          <w:i w:val="false"/>
          <w:caps w:val="false"/>
          <w:smallCaps w:val="false"/>
          <w:sz w:val="20"/>
        </w:rPr>
        <w:t>of the Company Disclosure Schedule;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b w:val="false"/>
          <w:i w:val="false"/>
          <w:caps w:val="false"/>
          <w:smallCaps w:val="false"/>
          <w:sz w:val="20"/>
          <w:u w:val="single"/>
        </w:rPr>
        <w:t>Item 404</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(xxii)  make any capital expenditure that is not contemplated by the capital expenditure budget (the “</w:t>
      </w:r>
      <w:r>
        <w:rPr>
          <w:rFonts w:ascii="Times New Roman;Times;Serif" w:hAnsi="Times New Roman;Times;Serif"/>
          <w:b w:val="false"/>
          <w:i w:val="false"/>
          <w:caps w:val="false"/>
          <w:smallCaps w:val="false"/>
          <w:sz w:val="20"/>
          <w:u w:val="single"/>
        </w:rPr>
        <w:t>Company CapEx Budget</w:t>
      </w:r>
      <w:r>
        <w:rPr>
          <w:rFonts w:ascii="Times New Roman;Times;Serif" w:hAnsi="Times New Roman;Times;Serif"/>
          <w:b w:val="false"/>
          <w:i w:val="false"/>
          <w:caps w:val="false"/>
          <w:smallCaps w:val="false"/>
          <w:sz w:val="20"/>
        </w:rPr>
        <w:t xml:space="preserve">”) set forth in </w:t>
      </w:r>
      <w:r>
        <w:rPr>
          <w:rFonts w:ascii="Times New Roman;Times;Serif" w:hAnsi="Times New Roman;Times;Serif"/>
          <w:b w:val="false"/>
          <w:i w:val="false"/>
          <w:caps w:val="false"/>
          <w:smallCaps w:val="false"/>
          <w:sz w:val="20"/>
          <w:u w:val="single"/>
        </w:rPr>
        <w:t>Section 4.2(a)(xxii)</w:t>
      </w:r>
      <w:r>
        <w:rPr>
          <w:rFonts w:ascii="Times New Roman;Times;Serif" w:hAnsi="Times New Roman;Times;Serif"/>
          <w:b w:val="false"/>
          <w:i w:val="false"/>
          <w:caps w:val="false"/>
          <w:smallCaps w:val="false"/>
          <w:sz w:val="20"/>
        </w:rPr>
        <w:t xml:space="preserve"> of the Company Disclosure Schedule (a “</w:t>
      </w:r>
      <w:r>
        <w:rPr>
          <w:rFonts w:ascii="Times New Roman;Times;Serif" w:hAnsi="Times New Roman;Times;Serif"/>
          <w:b w:val="false"/>
          <w:i w:val="false"/>
          <w:caps w:val="false"/>
          <w:smallCaps w:val="false"/>
          <w:sz w:val="20"/>
          <w:u w:val="single"/>
        </w:rPr>
        <w:t>Non-Budgeted Company Capital Expenditure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(but subject to compliance with the requirements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(xxiv)  commence any litigation or other claim, suit, action or proceeding with a value in excess of $7,000,000 individually or $14,000,000 in the aggregate, other than (A) any counterclaim, (B) claims to preserve, protect or enforce any Company IP or material assets of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this clause (B), with respect to material Company IP, the Company shall provide Parent with written notice thereof), or (C) to enforce the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  (A) amend any Company Permits in a manner that adversely impacts the Company’s ability to conduct its business in any material respect or (B) terminate any material Company Permits;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  enter into a new line of business that would materially change the business of the Company and the Company Subsidiaries, taken as a whole, or that is not reasonably related to the Company’s or the Company Subsidiaries’ existing lines of businesses;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(xxviii)  other than in the ordinary course of business consistent with past practice, materially reduce the amount of insurance coverage or terminate (unless in connection with replacing) any material existing insurance policies;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(xxix)  authorize, approve, permit, offer or enter into any agreement or make any commitment to take any of the actions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through (xxviii) of this sentence.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w:t>
      </w:r>
      <w:r>
        <w:rPr>
          <w:rFonts w:ascii="Times New Roman;Times;Serif" w:hAnsi="Times New Roman;Times;Serif"/>
          <w:b w:val="false"/>
          <w:i w:val="false"/>
          <w:caps w:val="false"/>
          <w:smallCaps w:val="false"/>
          <w:sz w:val="20"/>
          <w:u w:val="single"/>
        </w:rPr>
        <w:t>Section 4.6(a)(iv)</w:t>
      </w:r>
      <w:r>
        <w:rPr>
          <w:rFonts w:ascii="Times New Roman;Times;Serif" w:hAnsi="Times New Roman;Times;Serif"/>
          <w:b w:val="false"/>
          <w:i w:val="false"/>
          <w:caps w:val="false"/>
          <w:smallCaps w:val="false"/>
          <w:sz w:val="20"/>
        </w:rPr>
        <w:t>,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Parent pursuant to this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the Company may request such consent by delivering a written request (including by electronic mail) to Parent, and Parent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Company No Solicitation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will not, and the Company shall cause each of its Subsidiaries not to, and shall direct and use reasonable best efforts to cause its and its Subsidiaries’ respective directors, officers and other Representatives not to, except as expressly permitted by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directly or indirectly: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or disclose any non-public information regarding the Company or any Company Subsidiary (other than to Parent and Parent’s Subsidiaries and their respective Representatives), or afford access to the Company’s or the Company Subsidiaries’ Representatives, businesses, assets, books, records or property (other than to Parent and Parent’s Subsidiaries and their respective Representatives), in each case, in connection with, or for the purpose of soliciting, initiating, knowingly encouraging, or knowingly facilitating, or in response to, any inquiry, proposal or offer that constitutes or would reasonably be expected to lead to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engage in, enter into, continue or otherwise participate in any discussions or negotiations with or otherwise knowingly encourage any effort by any Person (other than Parent, the Parent Subsidiaries or Parent’s Representatives) with respect to any Company Acquisition Proposal or any inquiry, proposal or offer that would reasonably be expected to lead to any Company Acquisition Proposal;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Company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authorize, resolve, agree or publicly announce or propose any intention to do any of the foregoing;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4.3(c) </w:t>
      </w:r>
      <w:r>
        <w:rPr>
          <w:rFonts w:ascii="Times New Roman;Times;Serif" w:hAnsi="Times New Roman;Times;Serif"/>
          <w:b w:val="false"/>
          <w:i w:val="false"/>
          <w:caps w:val="false"/>
          <w:smallCaps w:val="false"/>
          <w:sz w:val="20"/>
        </w:rPr>
        <w:t xml:space="preserve">by the Company, any of its Subsidiaries or any of its or their respective Representatives, or to determine whether such inquiry or proposal constitutes a Company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Company Acquisition Proposal after the date hereof that did not result from any material breach of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4.3(c)</w:t>
      </w:r>
      <w:r>
        <w:rPr>
          <w:rFonts w:ascii="Times New Roman;Times;Serif" w:hAnsi="Times New Roman;Times;Serif"/>
          <w:b w:val="false"/>
          <w:i w:val="false"/>
          <w:caps w:val="false"/>
          <w:smallCaps w:val="false"/>
          <w:sz w:val="20"/>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Company Acquisition Proposal either constitutes a Company Superior Proposal or would reasonably be expected to lead to a Company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b w:val="false"/>
          <w:i w:val="false"/>
          <w:caps w:val="false"/>
          <w:smallCaps w:val="false"/>
          <w:sz w:val="20"/>
          <w:u w:val="single"/>
        </w:rPr>
        <w:t>clause (1)</w:t>
      </w:r>
      <w:r>
        <w:rPr>
          <w:rFonts w:ascii="Times New Roman;Times;Serif" w:hAnsi="Times New Roman;Times;Serif"/>
          <w:b w:val="false"/>
          <w:i w:val="false"/>
          <w:caps w:val="false"/>
          <w:smallCaps w:val="false"/>
          <w:sz w:val="20"/>
        </w:rPr>
        <w:t xml:space="preserve"> and if the Company furnishes non-public information and/or enters into discussions or negotiations as provided for in this </w:t>
      </w:r>
      <w:r>
        <w:rPr>
          <w:rFonts w:ascii="Times New Roman;Times;Serif" w:hAnsi="Times New Roman;Times;Serif"/>
          <w:b w:val="false"/>
          <w:i w:val="false"/>
          <w:caps w:val="false"/>
          <w:smallCaps w:val="false"/>
          <w:sz w:val="20"/>
          <w:u w:val="single"/>
        </w:rPr>
        <w:t xml:space="preserve">Section 4.3(a) </w:t>
      </w:r>
      <w:r>
        <w:rPr>
          <w:rFonts w:ascii="Times New Roman;Times;Serif" w:hAnsi="Times New Roman;Times;Serif"/>
          <w:b w:val="false"/>
          <w:i w:val="false"/>
          <w:caps w:val="false"/>
          <w:smallCaps w:val="false"/>
          <w:sz w:val="20"/>
        </w:rPr>
        <w:t>and will keep Parent reasonably informed in writing, on a current basis (and, in any event, within 24 hours), of material changes to the status and terms of any such discussions or negotiations and any Company Acquisition Proposal.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receives a Company Acquisition Proposal or any inquiry or request for information with respect to a Company Acquisition Proposal or that is reasonably likely to lead to a Company Acquisition Proposal, then the Company shall promptly (and in no event later than 24 hours after its receipt of such Company Acquisition Proposal or request) notify Parent in writing of such Company Acquisition Proposal or request (which notification shall include the identity of the Person making or submitting such request or Company Acquisition Proposal and unredacted copies of all correspondence and other written material (including all proposals, counterproposals and drafts of agreements) exchanged between the Company or any Company Subsidiary, on the one hand, and the Person making any such Company Acquisition Proposal, on the other hand, that describes any of the terms or conditions of, or is otherwise material and relates to such terms and conditions, such Company Acquisition Proposal (or, if not in writing, the material terms and conditions thereof)), and the Company shall thereafter keep Parent reasonably informed in writing, on a current basis (and, in any event, within one (1) Business Day), of the status of such Company Acquisition Proposal or request, including informing Parent of any material change to the terms of such Company Acquisition Proposal and providing unredacted copies of all written materials delivered by or to such Person relating to any such changes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Representatives to continue, any existing solicitation of, or discussions or negotiations with, any Person (other than Parent and Parent’s Representatives) relating to any Company Acquisition Proposal made on or prior to the date hereof and any access any such Persons may have to any physical or electronic data room relating to any potential Company Acquisition Proposal; and (ii) request that each Person (other than Parent and its Representatives) that has, prior to the date of this Agreement, executed a confidentiality agreement in connection with its consideration of a Company Acquisition Proposal, promptly return or destroy all non-public information furnished to such Person by or on behalf of the Company or any of the Company Subsidiaries prior to the date of this Agreement in accordance with the terms of such confidentiality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breach of the restrictions contained in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any of the Company Subsidiaries, or by any Representative of the Company or any Company Subsidiary, shall be deemed to be a breach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by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As promptly as reasonably practicable after the date of this Agreement (and in any event within 10 days thereafter), the Company shall prepare, in consultation with Parent, and cause to be filed with the SEC the Proxy Statement in preliminary form. (i) The Company shall use reasonable best efforts to cause the Proxy Statement to comply in all material respects with all applicable rules, regulations and requirements of the Exchange Act; (ii) each of the parties shall promptly notify the other upon receipt of, and cooperate with each other and use reasonable best efforts to respond to, any comments or requests of the SEC or its staff, including for any amendment or supplement to the Proxy Statement; (iii) each of the parties shall promptly provide the other party with copies of all written correspondence and a summary of all oral communications between it or its Representatives, on the one hand, and the SEC or its staff, on the other hand, relating to the Proxy Statement; and (iv) each of the parties shall cooperate with, and provide the other party with a reasonable opportunity to review and comment in advance on the Proxy Statement (including any amendments or supplements thereto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foregoing obligations under this </w:t>
      </w:r>
      <w:r>
        <w:rPr>
          <w:rFonts w:ascii="Times New Roman;Times;Serif" w:hAnsi="Times New Roman;Times;Serif"/>
          <w:b w:val="false"/>
          <w:i w:val="false"/>
          <w:caps w:val="false"/>
          <w:smallCaps w:val="false"/>
          <w:sz w:val="20"/>
          <w:u w:val="single"/>
        </w:rPr>
        <w:t>clause (iv)</w:t>
      </w:r>
      <w:r>
        <w:rPr>
          <w:rFonts w:ascii="Times New Roman;Times;Serif" w:hAnsi="Times New Roman;Times;Serif"/>
          <w:b w:val="false"/>
          <w:i w:val="false"/>
          <w:caps w:val="false"/>
          <w:smallCaps w:val="false"/>
          <w:sz w:val="20"/>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Notwithstanding any other provision herein to the contrary, the Proxy Statement shall not be filed or mailed (as applicable), and no amendment or supplement (including by incorporation by reference) to the Proxy Statement shall be made, without the approval of both the Company and Parent, which approvals shall not be unreasonably withheld, conditioned or delayed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this approval right shall not apply with respect to information, filings or communications to the extent relating to a Company Change in Recommendation or Acquisition Proposal). The Company will, prior to filing the preliminary Proxy Statement, obtain all necessary consents of the Company Financial Advisor to permit the Company to include in the Proxy Statement the Company Financial Advisor Opinion.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promptly notify Parent of the time when the Company learns that the Proxy Statement will not be reviewed or that the SEC staff has no further comments thereon, or the time when any supplement or amendment has been filed. The Company shall cause the definitive Proxy Statement to be mailed to the Company’s stockholders as promptly as practicable after the date on which the Company learns that the Proxy Statement will not be reviewed or that the SEC staff has no further comments thereon.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b w:val="false"/>
          <w:i w:val="false"/>
          <w:caps w:val="false"/>
          <w:smallCaps w:val="false"/>
          <w:sz w:val="20"/>
          <w:u w:val="single"/>
        </w:rPr>
        <w:t>Section 4.4</w:t>
      </w:r>
      <w:r>
        <w:rPr>
          <w:rFonts w:ascii="Times New Roman;Times;Serif" w:hAnsi="Times New Roman;Times;Serif"/>
          <w:b w:val="false"/>
          <w:i w:val="false"/>
          <w:caps w:val="false"/>
          <w:smallCaps w:val="false"/>
          <w:sz w:val="20"/>
        </w:rPr>
        <w:t>. If, at any time prior to obtaining the Required Company Stockholder Vote, any party becomes aware of any information that should be disclosed in an amendment or supplement to the Proxy Statement in order to make any statement therein, in the light of the circumstances under which it is made, not false or misleading with respect to a material fact, or in order to avoid the omission of a material fact necessary to make the statements in the Proxy Statement not misleading, then such party: (A) shall promptly inform the other party thereof; (B) shall provide the other party (and its counsel) with a reasonable opportunity to review and comment on any amendment or supplement to the Proxy Statement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Meeting of Company’s Stockholders; Company Change in Recommendation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(i) shall take all action necessary under all applicable Legal Requirements and the Company’s Organizational Documents to, as promptly as reasonably practicable after the date on which the Company learns that the Proxy Statement will not be reviewed or that the SEC staff has no further comments thereon (and in any event within 30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b w:val="false"/>
          <w:i w:val="false"/>
          <w:caps w:val="false"/>
          <w:smallCaps w:val="false"/>
          <w:sz w:val="20"/>
          <w:u w:val="single"/>
        </w:rPr>
        <w:t>Company Stockholder Meeting</w:t>
      </w:r>
      <w:r>
        <w:rPr>
          <w:rFonts w:ascii="Times New Roman;Times;Serif" w:hAnsi="Times New Roman;Times;Serif"/>
          <w:b w:val="false"/>
          <w:i w:val="false"/>
          <w:caps w:val="false"/>
          <w:smallCaps w:val="false"/>
          <w:sz w:val="20"/>
        </w:rPr>
        <w:t xml:space="preserve">”); and (ii) shall submit such proposals to, and,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written consent of Parent, other than: (1) to the extent reasonably necessary to ensure that any supplement or amendment to the Proxy Statement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on which the Company learns that the Proxy Statement will not be reviewed or that the SEC staff has no further comments thereon,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 xml:space="preserve">without the prior written consent of Parent (not to be unreasonably withheld, in the cases of </w:t>
      </w:r>
      <w:r>
        <w:rPr>
          <w:rFonts w:ascii="Times New Roman;Times;Serif" w:hAnsi="Times New Roman;Times;Serif"/>
          <w:b w:val="false"/>
          <w:i w:val="false"/>
          <w:caps w:val="false"/>
          <w:smallCaps w:val="false"/>
          <w:sz w:val="20"/>
          <w:u w:val="single"/>
        </w:rPr>
        <w:t>clauses (A)(1)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(A)(2)</w:t>
      </w:r>
      <w:r>
        <w:rPr>
          <w:rFonts w:ascii="Times New Roman;Times;Serif" w:hAnsi="Times New Roman;Times;Serif"/>
          <w:b w:val="false"/>
          <w:i w:val="false"/>
          <w:caps w:val="false"/>
          <w:smallCaps w:val="false"/>
          <w:sz w:val="20"/>
        </w:rPr>
        <w:t xml:space="preserve">) (x) any such adjournments or postponements shall be only for the minimum duration reasonably necessary (and for adjournments and postponements under </w:t>
      </w:r>
      <w:r>
        <w:rPr>
          <w:rFonts w:ascii="Times New Roman;Times;Serif" w:hAnsi="Times New Roman;Times;Serif"/>
          <w:b w:val="false"/>
          <w:i w:val="false"/>
          <w:caps w:val="false"/>
          <w:smallCaps w:val="false"/>
          <w:sz w:val="20"/>
          <w:u w:val="single"/>
        </w:rPr>
        <w:t>clause (A)(3)</w:t>
      </w:r>
      <w:r>
        <w:rPr>
          <w:rFonts w:ascii="Times New Roman;Times;Serif" w:hAnsi="Times New Roman;Times;Serif"/>
          <w:b w:val="false"/>
          <w:i w:val="false"/>
          <w:caps w:val="false"/>
          <w:smallCaps w:val="false"/>
          <w:sz w:val="20"/>
        </w:rPr>
        <w:t xml:space="preserve"> no more than five (5) Business Days each time) to accomplish the applicable purpose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the Proxy Statement shall include the Company Board Recommendation. Neither the Company Board nor any committee thereof shall, except as otherwise expressly permitted by this Agreement, including by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 (ii) approve, endorse, adopt, recommend or declare advisable (or publicly propose to do so) any Company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b w:val="false"/>
          <w:i w:val="false"/>
          <w:caps w:val="false"/>
          <w:smallCaps w:val="false"/>
          <w:sz w:val="20"/>
          <w:u w:val="single"/>
        </w:rPr>
        <w:t xml:space="preserve">Section 4.5(f)(i) </w:t>
      </w:r>
      <w:r>
        <w:rPr>
          <w:rFonts w:ascii="Times New Roman;Times;Serif" w:hAnsi="Times New Roman;Times;Serif"/>
          <w:b w:val="false"/>
          <w:i w:val="false"/>
          <w:caps w:val="false"/>
          <w:smallCaps w:val="false"/>
          <w:sz w:val="20"/>
        </w:rPr>
        <w:t xml:space="preserve">shall not constitute a failure to recommend against under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xml:space="preserve">; or (iv) if requested by Parent, fail to issue, within (x) ten (10) Business Days after a tender offer or exchange offer constituting a Company Acquisition Proposal is commenced under the Exchange Act or (y) five (5) Business Days after any other Company Acquisition Proposal is publicly announced or after any material modification of any Company Acquisition Proposal (and in no event later than five (5) Business Days prior to the date of the Company Stockholder Meeting, as it may be postponed or adjourned pursuant to </w:t>
      </w:r>
      <w:r>
        <w:rPr>
          <w:rFonts w:ascii="Times New Roman;Times;Serif" w:hAnsi="Times New Roman;Times;Serif"/>
          <w:b w:val="false"/>
          <w:i w:val="false"/>
          <w:caps w:val="false"/>
          <w:smallCaps w:val="false"/>
          <w:sz w:val="20"/>
          <w:u w:val="single"/>
        </w:rPr>
        <w:t>Section 4.5(a)</w:t>
      </w:r>
      <w:r>
        <w:rPr>
          <w:rFonts w:ascii="Times New Roman;Times;Serif" w:hAnsi="Times New Roman;Times;Serif"/>
          <w:b w:val="false"/>
          <w:i w:val="false"/>
          <w:caps w:val="false"/>
          <w:smallCaps w:val="false"/>
          <w:sz w:val="20"/>
        </w:rPr>
        <w:t xml:space="preserve">), a press release reaffirming without qualification the Company Board Recommendation (any action described in </w:t>
      </w:r>
      <w:r>
        <w:rPr>
          <w:rFonts w:ascii="Times New Roman;Times;Serif" w:hAnsi="Times New Roman;Times;Serif"/>
          <w:b w:val="false"/>
          <w:i w:val="false"/>
          <w:caps w:val="false"/>
          <w:smallCaps w:val="false"/>
          <w:sz w:val="20"/>
          <w:u w:val="single"/>
        </w:rPr>
        <w:t xml:space="preserve">clauses (i) </w:t>
      </w:r>
      <w:r>
        <w:rPr>
          <w:rFonts w:ascii="Times New Roman;Times;Serif" w:hAnsi="Times New Roman;Times;Serif"/>
          <w:b w:val="false"/>
          <w:i w:val="false"/>
          <w:caps w:val="false"/>
          <w:smallCaps w:val="false"/>
          <w:sz w:val="20"/>
        </w:rPr>
        <w:t xml:space="preserve">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xml:space="preserve"> being referred to as a “</w:t>
      </w:r>
      <w:r>
        <w:rPr>
          <w:rFonts w:ascii="Times New Roman;Times;Serif" w:hAnsi="Times New Roman;Times;Serif"/>
          <w:b w:val="false"/>
          <w:i w:val="false"/>
          <w:caps w:val="false"/>
          <w:smallCaps w:val="false"/>
          <w:sz w:val="20"/>
          <w:u w:val="single"/>
        </w:rPr>
        <w:t>Company Change in Recommendation</w:t>
      </w:r>
      <w:r>
        <w:rPr>
          <w:rFonts w:ascii="Times New Roman;Times;Serif" w:hAnsi="Times New Roman;Times;Serif"/>
          <w:b w:val="false"/>
          <w:i w:val="false"/>
          <w:caps w:val="false"/>
          <w:smallCaps w:val="false"/>
          <w:sz w:val="20"/>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 Company Acquisition Transaction (other than a confidentiality agreement entered into in compliance with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(vi) take any action to make the provisions of any anti-takeover or similar statute or regulation inapplicable to any Company Acquisition Proposal or counterparty thereto; or (vii) publicly propose, resolve or agree to do any of the foregoing.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Notwithstanding anything to the contrary contained in this Agreement, at any time prior to obtaining the Required Company Stockholder Vote, the Company Board may make a Company Change in Recommendation related to a Company Acquisition Proposal and authorize the Company to terminate this Agreement to concurrently enter into a definitive agreement with respect to such Company Acquisition Proposal if and only if (x) the Company receives from a third party a bona fide written Company Acquisition Proposal after the date of this Agreement that has not been withdrawn and did not result from a material breach of </w:t>
      </w:r>
      <w:r>
        <w:rPr>
          <w:rFonts w:ascii="Times New Roman;Times;Serif" w:hAnsi="Times New Roman;Times;Serif"/>
          <w:b w:val="false"/>
          <w:i w:val="false"/>
          <w:caps w:val="false"/>
          <w:smallCaps w:val="false"/>
          <w:sz w:val="20"/>
          <w:u w:val="single"/>
        </w:rPr>
        <w:t>Section 4.3(a)</w:t>
      </w:r>
      <w:r>
        <w:rPr>
          <w:rFonts w:ascii="Times New Roman;Times;Serif" w:hAnsi="Times New Roman;Times;Serif"/>
          <w:b w:val="false"/>
          <w:i w:val="false"/>
          <w:caps w:val="false"/>
          <w:smallCaps w:val="false"/>
          <w:sz w:val="20"/>
        </w:rPr>
        <w:t xml:space="preserve"> and (y) prior to making such Company Change in Recommendation and/or authorizing the Company to terminate this Agreement to concurrently enter into a definitive agreement with respect to such Company Acquisition Proposal: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Board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 Company Board’s fiduciary duties to its stockholders under applicable Legal Requirements;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delivers to Parent a written notice (the “</w:t>
      </w:r>
      <w:r>
        <w:rPr>
          <w:rFonts w:ascii="Times New Roman;Times;Serif" w:hAnsi="Times New Roman;Times;Serif"/>
          <w:b w:val="false"/>
          <w:i w:val="false"/>
          <w:caps w:val="false"/>
          <w:smallCaps w:val="false"/>
          <w:sz w:val="20"/>
          <w:u w:val="single"/>
        </w:rPr>
        <w:t>Company Superior Proposal Notice</w:t>
      </w:r>
      <w:r>
        <w:rPr>
          <w:rFonts w:ascii="Times New Roman;Times;Serif" w:hAnsi="Times New Roman;Times;Serif"/>
          <w:b w:val="false"/>
          <w:i w:val="false"/>
          <w:caps w:val="false"/>
          <w:smallCaps w:val="false"/>
          <w:sz w:val="20"/>
        </w:rPr>
        <w:t>”) no less than four (4) Business Days in advance stating that the Company Board intends to make a Company Change in Recommendation and/or terminate this Agreement to concurrently enter into a definitive agreement with respect to such Company Acquisition Proposal, which notice shall include the identity of the Person making such Company Acquisition Proposal, a copy of such proposal, a draft of the definitive agreement to be entered into in connection therewith (or, if not in writing, the material terms and conditions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during the four (4) Business Day period commencing on the date of Parent’s receipt of such Company Superior Proposal Notice, if requested by Parent, the Company and its legal and financial advisors engage in good faith negotiations with Parent regarding a possible amendment of this Agreement so that the Company Acquisition Proposal that is the subject of the Company Superior Proposal Notice ceases to be a Company Superior Proposal; and (B) after the expiration of the negotiation period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that such Company Acquisition Proposal continues to constitute a Company Superior Proposal;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if there is any change to any of the financial terms (including price or exchange ratio) or any other material terms of such Company Acquisition Proposal, the Company shall, in each case, be required to deliver to Parent an additional notice consistent with that described in </w:t>
      </w:r>
      <w:r>
        <w:rPr>
          <w:rFonts w:ascii="Times New Roman;Times;Serif" w:hAnsi="Times New Roman;Times;Serif"/>
          <w:b w:val="false"/>
          <w:i w:val="false"/>
          <w:caps w:val="false"/>
          <w:smallCaps w:val="false"/>
          <w:sz w:val="20"/>
          <w:u w:val="single"/>
        </w:rPr>
        <w:t xml:space="preserve">clause (ii) </w:t>
      </w:r>
      <w:r>
        <w:rPr>
          <w:rFonts w:ascii="Times New Roman;Times;Serif" w:hAnsi="Times New Roman;Times;Serif"/>
          <w:b w:val="false"/>
          <w:i w:val="false"/>
          <w:caps w:val="false"/>
          <w:smallCaps w:val="false"/>
          <w:sz w:val="20"/>
        </w:rPr>
        <w:t xml:space="preserve">above and a new negotiation period under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commence (except that the original four (4) Business Day notice period referred to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b w:val="false"/>
          <w:i w:val="false"/>
          <w:caps w:val="false"/>
          <w:smallCaps w:val="false"/>
          <w:sz w:val="20"/>
          <w:u w:val="single"/>
        </w:rPr>
        <w:t xml:space="preserve">Section 4.5(c)(iii) </w:t>
      </w:r>
      <w:r>
        <w:rPr>
          <w:rFonts w:ascii="Times New Roman;Times;Serif" w:hAnsi="Times New Roman;Times;Serif"/>
          <w:b w:val="false"/>
          <w:i w:val="false"/>
          <w:caps w:val="false"/>
          <w:smallCaps w:val="false"/>
          <w:sz w:val="20"/>
        </w:rPr>
        <w:t>anew with respect to such additional notice (but substituting the time periods therein with the foregoing two (2) Business Day period, as applicable); 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in the case of the Company terminating this Agreement to concurrently enter into a definitive agreement with respect to a Company Superior Proposal, the Company shall have paid, or caused the payment of, to Parent the Company Termination Fee in accordance with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to the contrary contained in this Agreement, at any time prior to obtaining the Required Company Stockholder Vote, other than with respect to a Company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4.3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and (iv) does not result from or relate to (A) a Company Acquisition Proposal or a Company Superior Proposal, (B) the public announcement, execution, or delivery of this Agreement, the identity of Parent or its Affiliates,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b w:val="false"/>
          <w:i w:val="false"/>
          <w:caps w:val="false"/>
          <w:smallCaps w:val="false"/>
          <w:sz w:val="20"/>
          <w:u w:val="single"/>
        </w:rPr>
        <w:t xml:space="preserve">clauses (A)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(any such state of fact, event, change, effect, circumstance, occurrence, development, condition, circumstance, or combination thereof, being referred to as a “</w:t>
      </w:r>
      <w:r>
        <w:rPr>
          <w:rFonts w:ascii="Times New Roman;Times;Serif" w:hAnsi="Times New Roman;Times;Serif"/>
          <w:b w:val="false"/>
          <w:i w:val="false"/>
          <w:caps w:val="false"/>
          <w:smallCaps w:val="false"/>
          <w:sz w:val="20"/>
          <w:u w:val="single"/>
        </w:rPr>
        <w:t>Company Intervening Event</w:t>
      </w:r>
      <w:r>
        <w:rPr>
          <w:rFonts w:ascii="Times New Roman;Times;Serif" w:hAnsi="Times New Roman;Times;Serif"/>
          <w:b w:val="false"/>
          <w:i w:val="false"/>
          <w:caps w:val="false"/>
          <w:smallCaps w:val="false"/>
          <w:sz w:val="20"/>
        </w:rPr>
        <w:t xml:space="preserve">”);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Company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b w:val="false"/>
          <w:i w:val="false"/>
          <w:caps w:val="false"/>
          <w:smallCaps w:val="false"/>
          <w:sz w:val="20"/>
          <w:u w:val="single"/>
        </w:rPr>
        <w:t>clause (3)</w:t>
      </w:r>
      <w:r>
        <w:rPr>
          <w:rFonts w:ascii="Times New Roman;Times;Serif" w:hAnsi="Times New Roman;Times;Serif"/>
          <w:b w:val="false"/>
          <w:i w:val="false"/>
          <w:caps w:val="false"/>
          <w:smallCaps w:val="false"/>
          <w:sz w:val="20"/>
        </w:rPr>
        <w:t xml:space="preserve"> above, that, in light of such Company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any Company Change in Recommendation, unless this Agreement has been earlier terminated in accordance with </w:t>
      </w:r>
      <w:r>
        <w:rPr>
          <w:rFonts w:ascii="Times New Roman;Times;Serif" w:hAnsi="Times New Roman;Times;Serif"/>
          <w:b w:val="false"/>
          <w:i w:val="false"/>
          <w:caps w:val="false"/>
          <w:smallCaps w:val="false"/>
          <w:sz w:val="20"/>
          <w:u w:val="single"/>
        </w:rPr>
        <w:t xml:space="preserve">Section 6.1 </w:t>
      </w:r>
      <w:r>
        <w:rPr>
          <w:rFonts w:ascii="Times New Roman;Times;Serif" w:hAnsi="Times New Roman;Times;Serif"/>
          <w:b w:val="false"/>
          <w:i w:val="false"/>
          <w:caps w:val="false"/>
          <w:smallCaps w:val="false"/>
          <w:sz w:val="20"/>
        </w:rPr>
        <w:t>(including by the Company in order to concurrently enter into a definitive agreement with respect to a Company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either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xml:space="preserve">, no such communication or statement that would constitute a Company Change in Recommendation shall be permitted, made or taken except in accordance with </w:t>
      </w:r>
      <w:r>
        <w:rPr>
          <w:rFonts w:ascii="Times New Roman;Times;Serif" w:hAnsi="Times New Roman;Times;Serif"/>
          <w:b w:val="false"/>
          <w:i w:val="false"/>
          <w:caps w:val="false"/>
          <w:smallCaps w:val="false"/>
          <w:sz w:val="20"/>
          <w:u w:val="single"/>
        </w:rPr>
        <w:t>Section 4.5(c)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4.5(d)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Filings; Other 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b w:val="false"/>
          <w:i w:val="false"/>
          <w:caps w:val="false"/>
          <w:smallCaps w:val="false"/>
          <w:sz w:val="20"/>
          <w:u w:val="single"/>
        </w:rPr>
        <w:t xml:space="preserve">Section 4.6(a) </w:t>
      </w:r>
      <w:r>
        <w:rPr>
          <w:rFonts w:ascii="Times New Roman;Times;Serif" w:hAnsi="Times New Roman;Times;Serif"/>
          <w:b w:val="false"/>
          <w:i w:val="false"/>
          <w:caps w:val="false"/>
          <w:smallCaps w:val="false"/>
          <w:sz w:val="20"/>
        </w:rPr>
        <w:t>of the Company Disclosure Schedule, obtain all necessary consents, approvals or waivers from third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and as promptly as practicable and advisable after the date of this Agreement, but in no event later than as required by applicable Legal Requirements, prepare and file, or pre-file with regard to any Governmental Entity that requires such pre-filing prior to any formal filing of, all notifications required under any Legal Requirement with respect to any other Antitrust Laws;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for the avoidance of doubt, Parent and the Company previously filed relevant notifications required under the HSR Act on July 17, 2026, and were granted early termination of the HSR waiting period by the Federal Trade Commission on August 12, 2026.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4.6(b)</w:t>
      </w:r>
      <w:r>
        <w:rPr>
          <w:rFonts w:ascii="Times New Roman;Times;Serif" w:hAnsi="Times New Roman;Times;Serif"/>
          <w:b w:val="false"/>
          <w:i w:val="false"/>
          <w:caps w:val="false"/>
          <w:smallCaps w:val="false"/>
          <w:sz w:val="20"/>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Times;Serif" w:hAnsi="Times New Roman;Times;Serif"/>
          <w:b w:val="false"/>
          <w:i w:val="false"/>
          <w:caps w:val="false"/>
          <w:smallCaps w:val="false"/>
          <w:sz w:val="20"/>
          <w:u w:val="single"/>
        </w:rPr>
        <w:t>Section 4.6(a)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4.6(b) </w:t>
      </w:r>
      <w:r>
        <w:rPr>
          <w:rFonts w:ascii="Times New Roman;Times;Serif" w:hAnsi="Times New Roman;Times;Serif"/>
          <w:b w:val="false"/>
          <w:i w:val="false"/>
          <w:caps w:val="false"/>
          <w:smallCaps w:val="false"/>
          <w:sz w:val="20"/>
        </w:rPr>
        <w:t xml:space="preserve">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however, that Parent shall have the right to take the lead in all meetings, communications, discussions and negotiations with any Governmental Entity in connection with obtaining any such action or consent.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b w:val="false"/>
          <w:i w:val="false"/>
          <w:caps w:val="false"/>
          <w:smallCaps w:val="false"/>
          <w:sz w:val="20"/>
          <w:u w:val="single"/>
        </w:rPr>
        <w:t>Regulatory Remedies</w:t>
      </w:r>
      <w:r>
        <w:rPr>
          <w:rFonts w:ascii="Times New Roman;Times;Serif" w:hAnsi="Times New Roman;Times;Serif"/>
          <w:b w:val="false"/>
          <w:i w:val="false"/>
          <w:caps w:val="false"/>
          <w:smallCaps w:val="false"/>
          <w:sz w:val="20"/>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b w:val="false"/>
          <w:i w:val="false"/>
          <w:caps w:val="false"/>
          <w:smallCaps w:val="false"/>
          <w:sz w:val="20"/>
          <w:u w:val="single"/>
        </w:rPr>
        <w:t xml:space="preserve">Section 4.6(d) </w:t>
      </w:r>
      <w:r>
        <w:rPr>
          <w:rFonts w:ascii="Times New Roman;Times;Serif" w:hAnsi="Times New Roman;Times;Serif"/>
          <w:b w:val="false"/>
          <w:i w:val="false"/>
          <w:caps w:val="false"/>
          <w:smallCaps w:val="false"/>
          <w:sz w:val="20"/>
        </w:rPr>
        <w:t xml:space="preserve">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a whole, including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will be measured on a scale and size relative to the scale and size of the Company and its Subsidiaries, taken as a whole.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 furtherance and not in limitation of the covenants of the parties contained in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Parent agrees that, prior to the earlier of the Effective Time and the termination of this Agreement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the execution of this Agreement, Parent shall execute and deliver, in accordance with the DGCL and in its capacity as the sole stockholder of Merger Sub, a written consent adopting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Publicity; Confidentiality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b w:val="false"/>
          <w:i w:val="false"/>
          <w:caps w:val="false"/>
          <w:smallCaps w:val="false"/>
          <w:sz w:val="20"/>
          <w:u w:val="single"/>
        </w:rPr>
        <w:t>Sections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4.5 </w:t>
      </w:r>
      <w:r>
        <w:rPr>
          <w:rFonts w:ascii="Times New Roman;Times;Serif" w:hAnsi="Times New Roman;Times;Serif"/>
          <w:b w:val="false"/>
          <w:i w:val="false"/>
          <w:caps w:val="false"/>
          <w:smallCaps w:val="false"/>
          <w:sz w:val="20"/>
        </w:rPr>
        <w:t>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therein to the contrary, the term of the Non-Disclosure Agreement, other than Section 11 thereof (the obligations of Semiconductor Components Industries, LLC under which terminated on June 25, 2026),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Non-Disclosure Agreement is terminated pursuant to the preceding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then any provisions that survive the termination of the Non-Disclosure Agreement pursuant to its terms shall so survive. All information subject to the Clean Team Agreement or the Joint Defense Agreement shall remain so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Company ESPP; Other Employee Benefits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b w:val="false"/>
          <w:i w:val="false"/>
          <w:caps w:val="false"/>
          <w:smallCaps w:val="false"/>
          <w:sz w:val="20"/>
          <w:u w:val="single"/>
        </w:rPr>
        <w:t>Final Exercise Date</w:t>
      </w:r>
      <w:r>
        <w:rPr>
          <w:rFonts w:ascii="Times New Roman;Times;Serif" w:hAnsi="Times New Roman;Times;Serif"/>
          <w:b w:val="false"/>
          <w:i w:val="false"/>
          <w:caps w:val="false"/>
          <w:smallCaps w:val="false"/>
          <w:sz w:val="20"/>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b w:val="false"/>
          <w:i w:val="false"/>
          <w:caps w:val="false"/>
          <w:smallCaps w:val="false"/>
          <w:sz w:val="20"/>
          <w:u w:val="single"/>
        </w:rPr>
        <w:t>Company ESPP Rights</w:t>
      </w:r>
      <w:r>
        <w:rPr>
          <w:rFonts w:ascii="Times New Roman;Times;Serif" w:hAnsi="Times New Roman;Times;Serif"/>
          <w:b w:val="false"/>
          <w:i w:val="false"/>
          <w:caps w:val="false"/>
          <w:smallCaps w:val="false"/>
          <w:sz w:val="20"/>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b w:val="false"/>
          <w:i w:val="false"/>
          <w:caps w:val="false"/>
          <w:smallCaps w:val="false"/>
          <w:sz w:val="20"/>
          <w:u w:val="single"/>
        </w:rPr>
        <w:t>Section 4.9(a)</w:t>
      </w:r>
      <w:r>
        <w:rPr>
          <w:rFonts w:ascii="Times New Roman;Times;Serif" w:hAnsi="Times New Roman;Times;Serif"/>
          <w:b w:val="false"/>
          <w:i w:val="false"/>
          <w:caps w:val="false"/>
          <w:smallCaps w:val="false"/>
          <w:sz w:val="20"/>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b w:val="false"/>
          <w:i w:val="false"/>
          <w:caps w:val="false"/>
          <w:smallCaps w:val="false"/>
          <w:sz w:val="20"/>
          <w:u w:val="single"/>
        </w:rPr>
        <w:t>Section 1.5(a)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b w:val="false"/>
          <w:i w:val="false"/>
          <w:caps w:val="false"/>
          <w:smallCaps w:val="false"/>
          <w:sz w:val="20"/>
          <w:u w:val="single"/>
        </w:rPr>
        <w:t>Section 2.18(i)</w:t>
      </w:r>
      <w:r>
        <w:rPr>
          <w:rFonts w:ascii="Times New Roman;Times;Serif" w:hAnsi="Times New Roman;Times;Serif"/>
          <w:b w:val="false"/>
          <w:i w:val="false"/>
          <w:caps w:val="false"/>
          <w:smallCaps w:val="false"/>
          <w:sz w:val="20"/>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of Control Agreement (and his or her respective heirs, executors, administrators, legal representatives and assigns) is an intended third-party beneficiary of this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with full rights of enforcement as if a party 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b w:val="false"/>
          <w:i w:val="false"/>
          <w:caps w:val="false"/>
          <w:smallCaps w:val="false"/>
          <w:sz w:val="20"/>
          <w:u w:val="single"/>
        </w:rPr>
        <w:t>Company 401(k) Plan</w:t>
      </w:r>
      <w:r>
        <w:rPr>
          <w:rFonts w:ascii="Times New Roman;Times;Serif" w:hAnsi="Times New Roman;Times;Serif"/>
          <w:b w:val="false"/>
          <w:i w:val="false"/>
          <w:caps w:val="false"/>
          <w:smallCaps w:val="false"/>
          <w:sz w:val="20"/>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b w:val="false"/>
          <w:i w:val="false"/>
          <w:caps w:val="false"/>
          <w:smallCaps w:val="false"/>
          <w:sz w:val="20"/>
          <w:u w:val="single"/>
        </w:rPr>
        <w:t>Parent 401(k) Plan</w:t>
      </w:r>
      <w:r>
        <w:rPr>
          <w:rFonts w:ascii="Times New Roman;Times;Serif" w:hAnsi="Times New Roman;Times;Serif"/>
          <w:b w:val="false"/>
          <w:i w:val="false"/>
          <w:caps w:val="false"/>
          <w:smallCaps w:val="false"/>
          <w:sz w:val="20"/>
        </w:rPr>
        <w:t>”),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The provisions of this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are solely for the benefit of the parties and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b w:val="false"/>
          <w:i w:val="false"/>
          <w:caps w:val="false"/>
          <w:smallCaps w:val="false"/>
          <w:sz w:val="20"/>
          <w:u w:val="single"/>
        </w:rPr>
        <w:t xml:space="preserve">Section 4.9 </w:t>
      </w:r>
      <w:r>
        <w:rPr>
          <w:rFonts w:ascii="Times New Roman;Times;Serif" w:hAnsi="Times New Roman;Times;Serif"/>
          <w:b w:val="false"/>
          <w:i w:val="false"/>
          <w:caps w:val="false"/>
          <w:smallCaps w:val="false"/>
          <w:sz w:val="20"/>
        </w:rPr>
        <w:t xml:space="preserve">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as set forth therein.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4.10  </w:t>
      </w:r>
      <w:r>
        <w:rPr>
          <w:rFonts w:ascii="Times New Roman;Times;Serif" w:hAnsi="Times New Roman;Times;Serif"/>
          <w:b w:val="false"/>
          <w:i w:val="false"/>
          <w:caps w:val="false"/>
          <w:smallCaps w:val="false"/>
          <w:sz w:val="20"/>
          <w:u w:val="single"/>
        </w:rPr>
        <w:t>Indemnification; Directors’ and Officers’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b w:val="false"/>
          <w:i w:val="false"/>
          <w:caps w:val="false"/>
          <w:smallCaps w:val="false"/>
          <w:sz w:val="20"/>
          <w:u w:val="single"/>
        </w:rPr>
        <w:t>Section 4.10(a)</w:t>
      </w:r>
      <w:r>
        <w:rPr>
          <w:rFonts w:ascii="Times New Roman;Times;Serif" w:hAnsi="Times New Roman;Times;Serif"/>
          <w:b w:val="false"/>
          <w:i w:val="false"/>
          <w:caps w:val="false"/>
          <w:smallCaps w:val="false"/>
          <w:sz w:val="20"/>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b w:val="false"/>
          <w:i w:val="false"/>
          <w:caps w:val="false"/>
          <w:smallCaps w:val="false"/>
          <w:sz w:val="20"/>
          <w:u w:val="single"/>
        </w:rPr>
        <w:t>D&amp;O Policy</w:t>
      </w:r>
      <w:r>
        <w:rPr>
          <w:rFonts w:ascii="Times New Roman;Times;Serif" w:hAnsi="Times New Roman;Times;Serif"/>
          <w:b w:val="false"/>
          <w:i w:val="false"/>
          <w:caps w:val="false"/>
          <w:smallCaps w:val="false"/>
          <w:sz w:val="20"/>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b w:val="false"/>
          <w:i w:val="false"/>
          <w:caps w:val="false"/>
          <w:smallCaps w:val="false"/>
          <w:sz w:val="20"/>
          <w:u w:val="single"/>
        </w:rPr>
        <w:t>Maximum Amount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 xml:space="preserve">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Parent shall not be required to expend for such D&amp;O “tail” insurance an aggregate cost in excess of the Maximum Amount; and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Notwithstanding anything in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that require the Surviving Corporation to indemnify and advance expenses shall continue in effect with respect to such matter until the final disposition of all claims, actions, investigations, suits and proceedings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obligations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b w:val="false"/>
          <w:i w:val="false"/>
          <w:caps w:val="false"/>
          <w:smallCaps w:val="false"/>
          <w:sz w:val="20"/>
          <w:u w:val="single"/>
        </w:rPr>
        <w:t>Section 4.10(b)</w:t>
      </w:r>
      <w:r>
        <w:rPr>
          <w:rFonts w:ascii="Times New Roman;Times;Serif" w:hAnsi="Times New Roman;Times;Serif"/>
          <w:b w:val="false"/>
          <w:i w:val="false"/>
          <w:caps w:val="false"/>
          <w:smallCaps w:val="false"/>
          <w:sz w:val="20"/>
        </w:rPr>
        <w:t xml:space="preserve"> (and, after the death of any of the foregoing Persons, such Person’s heirs and representatives) are intended to be third party beneficiaries of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with full rights of enforcement as if a party thereto.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(and their heirs and representatives)) under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b w:val="false"/>
          <w:i w:val="false"/>
          <w:caps w:val="false"/>
          <w:smallCaps w:val="false"/>
          <w:sz w:val="20"/>
          <w:u w:val="single"/>
        </w:rPr>
        <w:t xml:space="preserve">Section 4.10(b), </w:t>
      </w:r>
      <w:r>
        <w:rPr>
          <w:rFonts w:ascii="Times New Roman;Times;Serif" w:hAnsi="Times New Roman;Times;Serif"/>
          <w:b w:val="false"/>
          <w:i w:val="false"/>
          <w:caps w:val="false"/>
          <w:smallCaps w:val="false"/>
          <w:sz w:val="20"/>
        </w:rPr>
        <w:t xml:space="preserve">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b w:val="false"/>
          <w:i w:val="false"/>
          <w:caps w:val="false"/>
          <w:smallCaps w:val="false"/>
          <w:sz w:val="20"/>
          <w:u w:val="single"/>
        </w:rPr>
        <w:t>Section 4.10.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Stockholder Litigation</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Proxy Statement or any previously-filed registration statement on Form S-4 or proxy statement/prospectus (each, a “</w:t>
      </w:r>
      <w:r>
        <w:rPr>
          <w:rFonts w:ascii="Times New Roman;Times;Serif" w:hAnsi="Times New Roman;Times;Serif"/>
          <w:b w:val="false"/>
          <w:i w:val="false"/>
          <w:caps w:val="false"/>
          <w:smallCaps w:val="false"/>
          <w:sz w:val="20"/>
          <w:u w:val="single"/>
        </w:rPr>
        <w:t>Transaction Litigation</w:t>
      </w:r>
      <w:r>
        <w:rPr>
          <w:rFonts w:ascii="Times New Roman;Times;Serif" w:hAnsi="Times New Roman;Times;Serif"/>
          <w:b w:val="false"/>
          <w:i w:val="false"/>
          <w:caps w:val="false"/>
          <w:smallCaps w:val="false"/>
          <w:sz w:val="20"/>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Stock Exchange Delisting</w:t>
      </w:r>
      <w:r>
        <w:rPr>
          <w:rFonts w:ascii="Times New Roman;Times;Serif" w:hAnsi="Times New Roman;Times;Serif"/>
          <w:b w:val="false"/>
          <w:i w:val="false"/>
          <w:caps w:val="false"/>
          <w:smallCaps w:val="false"/>
          <w:sz w:val="20"/>
        </w:rPr>
        <w:t>.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Section 16 Matters</w:t>
      </w:r>
      <w:r>
        <w:rPr>
          <w:rFonts w:ascii="Times New Roman;Times;Serif" w:hAnsi="Times New Roman;Times;Serif"/>
          <w:b w:val="false"/>
          <w:i/>
          <w:caps w:val="false"/>
          <w:smallCaps w:val="false"/>
          <w:sz w:val="20"/>
          <w:u w:val="single"/>
        </w:rPr>
        <w:t>.</w:t>
      </w:r>
      <w:r>
        <w:rPr>
          <w:rFonts w:ascii="Times New Roman;Times;Serif" w:hAnsi="Times New Roman;Times;Serif"/>
          <w:b w:val="false"/>
          <w:i w:val="false"/>
          <w:caps w:val="false"/>
          <w:smallCaps w:val="false"/>
          <w:sz w:val="20"/>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Director and Officer Resignations</w:t>
      </w:r>
      <w:r>
        <w:rPr>
          <w:rFonts w:ascii="Times New Roman;Times;Serif" w:hAnsi="Times New Roman;Times;Serif"/>
          <w:b w:val="false"/>
          <w:i w:val="false"/>
          <w:caps w:val="false"/>
          <w:smallCaps w:val="false"/>
          <w:sz w:val="20"/>
        </w:rPr>
        <w:t>.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Takeover Statutes</w:t>
      </w:r>
      <w:r>
        <w:rPr>
          <w:rFonts w:ascii="Times New Roman;Times;Serif" w:hAnsi="Times New Roman;Times;Serif"/>
          <w:b w:val="false"/>
          <w:i w:val="false"/>
          <w:caps w:val="false"/>
          <w:smallCaps w:val="false"/>
          <w:sz w:val="20"/>
        </w:rPr>
        <w:t>. If any antitakeover or similar statute or regulation is or may become applicable to the transactions contemplated by this Agreement, each of the parties hereto and its respective Board of Directors shall (a) grant any approvals and take all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4.16  </w:t>
      </w:r>
      <w:r>
        <w:rPr>
          <w:rFonts w:ascii="Times New Roman;Times;Serif" w:hAnsi="Times New Roman;Times;Serif"/>
          <w:b w:val="false"/>
          <w:i w:val="false"/>
          <w:caps w:val="false"/>
          <w:smallCaps w:val="false"/>
          <w:sz w:val="20"/>
          <w:u w:val="single"/>
        </w:rPr>
        <w:t>Treatment of Company Indebtedness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b w:val="false"/>
          <w:i w:val="false"/>
          <w:caps w:val="false"/>
          <w:smallCaps w:val="false"/>
          <w:sz w:val="20"/>
          <w:u w:val="single"/>
        </w:rPr>
        <w:t>Capped Call Dealers</w:t>
      </w:r>
      <w:r>
        <w:rPr>
          <w:rFonts w:ascii="Times New Roman;Times;Serif" w:hAnsi="Times New Roman;Times;Serif"/>
          <w:b w:val="false"/>
          <w:i w:val="false"/>
          <w:caps w:val="false"/>
          <w:smallCaps w:val="false"/>
          <w:sz w:val="20"/>
        </w:rPr>
        <w:t>”),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the avoidance of doubt, subject to </w:t>
      </w:r>
      <w:r>
        <w:rPr>
          <w:rFonts w:ascii="Times New Roman;Times;Serif" w:hAnsi="Times New Roman;Times;Serif"/>
          <w:b w:val="false"/>
          <w:i w:val="false"/>
          <w:caps w:val="false"/>
          <w:smallCaps w:val="false"/>
          <w:sz w:val="20"/>
          <w:u w:val="single"/>
        </w:rPr>
        <w:t>Section 4.2(a)</w:t>
      </w:r>
      <w:r>
        <w:rPr>
          <w:rFonts w:ascii="Times New Roman;Times;Serif" w:hAnsi="Times New Roman;Times;Serif"/>
          <w:b w:val="false"/>
          <w:i w:val="false"/>
          <w:caps w:val="false"/>
          <w:smallCaps w:val="false"/>
          <w:sz w:val="20"/>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reasonable best efforts to deliver to Parent no later than the Closing Date (i) an executed payoff letter with respect to the Company Credit Agreement (the “</w:t>
      </w:r>
      <w:r>
        <w:rPr>
          <w:rFonts w:ascii="Times New Roman;Times;Serif" w:hAnsi="Times New Roman;Times;Serif"/>
          <w:b w:val="false"/>
          <w:i w:val="false"/>
          <w:caps w:val="false"/>
          <w:smallCaps w:val="false"/>
          <w:sz w:val="20"/>
          <w:u w:val="single"/>
        </w:rPr>
        <w:t>Payoff Letter</w:t>
      </w:r>
      <w:r>
        <w:rPr>
          <w:rFonts w:ascii="Times New Roman;Times;Serif" w:hAnsi="Times New Roman;Times;Serif"/>
          <w:b w:val="false"/>
          <w:i w:val="false"/>
          <w:caps w:val="false"/>
          <w:smallCaps w:val="false"/>
          <w:sz w:val="20"/>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b w:val="false"/>
          <w:i w:val="false"/>
          <w:caps w:val="false"/>
          <w:smallCaps w:val="false"/>
          <w:sz w:val="20"/>
          <w:u w:val="single"/>
        </w:rPr>
        <w:t>Credit Facility Payoff Amount</w:t>
      </w:r>
      <w:r>
        <w:rPr>
          <w:rFonts w:ascii="Times New Roman;Times;Serif" w:hAnsi="Times New Roman;Times;Serif"/>
          <w:b w:val="false"/>
          <w:i w:val="false"/>
          <w:caps w:val="false"/>
          <w:smallCaps w:val="false"/>
          <w:sz w:val="20"/>
        </w:rPr>
        <w:t>”) and provide for the automatic termination of commitments thereunder and the automatic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b w:val="false"/>
          <w:i w:val="false"/>
          <w:caps w:val="false"/>
          <w:smallCaps w:val="false"/>
          <w:sz w:val="20"/>
          <w:u w:val="single"/>
        </w:rPr>
        <w:t>Credit Facility Termination</w:t>
      </w:r>
      <w:r>
        <w:rPr>
          <w:rFonts w:ascii="Times New Roman;Times;Serif" w:hAnsi="Times New Roman;Times;Serif"/>
          <w:b w:val="false"/>
          <w:i w:val="false"/>
          <w:caps w:val="false"/>
          <w:smallCaps w:val="false"/>
          <w:sz w:val="20"/>
        </w:rPr>
        <w:t>”), and (ii) all lien release documentation necessary to effect the release of any Liens and other security interests related to the Company Credit Agreement (including all necessary UCC-3 termination statements).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4.17  </w:t>
      </w:r>
      <w:r>
        <w:rPr>
          <w:rFonts w:ascii="Times New Roman;Times;Serif" w:hAnsi="Times New Roman;Times;Serif"/>
          <w:b w:val="false"/>
          <w:i w:val="false"/>
          <w:caps w:val="false"/>
          <w:smallCaps w:val="false"/>
          <w:sz w:val="20"/>
          <w:u w:val="single"/>
        </w:rPr>
        <w:t>Financing Cooperation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Effective Time, the Company shall use reasonable best efforts to, and shall cause the Company Subsidiaries to use reasonable best efforts to, and shall use its reasonable best efforts to cause its and their Representatives to, provide to Parent and Merger Sub all customary cooperation that is reasonably requested by Parent and Merger Sub in connection with the Financing (including any Financing that is a capital markets issuance), including using reasonable best efforts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furnish to Parent (A) audited consolidated balance sheets and related consolidated statements of operations, comprehensive (loss) income, stockholders’ equity (deficit) and cash flows for the Company for each of the three most recently completed fiscal years of the Company ended at least sixty (60) days prior to the Closing Date 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 provided that the references to 40 days and 60 days in such paragraph also shall be deemed to refer to the applicable closing date of any capital markets issuance as referenced in Section 4.17(a) above;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furnish to Parent such customary information regarding the Company and the Company Subsidiaries as is reasonably requested in writing by Parent (A) in connection with the preparation of customary offering and marketing documents (and any supplements thereto) for the Financing, or (B) as is reasonably necessary to permit Parent to prepare pro forma financial statements customarily included in marketing and offering documents for an offering of securities of Parent on a registration statement filed with the SEC in accordance with Article 11 of Regulation S-X under the Securities Act; it being understood that Parent, and not the Company or any Company Subsidiary, is responsible for preparation of pro forma financial statements and any other pro forma financial information;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furnish to the Financing Sources customary authorization letters from the Company (subject to customary confidentiality provisions and disclaimers) authorizing the distribution of information with respect to the Company and the Company Subsidiaries in customary marketing materials for the Financing and containing a customary negative assurance representation to the Financing Sources and a customary representation to the Financing Sources that the public side versions of such marketing materials, if any, do not include material non-public information about the Company, the Company Subsidiaries or its or their respective securities, in each case provided such marketing materials have been provided to the Company reasonably in advance of their intended distribution;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cause the Company’s independent accountants to provide assistance and cooperation reasonably requested by Parent in connection with the Financing and consistent with the customary practice of such accountants, including their participation in customary due diligence sessions and requesting that they provide any customary “comfort” letters (including customary “negative assurance” comfort for any applicable Financing) and (B) provide customary management representation letters to such auditors to the extent required in connection with such comfort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provide customary cooperation with the due diligence process of the applicable Financing Sources as reasonably requested by Parent, including participating upon reasonable prior notice and after prior consultation, at agreed times, in a reasonable number of virtual due diligence sessions, and cooperating with the customary marketing efforts of Parent, in each case, in connection with any Financing;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assist Parent in connection with the preparation and execution of the definitive documents in respect of the Financing, including (A) any credit agreements, guarantees, pledge and security documents and other definitive financing documents (and any disclosure schedules thereto), in each case, as may be reasonably requested by Parent or the Financing Sources, and (B) facilitating the pledging of collateral and the granting of security interests in respect of the Financing; it being understood that such documents will not be recorded or take effect, and no pledge or security interest in any asset or property of the Company or any Company Subsidiary pursuant to any such document shall be effective, prior to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execute and deliver or provide, as applicable, customary evidence of authority, customary officer’s certificates and customary insurance certificates, in each case, as reasonably requested by Parent and the Financing Sources;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take corporate or other organizational actions reasonably requested by Parent in connection with the consummation of Financing (which actions shall not be effective prior to the Effective Time);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furnish to Parent at least four (4)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the Parent in writing at least nine (9) Business Days prior to the Closing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neither the Company nor any Company Subsidiary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be required to become an issuer or an obligor with respect to the Financing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be required to cause any director, officer, member, partner, accountant, legal counsel, employee or other Representative of the Company or any Company Subsidiary to take or permit to take any action that could reasonably be expected to result in such Person incurring any personal liability;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be required to waive or amend any terms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be required to (A) take or permit the taking of any action that would or could reasonably be expected to conflict with, violate or result in a default under any applicable Law, fiduciary duty, or Company Material Contract (or other material Contract binding on the Company) in each case existing as of the date hereof or (B) to provide access to or disclose information subject to any attorney-client, attorney work product or other legal privilege;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be required to, nor shall any of their directors, employees, officers, members, partners or managers or other governing body be required to, adopt resolutions or consents to approve or authorize the Financing or the execution of the agreements, documents and instruments pursuant to which the Financing is obtained (it being acknowledged by the Parent and Merger Sub that any such resolutions or consents shall be derived exclusively from the authority of the board of directors or other applicable governing body of the Company and the Company Subsidiaries as constituted after giving effect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be required to (or be required to cause their Representatives to) execute, deliver or enter into, or perform any agreement, document or instrument (other than customary authorization letters and management representation letters expressly described in </w:t>
      </w:r>
      <w:r>
        <w:rPr>
          <w:rFonts w:ascii="Times New Roman;Times;Serif" w:hAnsi="Times New Roman;Times;Serif"/>
          <w:b w:val="false"/>
          <w:i w:val="false"/>
          <w:caps w:val="false"/>
          <w:smallCaps w:val="false"/>
          <w:sz w:val="20"/>
          <w:u w:val="single"/>
        </w:rPr>
        <w:t>clause (a)</w:t>
      </w:r>
      <w:r>
        <w:rPr>
          <w:rFonts w:ascii="Times New Roman;Times;Serif" w:hAnsi="Times New Roman;Times;Serif"/>
          <w:b w:val="false"/>
          <w:i w:val="false"/>
          <w:caps w:val="false"/>
          <w:smallCaps w:val="false"/>
          <w:sz w:val="20"/>
        </w:rPr>
        <w:t xml:space="preserve"> of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including any credit or other agreements, guarantees, pledge or security documents or certificates in connection with the Financing, in each case, that would be effective prior to the Effective Time and any such execution, delivery, entry into or performance will only be required of the respective directors, employees, officers and natural person managers, members and partners of the Company and the Company Subsidiaries who retain their respective positions as of, and immediately after, the Effective Time (except in each case with respect to such customary authorization letters and management representation letters);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be required to (or be required to cause their Representatives to) agree to any amendment to, change to, waiver of or modification of any Contract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be required to (or be required to cause their Representatives to) provide any indemnity that would be effective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be required to (or be required to cause their Representatives to) take or permit the taking of any action that would or could reasonably be expected to conflict with or violate any charter or other organizational documents of the Company or any of the Company Subsidiaries as in effect on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be required to (or be required to cause their Representatives to) prepare or furnish (A) pro forma financial statements, (B) any financial statements, analyses or information not prepared in the ordinary course of its financial reporting practice or (C) forecasts, projections or legal opinions;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be required to 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Closing to fail to be satisfied;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be required to take or permit the taking of any actions that would or could reasonably be expected to unreasonably interfere with the business or operations of the Company or any Company Subsidiary;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be required to change any fiscal period prior to the Effective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All information regarding the Company or the Company Subsidiaries obtained by Parent, Merger Sub or their respective Representatives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from or on behalf of the Company shall be kept confidential in accordance with the Non-Disclosure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to the contrary herein or in the Non-Disclosure Agreement or the Clean Team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hereby consents to the reasonable use of the Company’s and the Company Subsidiaries’ logos solely in connection with the marketing of the Financing; provided that such logos are used solely in a manner that is not intended to or reasonably likely to harm, disparage or otherwise adversely affect in any material respect the Company or the Company Subsidiaries or the reputation or goodwill of the Company or the Company Subsidiaries or any of their respective products, services, offerings or intellectual property rights.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Promptly upon written request by the Company, Parent will reimburse the Company for any reasonable and documented out-of-pocket costs and expenses (including reasonable and documented out-of-pocket attorneys’ fees) incurred by the Company, the Company Subsidiaries and their respective Representatives in connection with the cooperation required by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that would not otherwise have been incurred,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Company, the Company Subsidiaries and its and their respective affiliates and Representatives will be indemnified and held harmless by Parent from and against any and all liabilities, losses, damages, claims, costs, expenses (including reasonable and documented out-of-pocket attorney’s fees), interest, awards, judgments, penalties and amounts paid in settlement suffered or incurred by them in connection with the Financing, their cooperation pursuant to this Section 4.17 and any other action taken by them at the request of Parent or Merger Sub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including the provision of information (other than written information provided by or on behalf of the Company or any Company Subsidiary),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with the Financing. The reimbursement obligations pursuant to </w:t>
      </w:r>
      <w:r>
        <w:rPr>
          <w:rFonts w:ascii="Times New Roman;Times;Serif" w:hAnsi="Times New Roman;Times;Serif"/>
          <w:b w:val="false"/>
          <w:i w:val="false"/>
          <w:caps w:val="false"/>
          <w:smallCaps w:val="false"/>
          <w:sz w:val="20"/>
          <w:u w:val="single"/>
        </w:rPr>
        <w:t>Section 4.17(e)</w:t>
      </w:r>
      <w:r>
        <w:rPr>
          <w:rFonts w:ascii="Times New Roman;Times;Serif" w:hAnsi="Times New Roman;Times;Serif"/>
          <w:b w:val="false"/>
          <w:i w:val="false"/>
          <w:caps w:val="false"/>
          <w:smallCaps w:val="false"/>
          <w:sz w:val="20"/>
        </w:rPr>
        <w:t xml:space="preserve"> and the indemnification obligations pursuant to this </w:t>
      </w:r>
      <w:r>
        <w:rPr>
          <w:rFonts w:ascii="Times New Roman;Times;Serif" w:hAnsi="Times New Roman;Times;Serif"/>
          <w:b w:val="false"/>
          <w:i w:val="false"/>
          <w:caps w:val="false"/>
          <w:smallCaps w:val="false"/>
          <w:sz w:val="20"/>
          <w:u w:val="single"/>
        </w:rPr>
        <w:t>Section 4.17(f)</w:t>
      </w:r>
      <w:r>
        <w:rPr>
          <w:rFonts w:ascii="Times New Roman;Times;Serif" w:hAnsi="Times New Roman;Times;Serif"/>
          <w:b w:val="false"/>
          <w:i w:val="false"/>
          <w:caps w:val="false"/>
          <w:smallCaps w:val="false"/>
          <w:sz w:val="20"/>
        </w:rPr>
        <w:t xml:space="preserve"> (collectively, the “</w:t>
      </w:r>
      <w:r>
        <w:rPr>
          <w:rFonts w:ascii="Times New Roman;Times;Serif" w:hAnsi="Times New Roman;Times;Serif"/>
          <w:b w:val="false"/>
          <w:i w:val="false"/>
          <w:caps w:val="false"/>
          <w:smallCaps w:val="false"/>
          <w:sz w:val="20"/>
          <w:u w:val="single"/>
        </w:rPr>
        <w:t>Financing Indemnity</w:t>
      </w:r>
      <w:r>
        <w:rPr>
          <w:rFonts w:ascii="Times New Roman;Times;Serif" w:hAnsi="Times New Roman;Times;Serif"/>
          <w:b w:val="false"/>
          <w:i w:val="false"/>
          <w:caps w:val="false"/>
          <w:smallCaps w:val="false"/>
          <w:sz w:val="20"/>
        </w:rPr>
        <w:t>”) shall survive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Parent and Merger Sub hereby acknowledge and agree that obtaining the Financing or any other debt, equity or other financing is not a condition to the Merger, and that if neither the Financing nor any other debt, equity or other financing is obtained, Parent and Merger Sub will each continue to be obligated, subject to the satisfaction or waiver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and the other terms hereof, to consummate the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For the avoidance of doubt, the parties hereto acknowledge and agree that the provisions contained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represent the sole obligation of the Company, the Company Subsidiaries and their respective Representatives with respect to cooperation in connection with any Financing and no other provision of this Agreement (including the Exhibits and Schedules hereto) shall be deemed to expand or modify such obligations; provided that nothing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limit or modify the Company’s or the Company Subsidiaries’ obligations under </w:t>
      </w:r>
      <w:r>
        <w:rPr>
          <w:rFonts w:ascii="Times New Roman;Times;Serif" w:hAnsi="Times New Roman;Times;Serif"/>
          <w:b w:val="false"/>
          <w:i w:val="false"/>
          <w:caps w:val="false"/>
          <w:smallCaps w:val="false"/>
          <w:sz w:val="20"/>
          <w:u w:val="single"/>
        </w:rPr>
        <w:t>Section 4.16</w:t>
      </w:r>
      <w:r>
        <w:rPr>
          <w:rFonts w:ascii="Times New Roman;Times;Serif" w:hAnsi="Times New Roman;Times;Serif"/>
          <w:b w:val="false"/>
          <w:i w:val="false"/>
          <w:caps w:val="false"/>
          <w:smallCaps w:val="false"/>
          <w:sz w:val="20"/>
        </w:rPr>
        <w:t xml:space="preserve"> or any other provisions of this Agreement that does not relate to cooperation in connection with the Financing.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Notwithstanding anything in this Agreement to the contrary, and without limiting Parent’s right to seek specific performance or other equitable relief to cause the Company to comply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pursuant to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for purposes of determining whether any of the conditions to Closing set forth in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have been satisfied, the Company and the Company Subsidiaries shall be deemed to be in compliance with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unless Parent’s failure to obtain the Committed Financing and any Alternative Financing was due primarily to a material breach by the Company of its obligations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Notification of Certain Events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of the Company and Parent shall, as promptly as reasonably practicable, notify the other party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notification shall affect or be deemed to modify any representation or warranty of the notifying party set forth herein or the conditions to the obligations of the other party to consummate the Merger, or the remedies available to the parties hereto. The Company shall, as promptly as reasonably practicable, notify Parent,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b w:val="false"/>
          <w:i w:val="false"/>
          <w:caps w:val="false"/>
          <w:smallCaps w:val="false"/>
          <w:sz w:val="20"/>
          <w:u w:val="single"/>
        </w:rPr>
        <w:t xml:space="preserve">Section 4.18(b) </w:t>
      </w:r>
      <w:r>
        <w:rPr>
          <w:rFonts w:ascii="Times New Roman;Times;Serif" w:hAnsi="Times New Roman;Times;Serif"/>
          <w:b w:val="false"/>
          <w:i w:val="false"/>
          <w:caps w:val="false"/>
          <w:smallCaps w:val="false"/>
          <w:sz w:val="20"/>
        </w:rPr>
        <w:t>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failure by a party to deliver any notice pursuant to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 xml:space="preserve"> shall not affect any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or factor into whether any right to terminate under </w:t>
      </w:r>
      <w:r>
        <w:rPr>
          <w:rFonts w:ascii="Times New Roman;Times;Serif" w:hAnsi="Times New Roman;Times;Serif"/>
          <w:b w:val="false"/>
          <w:i w:val="false"/>
          <w:caps w:val="false"/>
          <w:smallCaps w:val="false"/>
          <w:sz w:val="20"/>
          <w:u w:val="single"/>
        </w:rPr>
        <w:t>ARTICLE VI</w:t>
      </w:r>
      <w:r>
        <w:rPr>
          <w:rFonts w:ascii="Times New Roman;Times;Serif" w:hAnsi="Times New Roman;Times;Serif"/>
          <w:b w:val="false"/>
          <w:i w:val="false"/>
          <w:caps w:val="false"/>
          <w:smallCaps w:val="false"/>
          <w:sz w:val="20"/>
        </w:rPr>
        <w:t xml:space="preserve"> may arise unless such failure was due to such party’s intentional and material breach of the preceding terms of this </w:t>
      </w:r>
      <w:r>
        <w:rPr>
          <w:rFonts w:ascii="Times New Roman;Times;Serif" w:hAnsi="Times New Roman;Times;Serif"/>
          <w:b w:val="false"/>
          <w:i w:val="false"/>
          <w:caps w:val="false"/>
          <w:smallCaps w:val="false"/>
          <w:sz w:val="20"/>
          <w:u w:val="single"/>
        </w:rPr>
        <w:t>Section 4.18</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Parent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(including, to the extent applicable, the “market flex” provisions) described in the Debt Commitment Letter, including using its, and causing its Subsidiaries to use their, reasonable best efforts to: (i) maintain in full force and effect the Debt Commitment Letter in accordance with its terms, (ii) timely (and in any event by the Closing) negotiate, enter into and deliver definitive agreements with respect to the Committed Financing (the “</w:t>
      </w:r>
      <w:r>
        <w:rPr>
          <w:rFonts w:ascii="Times New Roman;Times;Serif" w:hAnsi="Times New Roman;Times;Serif"/>
          <w:b w:val="false"/>
          <w:i w:val="false"/>
          <w:caps w:val="false"/>
          <w:smallCaps w:val="false"/>
          <w:sz w:val="20"/>
          <w:u w:val="single"/>
        </w:rPr>
        <w:t>Definitive Financing Documents</w:t>
      </w:r>
      <w:r>
        <w:rPr>
          <w:rFonts w:ascii="Times New Roman;Times;Serif" w:hAnsi="Times New Roman;Times;Serif"/>
          <w:b w:val="false"/>
          <w:i w:val="false"/>
          <w:caps w:val="false"/>
          <w:smallCaps w:val="false"/>
          <w:sz w:val="20"/>
        </w:rPr>
        <w:t>”), on the terms and subject solely to the conditions (including, to the extent applicable, the “market flex” provisions) described in the Debt Commitment Letter, (iii) satisfy (or obtain a waiver of) on a timely basis all conditions and comply on a timely basis with (or obtain a waiver of) all covenants and obligations applicable to Parent or any of its Subsidiaries in the Debt Commitment Letter and the Definitive Financing Documents, (iv) enforce all of its rights under the Debt Commitment Letter and the Definitive Financing Documents in a timely and diligent manner, and (v) consummate the Committed Financing no later than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Parent shall not (and shall cause its Subsidiaries not to) amend, restate, supplement or modify, replace (or replace any commitment under), or grant any consent or waive any provision under, the Debt Commitment Letter or the Definitive Financing Documents, in whole or in part, without the prior written consent of the Company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Parent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Parent to enforce its rights against the other parties to the Debt Commitment Letter or the Definitive Financing Documents (it being understood that Parent may (notwithstanding anything to the contrary in the Non-Disclosure Agreement or the Clean Team Agreement) amend, restate, modify or supplement the Debt Commitment Letter or the Definitive Financing Documents solely to add lenders, lead arrangers, bookrunners, underwriters, syndication agents or similar entities that have not executed the Debt Commitment Letter as of the date of this Agreement without the Company’s consent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such amendment, restatement, modification or supplement shall otherwise comply with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Parent shall promptly deliver to the Company true and complete copies of any amendment, restatement, supplement, replacement, modification or waiver of or to, or consent under, the Debt Commitment Letter; provided that any fee letter to be delivered by Parent in connection herewith may be customarily redacted as provided for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at any time prior to the Effective Time, any portion of the Committed Financing becomes unavailable for any reason such that Parent would not have available cash, after giving effect to all other sources of cash that would be available to Parent on the Closing Date, to satisfy Parent’s payment obligations under this Agreement due on the Closing Date, including payment of the Required Amounts, (i) Parent shall notify the Company in writing thereof as promptly as practicable after obtaining knowledge thereof, and (ii) Parent shall use its reasonable best efforts to obtain as promptly as practicable following the occurrence of such event, alternative debt financing (A) in an amount sufficient, together with the available portion of the Financing and all other sources of cash that would be available to Parent on the Closing Date, to consummate the Merger on the Closing Date and to otherwise pay the Required Amounts, (B) that does not impose new or additional conditions precedent or expand upon the conditions precedent to the Committed Financing as set forth in the Debt Commitment Letter (as in effect on the date of this Agreement), and (C) which would not reasonably be expected to impede, delay, prevent or otherwise adversely impact the consummation of the Merger and the other transactions contemplated hereby (an “</w:t>
      </w:r>
      <w:r>
        <w:rPr>
          <w:rFonts w:ascii="Times New Roman;Times;Serif" w:hAnsi="Times New Roman;Times;Serif"/>
          <w:b w:val="false"/>
          <w:i w:val="false"/>
          <w:caps w:val="false"/>
          <w:smallCaps w:val="false"/>
          <w:sz w:val="20"/>
          <w:u w:val="single"/>
        </w:rPr>
        <w:t>Alternative Financing</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Upon (i) obtaining any commitment for any Alternative Financing or any other Financing constituting a replacement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or (ii) any amendment, restatement, supplement, replacement, modification or waiver of the Debt Commitment Letter or the Definitive Financing Documents, in each case, as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the definitions of “Debt Commitment Letter” or “Definitive Financing Documents”, as applicable, shall be deemed to have been modified as appropriate to reflect such Alternative Financing, replacement Financing or amendment, restatement, supplement, replacement, modification or waiver,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Parent shall keep the Company reasonably informed upon the Company’s written request of the status of its efforts to arrange the Financing. Without limiting the generality of the foregoing, Parent shall (i) furnish the Company with executed copies of any amendments, restatements, supplements, replacements, modifications to or waivers of the Debt Commitment Letter, Definitive Financing Documents or Alternative Financing permitted by </w:t>
      </w:r>
      <w:r>
        <w:rPr>
          <w:rFonts w:ascii="Times New Roman;Times;Serif" w:hAnsi="Times New Roman;Times;Serif"/>
          <w:b w:val="false"/>
          <w:i w:val="false"/>
          <w:caps w:val="false"/>
          <w:smallCaps w:val="false"/>
          <w:sz w:val="20"/>
          <w:u w:val="single"/>
        </w:rPr>
        <w:t>Section 4.19(b)</w:t>
      </w:r>
      <w:r>
        <w:rPr>
          <w:rFonts w:ascii="Times New Roman;Times;Serif" w:hAnsi="Times New Roman;Times;Serif"/>
          <w:b w:val="false"/>
          <w:i w:val="false"/>
          <w:caps w:val="false"/>
          <w:smallCaps w:val="false"/>
          <w:sz w:val="20"/>
        </w:rPr>
        <w:t xml:space="preserve"> (with any fee letter redacted in a customary manner to the extent described in </w:t>
      </w:r>
      <w:r>
        <w:rPr>
          <w:rFonts w:ascii="Times New Roman;Times;Serif" w:hAnsi="Times New Roman;Times;Serif"/>
          <w:b w:val="false"/>
          <w:i w:val="false"/>
          <w:caps w:val="false"/>
          <w:smallCaps w:val="false"/>
          <w:sz w:val="20"/>
          <w:u w:val="single"/>
        </w:rPr>
        <w:t>Section 3.8(a)</w:t>
      </w:r>
      <w:r>
        <w:rPr>
          <w:rFonts w:ascii="Times New Roman;Times;Serif" w:hAnsi="Times New Roman;Times;Serif"/>
          <w:b w:val="false"/>
          <w:i w:val="false"/>
          <w:caps w:val="false"/>
          <w:smallCaps w:val="false"/>
          <w:sz w:val="20"/>
        </w:rPr>
        <w:t>) promptly after their execution, and (ii) give the Company prompt written notice (A) of any actual or threatened in writing default or breach (or any event or circumstances that, with or without notice, lapse of time or both, could reasonably be expected to give rise to any default or breach) under, or in repudiation, rescission, cancellation or expiration of, the Debt Commitment Letter or the Definitive Financing Documents by any party thereto, in each case, of which Parent becomes aware, (B) of any termination of the Debt Commitment Letter or reduction in aggregate commitments thereunder, (C) of the receipt by Parent or any Affiliate of Parent of any written notice or other written communication from any Person with respect to (x) a breach of Parent’s or any of its Affiliates’ obligations under the Debt Commitment Letter or Definitive Financing Documents, or actual or potential default, termination or repudiation by any party to any of the Debt Commitment Letter or Definitive Financing Documents (including any proposal by any Financing Source, lender or other Person to withdraw, terminate, repudiate, rescind or make a material change in the terms of (including the amount of the Committed Financing contemplated by the Debt Commitment Letter) the Debt Commitment Letter), and (y) any material dispute or disagreement between or among any parties to the Debt Commitment Letter or any Definitive Financing Document relating to the initial availability of the Committed Financing or the amount of the Committed Financing to be funded at Closing, and (D) of the receipt by Parent or any Affiliate of Parent of any written notice or other written communication on the basis of which Parent expects that a party to the Committed Financing will fail to fund the Committed Financing or is reducing the amount of the Committed Financing. In the event that Parent commences an enforcement action to enforce its rights under any agreement in respect of the Committed Financing or to cause any Financing Source to fund all or any portion of the Committed Financing, Parent shall keep the Company reasonably informed of the status of such enforcement action upon the Company’s written request.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Parent and Merger Sub expressly acknowledge and agree that neither Parent’s nor Merger Sub’s obligations hereunder, including to consummate the Closing subject to the terms and conditions hereof, are conditioned upon Parent or Merger Sub obtaining the Financing, any Alternative Financing or any other debt, equity or other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r>
      <w:r>
        <w:rPr>
          <w:rFonts w:ascii="Times New Roman;Times;Serif" w:hAnsi="Times New Roman;Times;Serif"/>
          <w:b/>
          <w:i w:val="false"/>
          <w:caps w:val="false"/>
          <w:smallCaps w:val="false"/>
          <w:sz w:val="20"/>
          <w:u w:val="single"/>
        </w:rPr>
        <w:t>CONDITIONS TO EACH PARTY’S OBLIGATION TO EFFECT THE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Conditions Precedent to Each Party’s Obligations.</w:t>
      </w:r>
      <w:r>
        <w:rPr>
          <w:rFonts w:ascii="Times New Roman;Times;Serif" w:hAnsi="Times New Roman;Times;Serif"/>
          <w:b w:val="false"/>
          <w:i w:val="false"/>
          <w:caps w:val="false"/>
          <w:smallCaps w:val="false"/>
          <w:sz w:val="20"/>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Company Stockholder Approval</w:t>
      </w:r>
      <w:r>
        <w:rPr>
          <w:rFonts w:ascii="Times New Roman;Times;Serif" w:hAnsi="Times New Roman;Times;Serif"/>
          <w:b w:val="false"/>
          <w:i w:val="false"/>
          <w:caps w:val="false"/>
          <w:smallCaps w:val="false"/>
          <w:sz w:val="20"/>
        </w:rPr>
        <w:t>. The Required Company Stockholder Vote shall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have been obtained and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Absence of Relevant Legal Restraints</w:t>
      </w:r>
      <w:r>
        <w:rPr>
          <w:rFonts w:ascii="Times New Roman;Times;Serif" w:hAnsi="Times New Roman;Times;Serif"/>
          <w:b w:val="false"/>
          <w:i w:val="false"/>
          <w:caps w:val="false"/>
          <w:smallCaps w:val="false"/>
          <w:sz w:val="20"/>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shall constitute a court of competent jurisdiction or other Governmental Entity for purposes of this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(each, a “</w:t>
      </w:r>
      <w:r>
        <w:rPr>
          <w:rFonts w:ascii="Times New Roman;Times;Serif" w:hAnsi="Times New Roman;Times;Serif"/>
          <w:b w:val="false"/>
          <w:i w:val="false"/>
          <w:caps w:val="false"/>
          <w:smallCaps w:val="false"/>
          <w:sz w:val="20"/>
          <w:u w:val="single"/>
        </w:rPr>
        <w:t>Relevant Legal Restraint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Additional Conditions Precedent to Parent’s Obligations</w:t>
      </w:r>
      <w:r>
        <w:rPr>
          <w:rFonts w:ascii="Times New Roman;Times;Serif" w:hAnsi="Times New Roman;Times;Serif"/>
          <w:b w:val="false"/>
          <w:i w:val="false"/>
          <w:caps w:val="false"/>
          <w:smallCaps w:val="false"/>
          <w:sz w:val="20"/>
        </w:rPr>
        <w:t>. The obligation of Parent to cause the Merger to be effected and otherwise cause the transactions contemplated by this Agreement to be consummated is subject to the satisfaction or waiver by Parent,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the Company contained in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2.8(a)</w:t>
      </w:r>
      <w:r>
        <w:rPr>
          <w:rFonts w:ascii="Times New Roman;Times;Serif" w:hAnsi="Times New Roman;Times;Serif"/>
          <w:b w:val="false"/>
          <w:i w:val="false"/>
          <w:caps w:val="false"/>
          <w:smallCaps w:val="false"/>
          <w:sz w:val="20"/>
        </w:rPr>
        <w:t xml:space="preserve"> shall have been true and accurate in all respects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date hereof and shall be true and accurate (other than, with respect to </w:t>
      </w:r>
      <w:r>
        <w:rPr>
          <w:rFonts w:ascii="Times New Roman;Times;Serif" w:hAnsi="Times New Roman;Times;Serif"/>
          <w:b w:val="false"/>
          <w:i w:val="false"/>
          <w:caps w:val="false"/>
          <w:smallCaps w:val="false"/>
          <w:sz w:val="20"/>
          <w:u w:val="single"/>
        </w:rPr>
        <w:t>Sections 2.2(a)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b w:val="false"/>
          <w:i w:val="false"/>
          <w:caps w:val="false"/>
          <w:smallCaps w:val="false"/>
          <w:sz w:val="20"/>
          <w:u w:val="single"/>
        </w:rPr>
        <w:t xml:space="preserve">Sections 2.2(a)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2.2(b)</w:t>
      </w:r>
      <w:r>
        <w:rPr>
          <w:rFonts w:ascii="Times New Roman;Times;Serif" w:hAnsi="Times New Roman;Times;Serif"/>
          <w:b w:val="false"/>
          <w:i w:val="false"/>
          <w:caps w:val="false"/>
          <w:smallCaps w:val="false"/>
          <w:sz w:val="20"/>
        </w:rPr>
        <w:t xml:space="preserve"> for de minimis inaccuracies, as of such particular date or period of time); (ii) the representations and warranties of the Company contained in </w:t>
      </w:r>
      <w:r>
        <w:rPr>
          <w:rFonts w:ascii="Times New Roman;Times;Serif" w:hAnsi="Times New Roman;Times;Serif"/>
          <w:b w:val="false"/>
          <w:i w:val="false"/>
          <w:caps w:val="false"/>
          <w:smallCaps w:val="false"/>
          <w:sz w:val="20"/>
          <w:u w:val="single"/>
        </w:rPr>
        <w:t>Section 2.1(a)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2.6(a)(i) </w:t>
      </w:r>
      <w:r>
        <w:rPr>
          <w:rFonts w:ascii="Times New Roman;Times;Serif" w:hAnsi="Times New Roman;Times;Serif"/>
          <w:b w:val="false"/>
          <w:i w:val="false"/>
          <w:caps w:val="false"/>
          <w:smallCaps w:val="false"/>
          <w:sz w:val="20"/>
        </w:rPr>
        <w:t xml:space="preserve">(solely with respect to the Company’s Organizational Documents),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2.25</w:t>
      </w:r>
      <w:r>
        <w:rPr>
          <w:rFonts w:ascii="Times New Roman;Times;Serif" w:hAnsi="Times New Roman;Times;Serif"/>
          <w:b w:val="false"/>
          <w:i w:val="false"/>
          <w:caps w:val="false"/>
          <w:smallCaps w:val="false"/>
          <w:sz w:val="20"/>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(iii)</w:t>
      </w:r>
      <w:r>
        <w:rPr>
          <w:rFonts w:ascii="Times New Roman;Times;Serif" w:hAnsi="Times New Roman;Times;Serif"/>
          <w:b w:val="false"/>
          <w:i w:val="false"/>
          <w:caps w:val="false"/>
          <w:smallCaps w:val="false"/>
          <w:sz w:val="20"/>
        </w:rPr>
        <w:t>, for purposes of determining the accuracy of such representations and warranties, all materiality, “Company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The Company shall have complied with or performed in all material respects all of the obligations, covenants and agreements that the Company is required to comply with or perform at or prior to the Closing.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No Company Material Adverse Effect</w:t>
      </w:r>
      <w:r>
        <w:rPr>
          <w:rFonts w:ascii="Times New Roman;Times;Serif" w:hAnsi="Times New Roman;Times;Serif"/>
          <w:b w:val="false"/>
          <w:i w:val="false"/>
          <w:caps w:val="false"/>
          <w:smallCaps w:val="false"/>
          <w:sz w:val="20"/>
        </w:rPr>
        <w:t>. Since the date of this Agreement, there shall not have occurred any Effects that, individually or in the aggregate, have constituted or resulted in a Company Material Adverse Effect that is continuing.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Section 5.2(c)</w:t>
      </w:r>
      <w:r>
        <w:rPr>
          <w:rFonts w:ascii="Times New Roman;Times;Serif" w:hAnsi="Times New Roman;Times;Serif"/>
          <w:b w:val="false"/>
          <w:i w:val="false"/>
          <w:caps w:val="false"/>
          <w:smallCaps w:val="false"/>
          <w:sz w:val="20"/>
        </w:rPr>
        <w:t xml:space="preserve"> have been duly satisfied.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Additional Conditions Precedent to Company’s Obligations</w:t>
      </w:r>
      <w:r>
        <w:rPr>
          <w:rFonts w:ascii="Times New Roman;Times;Serif" w:hAnsi="Times New Roman;Times;Serif"/>
          <w:b w:val="false"/>
          <w:i w:val="false"/>
          <w:caps w:val="false"/>
          <w:smallCaps w:val="false"/>
          <w:sz w:val="20"/>
        </w:rPr>
        <w:t>. The obligation of the Company to effect the Merger and otherwise consummate the transactions contemplated by this Agreement is subject to the satisfaction or waiver by the Company, as of the Closing, of each of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Accuracy of Representations</w:t>
      </w:r>
      <w:r>
        <w:rPr>
          <w:rFonts w:ascii="Times New Roman;Times;Serif" w:hAnsi="Times New Roman;Times;Serif"/>
          <w:b w:val="false"/>
          <w:i w:val="false"/>
          <w:caps w:val="false"/>
          <w:smallCaps w:val="false"/>
          <w:sz w:val="20"/>
        </w:rPr>
        <w:t xml:space="preserve">. (i) The representations and warranties of Parent and Merger Sub contained in </w:t>
      </w:r>
      <w:r>
        <w:rPr>
          <w:rFonts w:ascii="Times New Roman;Times;Serif" w:hAnsi="Times New Roman;Times;Serif"/>
          <w:b w:val="false"/>
          <w:i w:val="false"/>
          <w:caps w:val="false"/>
          <w:smallCaps w:val="false"/>
          <w:sz w:val="20"/>
          <w:u w:val="single"/>
        </w:rPr>
        <w:t>Section 3.1(a)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3.3(a)(i)</w:t>
      </w:r>
      <w:r>
        <w:rPr>
          <w:rFonts w:ascii="Times New Roman;Times;Serif" w:hAnsi="Times New Roman;Times;Serif"/>
          <w:b w:val="false"/>
          <w:i w:val="false"/>
          <w:caps w:val="false"/>
          <w:smallCaps w:val="false"/>
          <w:sz w:val="20"/>
        </w:rPr>
        <w:t xml:space="preserve"> (solely with respect to Parent’s Organizational Documents) and </w:t>
      </w:r>
      <w:r>
        <w:rPr>
          <w:rFonts w:ascii="Times New Roman;Times;Serif" w:hAnsi="Times New Roman;Times;Serif"/>
          <w:b w:val="false"/>
          <w:i w:val="false"/>
          <w:caps w:val="false"/>
          <w:smallCaps w:val="false"/>
          <w:sz w:val="20"/>
          <w:u w:val="single"/>
        </w:rPr>
        <w:t xml:space="preserve">Section 3.6 </w:t>
      </w:r>
      <w:r>
        <w:rPr>
          <w:rFonts w:ascii="Times New Roman;Times;Serif" w:hAnsi="Times New Roman;Times;Serif"/>
          <w:b w:val="false"/>
          <w:i w:val="false"/>
          <w:caps w:val="false"/>
          <w:smallCaps w:val="false"/>
          <w:sz w:val="20"/>
        </w:rPr>
        <w:t xml:space="preserve">(A)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w:t>
      </w:r>
      <w:r>
        <w:rPr>
          <w:rFonts w:ascii="Times New Roman;Times;Serif" w:hAnsi="Times New Roman;Times;Serif"/>
          <w:b w:val="false"/>
          <w:i w:val="false"/>
          <w:caps w:val="false"/>
          <w:smallCaps w:val="false"/>
          <w:sz w:val="20"/>
          <w:u w:val="single"/>
        </w:rPr>
        <w:t>clause (i)(B)</w:t>
      </w:r>
      <w:r>
        <w:rPr>
          <w:rFonts w:ascii="Times New Roman;Times;Serif" w:hAnsi="Times New Roman;Times;Serif"/>
          <w:b w:val="false"/>
          <w:i w:val="false"/>
          <w:caps w:val="false"/>
          <w:smallCaps w:val="false"/>
          <w:sz w:val="20"/>
        </w:rPr>
        <w:t xml:space="preserve">, for purposes of determining the accuracy of such representations and warranties, all materiality and similar qualifications set forth in such representations and warranties shall be disregarded; and (ii) the representations and warranties of Parent and Merger Sub set forth in this Agreement (other than those representations and warranties referred to in the foregoing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in the case of this </w:t>
      </w:r>
      <w:r>
        <w:rPr>
          <w:rFonts w:ascii="Times New Roman;Times;Serif" w:hAnsi="Times New Roman;Times;Serif"/>
          <w:b w:val="false"/>
          <w:i w:val="false"/>
          <w:caps w:val="false"/>
          <w:smallCaps w:val="false"/>
          <w:sz w:val="20"/>
          <w:u w:val="single"/>
        </w:rPr>
        <w:t>clause (ii)</w:t>
      </w:r>
      <w:r>
        <w:rPr>
          <w:rFonts w:ascii="Times New Roman;Times;Serif" w:hAnsi="Times New Roman;Times;Serif"/>
          <w:b w:val="false"/>
          <w:i w:val="false"/>
          <w:caps w:val="false"/>
          <w:smallCaps w:val="false"/>
          <w:sz w:val="20"/>
        </w:rPr>
        <w:t>, for purposes of determining the accuracy of such representations and warranties, all materiality, “Parent Material Adverse Effect” and similar qualifications set forth in such representations and warranties shall be disregarded.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Parent shall have complied with or performed in all material respects all of the obligations, covenants and agreements that Parent is required to comply with or perform at or prior to the Closing.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have been duly satisfied.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br/>
      </w:r>
      <w:r>
        <w:rPr>
          <w:rFonts w:ascii="Times New Roman;Times;Serif" w:hAnsi="Times New Roman;Times;Serif"/>
          <w:b/>
          <w:i w:val="false"/>
          <w:caps w:val="false"/>
          <w:smallCaps w:val="false"/>
          <w:sz w:val="20"/>
          <w:u w:val="single"/>
        </w:rPr>
        <w:t>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and the Merger may be abandoned: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by mutual written consent of Parent and the Company at any time prior to the Effective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the “</w:t>
      </w:r>
      <w:r>
        <w:rPr>
          <w:rFonts w:ascii="Times New Roman;Times;Serif" w:hAnsi="Times New Roman;Times;Serif"/>
          <w:b w:val="false"/>
          <w:i w:val="false"/>
          <w:caps w:val="false"/>
          <w:smallCaps w:val="false"/>
          <w:sz w:val="20"/>
          <w:u w:val="single"/>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as of the End Date then in effect, any of the conditions to the Closing set forth in </w:t>
      </w:r>
      <w:r>
        <w:rPr>
          <w:rFonts w:ascii="Times New Roman;Times;Serif" w:hAnsi="Times New Roman;Times;Serif"/>
          <w:b w:val="false"/>
          <w:i w:val="false"/>
          <w:caps w:val="false"/>
          <w:smallCaps w:val="false"/>
          <w:sz w:val="20"/>
          <w:u w:val="single"/>
        </w:rPr>
        <w:t xml:space="preserve">Section 5.1(b) </w:t>
      </w:r>
      <w:r>
        <w:rPr>
          <w:rFonts w:ascii="Times New Roman;Times;Serif" w:hAnsi="Times New Roman;Times;Serif"/>
          <w:b w:val="false"/>
          <w:i w:val="false"/>
          <w:caps w:val="false"/>
          <w:smallCaps w:val="false"/>
          <w:sz w:val="20"/>
        </w:rPr>
        <w:t xml:space="preserve">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End Date shall not be automatically extended pursuant to the immediately preceding proviso more than three (3) times;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if the satisfaction or waiver of the last to be satisfied or waived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this Agreement shall have been the primary cause of the failure of the Effective Time to have occurred on or before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b w:val="false"/>
          <w:i w:val="false"/>
          <w:caps w:val="false"/>
          <w:smallCaps w:val="false"/>
          <w:sz w:val="20"/>
          <w:u w:val="single"/>
        </w:rPr>
        <w:t xml:space="preserve">Section 4.6;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 party shall not be permitted to terminate this Agreement pursuant to this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the material breach by such party of any of such party’s obligations, covenants or agreements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have been the primary cause of the events specified in this </w:t>
      </w:r>
      <w:r>
        <w:rPr>
          <w:rFonts w:ascii="Times New Roman;Times;Serif" w:hAnsi="Times New Roman;Times;Serif"/>
          <w:b w:val="false"/>
          <w:i w:val="false"/>
          <w:caps w:val="false"/>
          <w:smallCaps w:val="false"/>
          <w:sz w:val="20"/>
          <w:u w:val="single"/>
        </w:rPr>
        <w:t>clause (c)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by Parent at any time prior to obtaining the Required Company Stockholder Vote if the Company Board shall have failed to include the Company Board Recommendation in the Proxy Statement or shall have made a Company Change in Recommendation;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by the Company, at any time prior to obtaining the Required Company Stockholder Vote, in the event that (i) the Company Board shall have authorized the Company to enter into a definitive agreement relating to a Company Superior Proposal; (ii) concurrently with the termination of this Agreement, the Company enters into the definitive agreement relating to a Company Superior Proposal and pays Parent the Company Termination Fee payable to Parent pursuant to </w:t>
      </w:r>
      <w:r>
        <w:rPr>
          <w:rFonts w:ascii="Times New Roman;Times;Serif" w:hAnsi="Times New Roman;Times;Serif"/>
          <w:b w:val="false"/>
          <w:i w:val="false"/>
          <w:caps w:val="false"/>
          <w:smallCaps w:val="false"/>
          <w:sz w:val="20"/>
          <w:u w:val="single"/>
        </w:rPr>
        <w:t>Section 6.3(a)</w:t>
      </w:r>
      <w:r>
        <w:rPr>
          <w:rFonts w:ascii="Times New Roman;Times;Serif" w:hAnsi="Times New Roman;Times;Serif"/>
          <w:b w:val="false"/>
          <w:i w:val="false"/>
          <w:caps w:val="false"/>
          <w:smallCaps w:val="false"/>
          <w:sz w:val="20"/>
        </w:rPr>
        <w:t xml:space="preserve">; and (iii) the Company has otherwise complied in all material respects with the provisions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by either Parent or the Company if: (i) the Company Stockholder Meeting (including any adjournments and postponements thereof) shall have been held and completed and (ii) the Required Company Stockholder Vote shall not have been obtained;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by Parent if: (i) any of the Company’s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5.2(b)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the Company’s representations and warranties or a breach of an obligation, covenant or agreement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Parent shall not have the right to terminate this Agreement pursuant to this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5.3(b)</w:t>
      </w:r>
      <w:r>
        <w:rPr>
          <w:rFonts w:ascii="Times New Roman;Times;Serif" w:hAnsi="Times New Roman;Times;Serif"/>
          <w:b w:val="false"/>
          <w:i w:val="false"/>
          <w:caps w:val="false"/>
          <w:smallCaps w:val="false"/>
          <w:sz w:val="20"/>
        </w:rPr>
        <w: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by the Company if: (i) any of Parent’s representations and warranties contained in this Agreement shall be inaccurate such that the condition set forth in </w:t>
      </w:r>
      <w:r>
        <w:rPr>
          <w:rFonts w:ascii="Times New Roman;Times;Serif" w:hAnsi="Times New Roman;Times;Serif"/>
          <w:b w:val="false"/>
          <w:i w:val="false"/>
          <w:caps w:val="false"/>
          <w:smallCaps w:val="false"/>
          <w:sz w:val="20"/>
          <w:u w:val="single"/>
        </w:rPr>
        <w:t>Section 5.3(a)</w:t>
      </w:r>
      <w:r>
        <w:rPr>
          <w:rFonts w:ascii="Times New Roman;Times;Serif" w:hAnsi="Times New Roman;Times;Serif"/>
          <w:b w:val="false"/>
          <w:i w:val="false"/>
          <w:caps w:val="false"/>
          <w:smallCaps w:val="false"/>
          <w:sz w:val="20"/>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b w:val="false"/>
          <w:i w:val="false"/>
          <w:caps w:val="false"/>
          <w:smallCaps w:val="false"/>
          <w:sz w:val="20"/>
          <w:u w:val="single"/>
        </w:rPr>
        <w:t xml:space="preserve">Section 5.3(b) </w:t>
      </w:r>
      <w:r>
        <w:rPr>
          <w:rFonts w:ascii="Times New Roman;Times;Serif" w:hAnsi="Times New Roman;Times;Serif"/>
          <w:b w:val="false"/>
          <w:i w:val="false"/>
          <w:caps w:val="false"/>
          <w:smallCaps w:val="false"/>
          <w:sz w:val="20"/>
        </w:rPr>
        <w:t xml:space="preserve">would not be satisfied;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for purposes of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above, if an inaccuracy in any of Parent’s representations and warranties or a breach of an obligation, covenant or agreement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Company shall not have the right to terminate this Agreement pursuant to this </w:t>
      </w:r>
      <w:r>
        <w:rPr>
          <w:rFonts w:ascii="Times New Roman;Times;Serif" w:hAnsi="Times New Roman;Times;Serif"/>
          <w:b w:val="false"/>
          <w:i w:val="false"/>
          <w:caps w:val="false"/>
          <w:smallCaps w:val="false"/>
          <w:sz w:val="20"/>
          <w:u w:val="single"/>
        </w:rPr>
        <w:t>Section 6.1(h)</w:t>
      </w:r>
      <w:r>
        <w:rPr>
          <w:rFonts w:ascii="Times New Roman;Times;Serif" w:hAnsi="Times New Roman;Times;Serif"/>
          <w:b w:val="false"/>
          <w:i w:val="false"/>
          <w:caps w:val="false"/>
          <w:smallCaps w:val="false"/>
          <w:sz w:val="20"/>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5.2(b)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party seeking to terminate this Agreement pursuant to this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shall give written notice of such termination to the other parties in accordance with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of the termination of this Agreement as provided in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the penultimate sentence of </w:t>
      </w:r>
      <w:r>
        <w:rPr>
          <w:rFonts w:ascii="Times New Roman;Times;Serif" w:hAnsi="Times New Roman;Times;Serif"/>
          <w:b w:val="false"/>
          <w:i w:val="false"/>
          <w:caps w:val="false"/>
          <w:smallCaps w:val="false"/>
          <w:sz w:val="20"/>
          <w:u w:val="single"/>
        </w:rPr>
        <w:t>Section 4.1(a)</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and the Financing Indemnity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“intentional and material breach”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Termination Fees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this Agreement is terminated by the Company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by Parent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or by either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at a time when Parent would have been entitled to terminate this Agreement pursuant to </w:t>
      </w:r>
      <w:r>
        <w:rPr>
          <w:rFonts w:ascii="Times New Roman;Times;Serif" w:hAnsi="Times New Roman;Times;Serif"/>
          <w:b w:val="false"/>
          <w:i w:val="false"/>
          <w:caps w:val="false"/>
          <w:smallCaps w:val="false"/>
          <w:sz w:val="20"/>
          <w:u w:val="single"/>
        </w:rPr>
        <w:t>Section 6.1(d)</w:t>
      </w:r>
      <w:r>
        <w:rPr>
          <w:rFonts w:ascii="Times New Roman;Times;Serif" w:hAnsi="Times New Roman;Times;Serif"/>
          <w:b w:val="false"/>
          <w:i w:val="false"/>
          <w:caps w:val="false"/>
          <w:smallCaps w:val="false"/>
          <w:sz w:val="20"/>
        </w:rPr>
        <w:t xml:space="preserve">, then, within two (2) Business Days after the termination of this Agreement (or, in the case of a termination pursuant to </w:t>
      </w:r>
      <w:r>
        <w:rPr>
          <w:rFonts w:ascii="Times New Roman;Times;Serif" w:hAnsi="Times New Roman;Times;Serif"/>
          <w:b w:val="false"/>
          <w:i w:val="false"/>
          <w:caps w:val="false"/>
          <w:smallCaps w:val="false"/>
          <w:sz w:val="20"/>
          <w:u w:val="single"/>
        </w:rPr>
        <w:t>Section 6.1(e)</w:t>
      </w:r>
      <w:r>
        <w:rPr>
          <w:rFonts w:ascii="Times New Roman;Times;Serif" w:hAnsi="Times New Roman;Times;Serif"/>
          <w:b w:val="false"/>
          <w:i w:val="false"/>
          <w:caps w:val="false"/>
          <w:smallCaps w:val="false"/>
          <w:sz w:val="20"/>
        </w:rPr>
        <w:t xml:space="preserve"> at or prior to termination), the Company shall cause to be paid to Parent the Company Termination Fee.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this Agreement is terminated by Parent or the Company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by Parent pursuant to </w:t>
      </w:r>
      <w:r>
        <w:rPr>
          <w:rFonts w:ascii="Times New Roman;Times;Serif" w:hAnsi="Times New Roman;Times;Serif"/>
          <w:b w:val="false"/>
          <w:i w:val="false"/>
          <w:caps w:val="false"/>
          <w:smallCaps w:val="false"/>
          <w:sz w:val="20"/>
          <w:u w:val="single"/>
        </w:rPr>
        <w:t xml:space="preserve">Section 6.1(g) </w:t>
      </w:r>
      <w:r>
        <w:rPr>
          <w:rFonts w:ascii="Times New Roman;Times;Serif" w:hAnsi="Times New Roman;Times;Serif"/>
          <w:b w:val="false"/>
          <w:i w:val="false"/>
          <w:caps w:val="false"/>
          <w:smallCaps w:val="false"/>
          <w:sz w:val="20"/>
        </w:rPr>
        <w:t xml:space="preserve">(or by the Company or Parent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at a time when this Agreement could have been terminated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 at or prior to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at or prior to the time of the applicable breach by the Company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any Person shall have publicly announced an intention to make a Company Acquisition Proposal, or a Company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b w:val="false"/>
          <w:i w:val="false"/>
          <w:caps w:val="false"/>
          <w:smallCaps w:val="false"/>
          <w:sz w:val="20"/>
          <w:u w:val="single"/>
        </w:rPr>
        <w:t>Section 6.1(f)</w:t>
      </w:r>
      <w:r>
        <w:rPr>
          <w:rFonts w:ascii="Times New Roman;Times;Serif" w:hAnsi="Times New Roman;Times;Serif"/>
          <w:b w:val="false"/>
          <w:i w:val="false"/>
          <w:caps w:val="false"/>
          <w:smallCaps w:val="false"/>
          <w:sz w:val="20"/>
        </w:rPr>
        <w:t xml:space="preserve">, or the time of such breach, in the case of a termination pursuant to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and (ii) on or prior to the date that is twelve (12) months following the termination of this Agreement, either (A) a Company Acquisition Transaction is consummated or (B) a definitive agreement relating to a Company Acquisition Transaction is entered into by the Company or any of its Subsidiaries (it being understood that, for purposes of this </w:t>
      </w:r>
      <w:r>
        <w:rPr>
          <w:rFonts w:ascii="Times New Roman;Times;Serif" w:hAnsi="Times New Roman;Times;Serif"/>
          <w:b w:val="false"/>
          <w:i w:val="false"/>
          <w:caps w:val="false"/>
          <w:smallCaps w:val="false"/>
          <w:sz w:val="20"/>
          <w:u w:val="single"/>
        </w:rPr>
        <w:t>clause (B)</w:t>
      </w:r>
      <w:r>
        <w:rPr>
          <w:rFonts w:ascii="Times New Roman;Times;Serif" w:hAnsi="Times New Roman;Times;Serif"/>
          <w:b w:val="false"/>
          <w:i w:val="false"/>
          <w:caps w:val="false"/>
          <w:smallCaps w:val="false"/>
          <w:sz w:val="20"/>
        </w:rPr>
        <w:t xml:space="preserve">, each reference to “twenty percent (20%)” in the definition of “Company Acquisition Transaction”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shall be deemed to be a reference to “fifty percent (50%)”), then, on the date of the earlier of the consummation of such Company Acquisition Transaction or entering into a definitive agreement relating to a Company Acquisition Transaction, the Company shall cause to be paid to Parent the Company Termination Fee.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this Agreement is terminated (i) by Parent or the Company pursuant to </w:t>
      </w:r>
      <w:r>
        <w:rPr>
          <w:rFonts w:ascii="Times New Roman;Times;Serif" w:hAnsi="Times New Roman;Times;Serif"/>
          <w:b w:val="false"/>
          <w:i w:val="false"/>
          <w:caps w:val="false"/>
          <w:smallCaps w:val="false"/>
          <w:sz w:val="20"/>
          <w:u w:val="single"/>
        </w:rPr>
        <w:t>Section 6.1(b)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 xml:space="preserve">Section 6.1(c) </w:t>
      </w:r>
      <w:r>
        <w:rPr>
          <w:rFonts w:ascii="Times New Roman;Times;Serif" w:hAnsi="Times New Roman;Times;Serif"/>
          <w:b w:val="false"/>
          <w:i w:val="false"/>
          <w:caps w:val="false"/>
          <w:smallCaps w:val="false"/>
          <w:sz w:val="20"/>
        </w:rPr>
        <w:t xml:space="preserve">(but, with respect to </w:t>
      </w:r>
      <w:r>
        <w:rPr>
          <w:rFonts w:ascii="Times New Roman;Times;Serif" w:hAnsi="Times New Roman;Times;Serif"/>
          <w:b w:val="false"/>
          <w:i w:val="false"/>
          <w:caps w:val="false"/>
          <w:smallCaps w:val="false"/>
          <w:sz w:val="20"/>
          <w:u w:val="single"/>
        </w:rPr>
        <w:t>Section 6.1(c)</w:t>
      </w:r>
      <w:r>
        <w:rPr>
          <w:rFonts w:ascii="Times New Roman;Times;Serif" w:hAnsi="Times New Roman;Times;Serif"/>
          <w:b w:val="false"/>
          <w:i w:val="false"/>
          <w:caps w:val="false"/>
          <w:smallCaps w:val="false"/>
          <w:sz w:val="20"/>
        </w:rPr>
        <w:t xml:space="preserve">, if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as of the time of such termination, the only conditions to Closing set forth in </w:t>
      </w:r>
      <w:r>
        <w:rPr>
          <w:rFonts w:ascii="Times New Roman;Times;Serif" w:hAnsi="Times New Roman;Times;Serif"/>
          <w:b w:val="false"/>
          <w:i w:val="false"/>
          <w:caps w:val="false"/>
          <w:smallCaps w:val="false"/>
          <w:sz w:val="20"/>
          <w:u w:val="single"/>
        </w:rPr>
        <w:t>Sections 5.1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5.3 </w:t>
      </w:r>
      <w:r>
        <w:rPr>
          <w:rFonts w:ascii="Times New Roman;Times;Serif" w:hAnsi="Times New Roman;Times;Serif"/>
          <w:b w:val="false"/>
          <w:i w:val="false"/>
          <w:caps w:val="false"/>
          <w:smallCaps w:val="false"/>
          <w:sz w:val="20"/>
        </w:rPr>
        <w:t xml:space="preserve">that have not been satisfied or waived (other than those conditions that by their nature are to be satisfied at the Closing, so long as such conditions would have been capable of being satisfied if the Closing were to occur on the date the notice of termination is delivered) are those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(ii) by the Company pursuant to </w:t>
      </w:r>
      <w:r>
        <w:rPr>
          <w:rFonts w:ascii="Times New Roman;Times;Serif" w:hAnsi="Times New Roman;Times;Serif"/>
          <w:b w:val="false"/>
          <w:i w:val="false"/>
          <w:caps w:val="false"/>
          <w:smallCaps w:val="false"/>
          <w:sz w:val="20"/>
          <w:u w:val="single"/>
        </w:rPr>
        <w:t xml:space="preserve">Section 6.1(h)(ii) </w:t>
      </w:r>
      <w:r>
        <w:rPr>
          <w:rFonts w:ascii="Times New Roman;Times;Serif" w:hAnsi="Times New Roman;Times;Serif"/>
          <w:b w:val="false"/>
          <w:i w:val="false"/>
          <w:caps w:val="false"/>
          <w:smallCaps w:val="false"/>
          <w:sz w:val="20"/>
        </w:rPr>
        <w:t xml:space="preserve">due to Parent’s or Merger Sub’s material breach of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which results in any of the conditions to Closing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being incapable of being satisfied by the End Date, then, within two (2) Business Days following such termination, Parent shall cause to be paid to the Company the Regulatory Termination Fee;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Regulatory Termination Fee shall not be payable pursuant to this </w:t>
      </w:r>
      <w:r>
        <w:rPr>
          <w:rFonts w:ascii="Times New Roman;Times;Serif" w:hAnsi="Times New Roman;Times;Serif"/>
          <w:b w:val="false"/>
          <w:i w:val="false"/>
          <w:caps w:val="false"/>
          <w:smallCaps w:val="false"/>
          <w:sz w:val="20"/>
          <w:u w:val="single"/>
        </w:rPr>
        <w:t xml:space="preserve">Section 6.3(c) </w:t>
      </w:r>
      <w:r>
        <w:rPr>
          <w:rFonts w:ascii="Times New Roman;Times;Serif" w:hAnsi="Times New Roman;Times;Serif"/>
          <w:b w:val="false"/>
          <w:i w:val="false"/>
          <w:caps w:val="false"/>
          <w:smallCaps w:val="false"/>
          <w:sz w:val="20"/>
        </w:rPr>
        <w:t xml:space="preserve">if the Company shall have materially breached any of its obligations under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primarily relating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relating primarily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and such breach shall have been the primary cause of the failure of the conditions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(with respect to </w:t>
      </w:r>
      <w:r>
        <w:rPr>
          <w:rFonts w:ascii="Times New Roman;Times;Serif" w:hAnsi="Times New Roman;Times;Serif"/>
          <w:b w:val="false"/>
          <w:i w:val="false"/>
          <w:caps w:val="false"/>
          <w:smallCaps w:val="false"/>
          <w:sz w:val="20"/>
          <w:u w:val="single"/>
        </w:rPr>
        <w:t>Section 5.1(c)</w:t>
      </w:r>
      <w:r>
        <w:rPr>
          <w:rFonts w:ascii="Times New Roman;Times;Serif" w:hAnsi="Times New Roman;Times;Serif"/>
          <w:b w:val="false"/>
          <w:i w:val="false"/>
          <w:caps w:val="false"/>
          <w:smallCaps w:val="false"/>
          <w:sz w:val="20"/>
        </w:rPr>
        <w:t xml:space="preserve">, if such Closing condition failure relates to the matters set forth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to be satisfied by the End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Company Termination Fee due and payable by the Company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b w:val="false"/>
          <w:i w:val="false"/>
          <w:caps w:val="false"/>
          <w:smallCaps w:val="false"/>
          <w:sz w:val="20"/>
          <w:u w:val="single"/>
        </w:rPr>
        <w:t>Section 6.3(d)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6.3(e)</w:t>
      </w:r>
      <w:r>
        <w:rPr>
          <w:rFonts w:ascii="Times New Roman;Times;Serif" w:hAnsi="Times New Roman;Times;Serif"/>
          <w:b w:val="false"/>
          <w:i w:val="false"/>
          <w:caps w:val="false"/>
          <w:smallCaps w:val="false"/>
          <w:sz w:val="20"/>
        </w:rPr>
        <w:t xml:space="preserve"> shall limit the rights of Parent, Merger Sub or the Company under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xml:space="preserve"> (or otherwise with respect to injunctive or similar relief), in each case prior to the termination of this Agreement.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Any Regulatory Termination Fee due and payable by Parent under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and the Financing Related Parties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payment of the Regulatory Termination Fee will not relieve Parent from liability for the Financing Indemnity or any fraud or any intentional and material breach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Each of the parties acknowledges that the agreements contained in this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are an integral part of the transactions contemplated by this Agreement, and that without these agreements the parties would not enter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r>
      <w:r>
        <w:rPr>
          <w:rFonts w:ascii="Times New Roman;Times;Serif" w:hAnsi="Times New Roman;Times;Serif"/>
          <w:b/>
          <w:i w:val="false"/>
          <w:caps w:val="false"/>
          <w:smallCaps w:val="false"/>
          <w:sz w:val="20"/>
          <w:u w:val="single"/>
        </w:rPr>
        <w:t>MISCELLANEOUS PROVISIONS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No Survival of Representations and Warranties</w:t>
      </w:r>
      <w:r>
        <w:rPr>
          <w:rFonts w:ascii="Times New Roman;Times;Serif" w:hAnsi="Times New Roman;Times;Serif"/>
          <w:b w:val="false"/>
          <w:i w:val="false"/>
          <w:caps w:val="false"/>
          <w:smallCaps w:val="false"/>
          <w:sz w:val="20"/>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not limit any covenant or agreement contained in this Agreement that by its terms is to be performed in whole or in part after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Entire Agreement; Non-Reliance; Third-Party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other Parent Subsidiary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5.2(d)</w:t>
      </w:r>
      <w:r>
        <w:rPr>
          <w:rFonts w:ascii="Times New Roman;Times;Serif" w:hAnsi="Times New Roman;Times;Serif"/>
          <w:b w:val="false"/>
          <w:i w:val="false"/>
          <w:caps w:val="false"/>
          <w:smallCaps w:val="false"/>
          <w:sz w:val="20"/>
        </w:rPr>
        <w:t>;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limiting the generality of </w:t>
      </w:r>
      <w:r>
        <w:rPr>
          <w:rFonts w:ascii="Times New Roman;Times;Serif" w:hAnsi="Times New Roman;Times;Serif"/>
          <w:b w:val="false"/>
          <w:i w:val="false"/>
          <w:caps w:val="false"/>
          <w:smallCaps w:val="false"/>
          <w:sz w:val="20"/>
          <w:u w:val="single"/>
        </w:rPr>
        <w:t>Section 7.4(a)</w:t>
      </w:r>
      <w:r>
        <w:rPr>
          <w:rFonts w:ascii="Times New Roman;Times;Serif" w:hAnsi="Times New Roman;Times;Serif"/>
          <w:b w:val="false"/>
          <w:i w:val="false"/>
          <w:caps w:val="false"/>
          <w:smallCaps w:val="false"/>
          <w:sz w:val="20"/>
        </w:rPr>
        <w:t xml:space="preserve">, except for the representations and warranties expressly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this Agreement and the certificate delivered pursuant to </w:t>
      </w:r>
      <w:r>
        <w:rPr>
          <w:rFonts w:ascii="Times New Roman;Times;Serif" w:hAnsi="Times New Roman;Times;Serif"/>
          <w:b w:val="false"/>
          <w:i w:val="false"/>
          <w:caps w:val="false"/>
          <w:smallCaps w:val="false"/>
          <w:sz w:val="20"/>
          <w:u w:val="single"/>
        </w:rPr>
        <w:t>Section 5.3(c)</w:t>
      </w:r>
      <w:r>
        <w:rPr>
          <w:rFonts w:ascii="Times New Roman;Times;Serif" w:hAnsi="Times New Roman;Times;Serif"/>
          <w:b w:val="false"/>
          <w:i w:val="false"/>
          <w:caps w:val="false"/>
          <w:smallCaps w:val="false"/>
          <w:sz w:val="20"/>
        </w:rPr>
        <w:t>; and (ii) without limiting the foregoing, the Company acknowledges and agrees that (x) none of Parent or Merger Sub has made and is not making any representations or warranties whatsoever regarding, (y) none of Parent, Merger Sub 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b w:val="false"/>
          <w:i w:val="false"/>
          <w:caps w:val="false"/>
          <w:smallCaps w:val="false"/>
          <w:sz w:val="20"/>
          <w:u w:val="single"/>
        </w:rPr>
        <w:t>Section 7.7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Notwithstanding the foregoing, nothing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shall restrain, limit, restrict or prohibit any claim based on fraud.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is made under, and shall be construed and enforced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Parent shall pay all filing fees under the HSR Act and under any other applicable Antitrust Laws. Notwithstanding the foregoing, nothing in this </w:t>
      </w:r>
      <w:r>
        <w:rPr>
          <w:rFonts w:ascii="Times New Roman;Times;Serif" w:hAnsi="Times New Roman;Times;Serif"/>
          <w:b w:val="false"/>
          <w:i w:val="false"/>
          <w:caps w:val="false"/>
          <w:smallCaps w:val="false"/>
          <w:sz w:val="20"/>
          <w:u w:val="single"/>
        </w:rPr>
        <w:t>Section 7.6</w:t>
      </w:r>
      <w:r>
        <w:rPr>
          <w:rFonts w:ascii="Times New Roman;Times;Serif" w:hAnsi="Times New Roman;Times;Serif"/>
          <w:b w:val="false"/>
          <w:i w:val="false"/>
          <w:caps w:val="false"/>
          <w:smallCaps w:val="false"/>
          <w:sz w:val="20"/>
        </w:rPr>
        <w:t xml:space="preserve"> shall limit or apply to the Financing Indemnity or the payments required by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Assignability; Parties in Interest</w:t>
      </w:r>
      <w:r>
        <w:rPr>
          <w:rFonts w:ascii="Times New Roman;Times;Serif" w:hAnsi="Times New Roman;Times;Serif"/>
          <w:b w:val="false"/>
          <w:i w:val="false"/>
          <w:caps w:val="false"/>
          <w:smallCaps w:val="false"/>
          <w:sz w:val="20"/>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the foregoing, Parent and Merger Sub may assign any or all of their rights, interests and obligations to wholly owned Subsidiaries of Parent or may assign as collateral security their rights and interests to any lender or agent Financing Sources in connection with the Financing in each case without the prior written consent of any other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no such assignment shall relieve Parent or Merger Sub of any of its obligations hereunder. Except for (i) the provisions of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(which, from and after the Effective Time shall be for the benefit of the Indemnified Parties and the other Persons identified therein), (iii) </w:t>
      </w:r>
      <w:r>
        <w:rPr>
          <w:rFonts w:ascii="Times New Roman;Times;Serif" w:hAnsi="Times New Roman;Times;Serif"/>
          <w:b w:val="false"/>
          <w:i w:val="false"/>
          <w:caps w:val="false"/>
          <w:smallCaps w:val="false"/>
          <w:sz w:val="20"/>
          <w:u w:val="single"/>
        </w:rPr>
        <w:t>Section 7.4(d)</w:t>
      </w:r>
      <w:r>
        <w:rPr>
          <w:rFonts w:ascii="Times New Roman;Times;Serif" w:hAnsi="Times New Roman;Times;Serif"/>
          <w:b w:val="false"/>
          <w:i w:val="false"/>
          <w:caps w:val="false"/>
          <w:smallCaps w:val="false"/>
          <w:sz w:val="20"/>
        </w:rPr>
        <w:t xml:space="preserve"> (which, prior to the Effective Time, shall be for the benefit of Persons who are holders of shares of Company Common Stock immediately prior to the Effective Time and holders of Company RSUs, Company PSUs and Company MSUs to the extent provided therein), (iv) </w:t>
      </w:r>
      <w:r>
        <w:rPr>
          <w:rFonts w:ascii="Times New Roman;Times;Serif" w:hAnsi="Times New Roman;Times;Serif"/>
          <w:b w:val="false"/>
          <w:i w:val="false"/>
          <w:caps w:val="false"/>
          <w:smallCaps w:val="false"/>
          <w:sz w:val="20"/>
          <w:u w:val="single"/>
        </w:rPr>
        <w:t>Section 4.9(c)</w:t>
      </w:r>
      <w:r>
        <w:rPr>
          <w:rFonts w:ascii="Times New Roman;Times;Serif" w:hAnsi="Times New Roman;Times;Serif"/>
          <w:b w:val="false"/>
          <w:i w:val="false"/>
          <w:caps w:val="false"/>
          <w:smallCaps w:val="false"/>
          <w:sz w:val="20"/>
        </w:rPr>
        <w:t xml:space="preserve"> (which shall be for the benefit of the Continuing Employees who are parties to Change of Control Agreements, and their respective heirs, executors, administrators, legal representatives, successors and assigns, to the extent provided therein), (v) Section 4.17(f) (which shall be for the benefit of the Company, the Company Subsidiaries and its and their respective affiliates and Representatives as provided therein) and (vi)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(which shall be for the benefit of the Financing Sources as provided therein), nothing in this Agreement (including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express or implied, is intended to or shall confer upon any Person, other than the parties hereto, any right, benefit or remedy of any nature.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xml:space="preserve">, no “bounce back” or similar message of non-delivery is received with respect thereto (but excluding any “out of office” or similar automatic response)),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such notices, requests, demands and other communications are delivered to the address set forth below, or to such other address as any party shall provide by like notice to the other parties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Parent or Merger Sub:</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Semiconductor Corporation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5701 N. Pima Road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Scottsdale, Arizona 85250</w:t>
        <w:br/>
        <w:t>Attention:          Chief Legal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Parent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Skadden, Arps, Slate, Meagher &amp; Flom LLP</w:t>
        <w:br/>
        <w:t>525 University Avenue, Suite 1400</w:t>
        <w:br/>
        <w:t>Palo Alto, CA 94301</w:t>
        <w:br/>
        <w:t>Attention:          Michael J. Mies; Christopher P. Hammond</w:t>
        <w:br/>
        <w:t>Email:                michael.mies@skadden.com</w:t>
        <w:br/>
        <w:t>                           christopher.hammond@skadden.com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Synaptics Incorporated</w:t>
        <w:br/>
        <w:t>1109 McKay Drive</w:t>
        <w:br/>
        <w:t>San Jose, CA 95131</w:t>
        <w:br/>
        <w:t>Attention:          General Counsel</w:t>
        <w:br/>
        <w:t xml:space="preserve">Email:                As set forth in </w:t>
      </w:r>
      <w:r>
        <w:rPr>
          <w:rFonts w:ascii="Times New Roman;Times;Serif" w:hAnsi="Times New Roman;Times;Serif"/>
          <w:b w:val="false"/>
          <w:i w:val="false"/>
          <w:caps w:val="false"/>
          <w:smallCaps w:val="false"/>
          <w:sz w:val="20"/>
          <w:u w:val="single"/>
        </w:rPr>
        <w:t>Section 7.8</w:t>
      </w:r>
      <w:r>
        <w:rPr>
          <w:rFonts w:ascii="Times New Roman;Times;Serif" w:hAnsi="Times New Roman;Times;Serif"/>
          <w:b w:val="false"/>
          <w:i w:val="false"/>
          <w:caps w:val="false"/>
          <w:smallCaps w:val="false"/>
          <w:sz w:val="20"/>
        </w:rPr>
        <w:t xml:space="preserve"> of the Company</w:t>
        <w:br/>
        <w:t>                           Disclosure Schedule</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 &amp; McKenzie LLP</w:t>
        <w:br/>
        <w:t>600 Hansen Way</w:t>
        <w:br/>
        <w:t>Palo Alto, CA 94304</w:t>
        <w:br/>
        <w:t>Attention:           Leif King; Derek Liu; Aarthi Belani; Piotr</w:t>
        <w:br/>
        <w:t>                           Korzynski</w:t>
        <w:br/>
        <w:t>Email:                 leif.king@bakermckenzie.com</w:t>
        <w:br/>
        <w:t>                           derek.liu@bakermckenzie.com</w:t>
        <w:br/>
        <w:t>                           aarthi.belani@bakermckenzie.com</w:t>
        <w:br/>
        <w:t>                           piotr.korzynski@bakermckenzie.com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 and each party hereto irrevocably waives any right it may have to require the obtaining, furnishing or posting of any such bond or similar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7.12 </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and, as applicable,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(each section of which qualifies the correspondingly numbered representation and warranty or covenant to the extent specified therein;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7.13 </w:t>
      </w:r>
      <w:r>
        <w:rPr>
          <w:rFonts w:ascii="Times New Roman;Times;Serif" w:hAnsi="Times New Roman;Times;Serif"/>
          <w:b w:val="false"/>
          <w:i w:val="false"/>
          <w:caps w:val="false"/>
          <w:smallCaps w:val="false"/>
          <w:sz w:val="20"/>
          <w:u w:val="single"/>
        </w:rPr>
        <w:t>Certain Financing Provisions</w:t>
      </w:r>
      <w:r>
        <w:rPr>
          <w:rFonts w:ascii="Times New Roman;Times;Serif" w:hAnsi="Times New Roman;Times;Serif"/>
          <w:b w:val="false"/>
          <w:i w:val="false"/>
          <w:caps w:val="false"/>
          <w:smallCaps w:val="false"/>
          <w:sz w:val="20"/>
        </w:rPr>
        <w:t>. Notwithstanding anything in this Agreement to the contrary, each of the parties hereto, on behalf of itself, its Subsidiaries and each of its controlled affiliates, hereby: (a) agrees that any Legal Proceedings, whether in law or in equity, whether in contract or in tort or otherwise, involving the Financing Related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(any such Legal Proceeding, a “Financing Related Proceeding“) shall be subject to the exclusive jurisdiction of any Federal court sitting in the Borough of Manhattan, New York, New York, so long as such forum is and remains available, and if such court does not have subject matter jurisdiction, in any State court located in the Borough of Manhattan, New York, New York, and in each case, any appellate court thereof and each party hereto irrevocably submits itself and its property with respect to any Financing Related Proceedings to the exclusive jurisdiction of such court; (b) agrees that any Financing Related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notwithstanding the foregoing, it is understood and agreed that (i) the interpretation of the definitions of “Effect”, “Company Material Adverse Effect” and “Parent Material Adverse Effect” (and whether or not a “Company Material Adverse Effect” or “Parent Material Adverse Effect” has occurred), (ii) the determination of the accuracy of any “Merger Agreement Representations“ (as such term or similar term is or may be defined in the Debt Commitment Letter or any Definitive Financing Document) and whether as a result of any inaccuracy thereof Parent, Merger Sub, or any of their respective affiliates have the right to terminate its or their obligations hereunder or decline to consummate the Closing as a result thereof and (iii) the determination of whether the Merger or the Closing has been consummated pursuant to and/or in all material respects in accordance with the terms hereof, shall in each case be governed by and construed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(c) agrees not to bring or support or permit any of its controlled affiliates to bring or support any Financing Related Proceeding in any forum other than any Federal court sitting in the Borough of Manhattan, New York, New York, so long as such forum is and remains available, and if such court does not have subject matter jurisdiction, in any State court located in the Borough of Manhattan, New York, New York; (d) agrees that service of process upon the Company and the Company Subsidiaries by any Financing Related Party in any such Financing Related Proceedings shall be effective if notice is given in accordance with the notice provisions of </w:t>
      </w:r>
      <w:r>
        <w:rPr>
          <w:rFonts w:ascii="Times New Roman;Times;Serif" w:hAnsi="Times New Roman;Times;Serif"/>
          <w:b w:val="false"/>
          <w:i w:val="false"/>
          <w:caps w:val="false"/>
          <w:smallCaps w:val="false"/>
          <w:sz w:val="20"/>
          <w:u w:val="single"/>
        </w:rPr>
        <w:t>Section 7.8(a)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(e) irrevocably waives, to the fullest extent that it may effectively do so, the defense of an inconvenient forum to the maintenance of any Financing Related Proceedings in any such court; (f) knowingly, intentionally and voluntarily waives to the fullest extent permitted by applicable law trial by jury in any Financing Related Proceedings brought against the Financing Related Parties; (g) agrees that neither the Company nor any of the Company Subsidiaries nor any of their respective affiliates or Representatives (in each case, other than Parent, Merger Sub and their respective Subsidiaries) shall have any rights or claims (and the Company, on behalf of itself, the Company Subsidiaries, their respective affiliates and Representatives hereby waives any such rights or claims) against any Financing Related Party relating to or arising out of this Agreement, the Financing, any commitment letter relating thereto or any of the transactions contemplated hereby or thereby or the performance of any services thereunder, whether in law or in equity, whether in contract or in tort or otherwise; (h) agrees that none of the Financing Related Parties will have any obligation or liability, on any theory of liability, to the Company or any of the Company Subsidiaries or any of their respective affiliates or Representatives (in each case, other than Parent, Merger Sub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(i) agrees that (A) the Financing Related Parties are express third party beneficiaries of, and may enforce, any of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but, in the case of </w:t>
      </w:r>
      <w:r>
        <w:rPr>
          <w:rFonts w:ascii="Times New Roman;Times;Serif" w:hAnsi="Times New Roman;Times;Serif"/>
          <w:b w:val="false"/>
          <w:i w:val="false"/>
          <w:caps w:val="false"/>
          <w:smallCaps w:val="false"/>
          <w:sz w:val="20"/>
          <w:u w:val="single"/>
        </w:rPr>
        <w:t>clauses (g)</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(h)</w:t>
      </w:r>
      <w:r>
        <w:rPr>
          <w:rFonts w:ascii="Times New Roman;Times;Serif" w:hAnsi="Times New Roman;Times;Serif"/>
          <w:b w:val="false"/>
          <w:i w:val="false"/>
          <w:caps w:val="false"/>
          <w:smallCaps w:val="false"/>
          <w:sz w:val="20"/>
        </w:rPr>
        <w:t xml:space="preserve">, solely to the extent of actions or omissions by or circumstances relating to such Financing Related Party in its capacity as a Financing Source or other Financing Related Party, it being understood that nothing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excuse any Financing Related Party from liability in connection with actions or omissions by or circumstances relating to such Financing Related Party in any other capacity (including in its capacity as an existing creditor of the Company or any Company Subsidiary), and (B) such provisions and the definitions used in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(as used in such section) shall not be amended, waived or otherwise modified, in each case, in any way adverse to the Financing Related Parties without the prior written consent of the Financing Sources (and such amendment, waiver or modification without such prior consent shall be null and void). The provisions of this </w:t>
      </w:r>
      <w:r>
        <w:rPr>
          <w:rFonts w:ascii="Times New Roman;Times;Serif" w:hAnsi="Times New Roman;Times;Serif"/>
          <w:b w:val="false"/>
          <w:i w:val="false"/>
          <w:caps w:val="false"/>
          <w:smallCaps w:val="false"/>
          <w:sz w:val="20"/>
          <w:u w:val="single"/>
        </w:rPr>
        <w:t>Section 7.13</w:t>
      </w:r>
      <w:r>
        <w:rPr>
          <w:rFonts w:ascii="Times New Roman;Times;Serif" w:hAnsi="Times New Roman;Times;Serif"/>
          <w:b w:val="false"/>
          <w:i w:val="false"/>
          <w:caps w:val="false"/>
          <w:smallCaps w:val="false"/>
          <w:sz w:val="20"/>
        </w:rPr>
        <w:t xml:space="preserve"> shall survive any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hereto agree that any rule of construction to the effect that ambiguities are to be resolved against the drafting party shall not be applied in the construction or interpretation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Agreement, any reference to a Legal Requirement shall include any rules and regulations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otherwise indicated, all references in this Agreement to “</w:t>
      </w:r>
      <w:r>
        <w:rPr>
          <w:rFonts w:ascii="Times New Roman;Times;Serif" w:hAnsi="Times New Roman;Times;Serif"/>
          <w:b w:val="false"/>
          <w:i w:val="false"/>
          <w:caps w:val="false"/>
          <w:smallCaps w:val="false"/>
          <w:sz w:val="20"/>
          <w:u w:val="single"/>
        </w:rPr>
        <w:t>Sections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Exhibits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Annexes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Schedules</w:t>
      </w:r>
      <w:r>
        <w:rPr>
          <w:rFonts w:ascii="Times New Roman;Times;Serif" w:hAnsi="Times New Roman;Times;Serif"/>
          <w:b w:val="false"/>
          <w:i w:val="false"/>
          <w:caps w:val="false"/>
          <w:smallCaps w:val="false"/>
          <w:sz w:val="20"/>
        </w:rPr>
        <w:t>” are intended to refer to Sections of this Agreement and Exhibits, Annexes and Schedules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references in this Agreement to “$” are intended to refer to United States dollars.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200" w:after="200"/>
        <w:ind w:left="0" w:right="0" w:firstLine="144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statement in the Agreement (including the Company Disclosure Schedule) to the effect that any information, document or other material has been “made available” or (unless context indicates otherwise) “provided”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or (unless context indicates otherwise) “provided”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Company’s Representatives).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96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710"/>
        <w:gridCol w:w="4100"/>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ON SEMICONDUCTOR CORPORATION</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jc w:val="left"/>
              <w:rPr/>
            </w:pPr>
            <w:r>
              <w:rPr/>
              <w:t>/s/ 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w:t>
            </w:r>
          </w:p>
        </w:tc>
        <w:tc>
          <w:tcPr>
            <w:tcW w:w="4100" w:type="dxa"/>
            <w:tcBorders/>
            <w:vAlign w:val="center"/>
          </w:tcPr>
          <w:p>
            <w:pPr>
              <w:pStyle w:val="TableContents"/>
              <w:bidi w:val="0"/>
              <w:spacing w:before="0" w:after="283"/>
              <w:jc w:val="left"/>
              <w:rPr/>
            </w:pPr>
            <w:r>
              <w:rPr/>
              <w:t>Hassane El-Khoury</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4100" w:type="dxa"/>
            <w:tcBorders/>
            <w:vAlign w:val="center"/>
          </w:tcPr>
          <w:p>
            <w:pPr>
              <w:pStyle w:val="TableContents"/>
              <w:bidi w:val="0"/>
              <w:spacing w:before="0" w:after="283"/>
              <w:jc w:val="left"/>
              <w:rPr/>
            </w:pPr>
            <w:r>
              <w:rPr/>
              <w:t>President and Chief Executive Officer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 xml:space="preserve">SONIC ACQUISITION CORP.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4100" w:type="dxa"/>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By:</w:t>
            </w:r>
          </w:p>
        </w:tc>
        <w:tc>
          <w:tcPr>
            <w:tcW w:w="4100" w:type="dxa"/>
            <w:tcBorders>
              <w:bottom w:val="single" w:sz="8" w:space="0" w:color="000000"/>
            </w:tcBorders>
            <w:tcMar>
              <w:bottom w:w="28" w:type="dxa"/>
            </w:tcMar>
            <w:vAlign w:val="center"/>
          </w:tcPr>
          <w:p>
            <w:pPr>
              <w:pStyle w:val="TableContents"/>
              <w:bidi w:val="0"/>
              <w:spacing w:before="0" w:after="283"/>
              <w:ind w:left="0" w:right="0" w:hanging="0"/>
              <w:jc w:val="left"/>
              <w:rPr/>
            </w:pPr>
            <w:r>
              <w:rPr/>
              <w:t>/s/ 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Name: </w:t>
            </w:r>
          </w:p>
        </w:tc>
        <w:tc>
          <w:tcPr>
            <w:tcW w:w="4100" w:type="dxa"/>
            <w:tcBorders/>
            <w:vAlign w:val="center"/>
          </w:tcPr>
          <w:p>
            <w:pPr>
              <w:pStyle w:val="TableContents"/>
              <w:bidi w:val="0"/>
              <w:spacing w:before="0" w:after="283"/>
              <w:ind w:left="0" w:right="0" w:hanging="0"/>
              <w:jc w:val="left"/>
              <w:rPr/>
            </w:pPr>
            <w:r>
              <w:rPr/>
              <w:t>Paul Dutton</w:t>
            </w:r>
          </w:p>
        </w:tc>
      </w:tr>
      <w:tr>
        <w:trPr/>
        <w:tc>
          <w:tcPr>
            <w:tcW w:w="75" w:type="dxa"/>
            <w:tcBorders/>
            <w:vAlign w:val="center"/>
          </w:tcPr>
          <w:p>
            <w:pPr>
              <w:pStyle w:val="TableContents"/>
              <w:bidi w:val="0"/>
              <w:spacing w:before="0" w:after="283"/>
              <w:ind w:left="0" w:right="0" w:hanging="0"/>
              <w:jc w:val="left"/>
              <w:rPr/>
            </w:pPr>
            <w:r>
              <w:rPr/>
              <w:t> </w:t>
            </w:r>
          </w:p>
        </w:tc>
        <w:tc>
          <w:tcPr>
            <w:tcW w:w="710" w:type="dxa"/>
            <w:tcBorders/>
            <w:vAlign w:val="center"/>
          </w:tcPr>
          <w:p>
            <w:pPr>
              <w:pStyle w:val="TableContents"/>
              <w:bidi w:val="0"/>
              <w:spacing w:before="0" w:after="283"/>
              <w:ind w:left="0" w:right="0" w:hanging="0"/>
              <w:jc w:val="left"/>
              <w:rPr/>
            </w:pPr>
            <w:r>
              <w:rPr/>
              <w:t>Title:</w:t>
            </w:r>
          </w:p>
        </w:tc>
        <w:tc>
          <w:tcPr>
            <w:tcW w:w="4100" w:type="dxa"/>
            <w:tcBorders/>
            <w:vAlign w:val="center"/>
          </w:tcPr>
          <w:p>
            <w:pPr>
              <w:pStyle w:val="TableContents"/>
              <w:bidi w:val="0"/>
              <w:spacing w:before="0" w:after="283"/>
              <w:jc w:val="left"/>
              <w:rPr/>
            </w:pPr>
            <w:r>
              <w:rPr/>
              <w:t>Senior Vice President, Legal and Secretary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executed as of the date first above written.</w:t>
      </w:r>
    </w:p>
    <w:p>
      <w:pPr>
        <w:pStyle w:val="TextBody"/>
        <w:bidi w:val="0"/>
        <w:spacing w:before="0" w:after="0"/>
        <w:ind w:left="0" w:right="0" w:firstLine="720"/>
        <w:jc w:val="left"/>
        <w:rPr>
          <w:caps w:val="false"/>
          <w:smallCaps w:val="false"/>
        </w:rPr>
      </w:pPr>
      <w:r>
        <w:rPr>
          <w:caps w:val="false"/>
          <w:smallCaps w:val="false"/>
        </w:rPr>
        <w:t> </w:t>
      </w:r>
    </w:p>
    <w:tbl>
      <w:tblPr>
        <w:tblW w:w="3574" w:type="dxa"/>
        <w:jc w:val="left"/>
        <w:tblInd w:w="0" w:type="dxa"/>
        <w:tblLayout w:type="fixed"/>
        <w:tblCellMar>
          <w:top w:w="0" w:type="dxa"/>
          <w:left w:w="0" w:type="dxa"/>
          <w:bottom w:w="0" w:type="dxa"/>
          <w:right w:w="0" w:type="dxa"/>
        </w:tblCellMar>
      </w:tblPr>
      <w:tblGrid>
        <w:gridCol w:w="75"/>
        <w:gridCol w:w="771"/>
        <w:gridCol w:w="2728"/>
      </w:tblGrid>
      <w:tr>
        <w:trPr/>
        <w:tc>
          <w:tcPr>
            <w:tcW w:w="75" w:type="dxa"/>
            <w:tcBorders/>
            <w:vAlign w:val="center"/>
          </w:tcPr>
          <w:p>
            <w:pPr>
              <w:pStyle w:val="TableContents"/>
              <w:bidi w:val="0"/>
              <w:spacing w:before="0" w:after="283"/>
              <w:jc w:val="left"/>
              <w:rPr/>
            </w:pPr>
            <w:r>
              <w:rPr/>
              <w:t> </w:t>
            </w:r>
          </w:p>
        </w:tc>
        <w:tc>
          <w:tcPr>
            <w:tcW w:w="3499" w:type="dxa"/>
            <w:gridSpan w:val="2"/>
            <w:tcBorders/>
            <w:vAlign w:val="center"/>
          </w:tcPr>
          <w:p>
            <w:pPr>
              <w:pStyle w:val="TableContents"/>
              <w:bidi w:val="0"/>
              <w:spacing w:before="0" w:after="283"/>
              <w:jc w:val="left"/>
              <w:rPr>
                <w:b/>
              </w:rPr>
            </w:pPr>
            <w:r>
              <w:rPr>
                <w:b/>
              </w:rPr>
              <w:t>SYNAPTICS INCORPORATED</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 </w:t>
            </w:r>
          </w:p>
        </w:tc>
        <w:tc>
          <w:tcPr>
            <w:tcW w:w="2728" w:type="dxa"/>
            <w:tcBorders/>
            <w:vAlign w:val="center"/>
          </w:tcPr>
          <w:p>
            <w:pPr>
              <w:pStyle w:val="TableContents"/>
              <w:bidi w:val="0"/>
              <w:spacing w:before="0" w:after="283"/>
              <w:jc w:val="center"/>
              <w:rPr/>
            </w:pPr>
            <w:r>
              <w:rPr/>
              <w:t> </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By:</w:t>
            </w:r>
          </w:p>
        </w:tc>
        <w:tc>
          <w:tcPr>
            <w:tcW w:w="2728" w:type="dxa"/>
            <w:tcBorders>
              <w:bottom w:val="single" w:sz="8" w:space="0" w:color="000000"/>
            </w:tcBorders>
            <w:tcMar>
              <w:bottom w:w="28" w:type="dxa"/>
            </w:tcMar>
            <w:vAlign w:val="center"/>
          </w:tcPr>
          <w:p>
            <w:pPr>
              <w:pStyle w:val="TableContents"/>
              <w:bidi w:val="0"/>
              <w:spacing w:before="0" w:after="283"/>
              <w:jc w:val="left"/>
              <w:rPr/>
            </w:pPr>
            <w:r>
              <w:rPr/>
              <w:t>/s/ 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Name:</w:t>
            </w:r>
          </w:p>
        </w:tc>
        <w:tc>
          <w:tcPr>
            <w:tcW w:w="2728" w:type="dxa"/>
            <w:tcBorders/>
            <w:vAlign w:val="center"/>
          </w:tcPr>
          <w:p>
            <w:pPr>
              <w:pStyle w:val="TableContents"/>
              <w:bidi w:val="0"/>
              <w:spacing w:before="0" w:after="283"/>
              <w:jc w:val="left"/>
              <w:rPr/>
            </w:pPr>
            <w:r>
              <w:rPr/>
              <w:t>Rahul Patel</w:t>
            </w:r>
          </w:p>
        </w:tc>
      </w:tr>
      <w:tr>
        <w:trPr/>
        <w:tc>
          <w:tcPr>
            <w:tcW w:w="75"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left"/>
              <w:rPr/>
            </w:pPr>
            <w:r>
              <w:rPr/>
              <w:t>Title:</w:t>
            </w:r>
          </w:p>
        </w:tc>
        <w:tc>
          <w:tcPr>
            <w:tcW w:w="2728"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Agreement and Plan of Merger]</w:t>
      </w:r>
    </w:p>
    <w:p>
      <w:pPr>
        <w:pStyle w:val="TextBody"/>
        <w:bidi w:val="0"/>
        <w:spacing w:before="0" w:after="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pBdr>
          <w:bottom w:val="single" w:sz="12" w:space="0" w:color="808080"/>
        </w:pBdr>
        <w:bidi w:val="0"/>
        <w:spacing w:before="200" w:after="200"/>
        <w:jc w:val="left"/>
        <w:rPr/>
      </w:pPr>
      <w:r>
        <w:rPr/>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72" w:right="72"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br/>
        <w:t>Definitions</w:t>
      </w:r>
    </w:p>
    <w:p>
      <w:pPr>
        <w:pStyle w:val="TextBody"/>
        <w:bidi w:val="0"/>
        <w:spacing w:before="0" w:after="0"/>
        <w:ind w:left="72" w:right="72"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Agreement (including this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mean, with respect to any Person, any other Person that directly or indirectly controls, is directly or indirectly controlled by or is directly or indirectly under common control with such first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shall mean the U.S. Foreign Corrupt Practices Act of 1977, as amended, the UK Bribery Act of 2010 or its predecessor laws, or any other Legal Requirements concerning corrupt payments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Antitrust Laws</w:t>
      </w:r>
      <w:r>
        <w:rPr>
          <w:rFonts w:ascii="Times New Roman;Times;Serif" w:hAnsi="Times New Roman;Times;Serif"/>
          <w:b w:val="false"/>
          <w:i w:val="false"/>
          <w:caps w:val="false"/>
          <w:smallCaps w:val="false"/>
          <w:sz w:val="20"/>
        </w:rPr>
        <w:t>”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Average Parent Stock Price</w:t>
      </w:r>
      <w:r>
        <w:rPr>
          <w:rFonts w:ascii="Times New Roman;Times;Serif" w:hAnsi="Times New Roman;Times;Serif"/>
          <w:b w:val="false"/>
          <w:i w:val="false"/>
          <w:caps w:val="false"/>
          <w:smallCaps w:val="false"/>
          <w:sz w:val="20"/>
        </w:rPr>
        <w:t>”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a Sunday or other day on which banking institutions in New York, New York, are authorized or required by Legal Requirements to be 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 Agreements</w:t>
      </w:r>
      <w:r>
        <w:rPr>
          <w:rFonts w:ascii="Times New Roman;Times;Serif" w:hAnsi="Times New Roman;Times;Serif"/>
          <w:b w:val="false"/>
          <w:i w:val="false"/>
          <w:caps w:val="false"/>
          <w:smallCaps w:val="false"/>
          <w:sz w:val="20"/>
        </w:rPr>
        <w:t>” shall mean each of those certain Change of Control Agreements entered into between the Company and its officers, as set forth in the Company SEC Documents, and the employment agreement between the Company and its Chief Executive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Clean Team Agreement</w:t>
      </w:r>
      <w:r>
        <w:rPr>
          <w:rFonts w:ascii="Times New Roman;Times;Serif" w:hAnsi="Times New Roman;Times;Serif"/>
          <w:b w:val="false"/>
          <w:i w:val="false"/>
          <w:caps w:val="false"/>
          <w:smallCaps w:val="false"/>
          <w:sz w:val="20"/>
        </w:rPr>
        <w:t>” shall mean the Clean Team Agreement, dated June 4, 2026, by and between the Company and Semiconductor Components Industries,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shall mean the United States Internal Revenue Code of 1986,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10-K</w:t>
      </w:r>
      <w:r>
        <w:rPr>
          <w:rFonts w:ascii="Times New Roman;Times;Serif" w:hAnsi="Times New Roman;Times;Serif"/>
          <w:b w:val="false"/>
          <w:i w:val="false"/>
          <w:caps w:val="false"/>
          <w:smallCaps w:val="false"/>
          <w:sz w:val="20"/>
        </w:rPr>
        <w:t>” shall mean any prior Annual Report of the Company on Form 10-K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Proposal</w:t>
      </w:r>
      <w:r>
        <w:rPr>
          <w:rFonts w:ascii="Times New Roman;Times;Serif" w:hAnsi="Times New Roman;Times;Serif"/>
          <w:b w:val="false"/>
          <w:i w:val="false"/>
          <w:caps w:val="false"/>
          <w:smallCaps w:val="false"/>
          <w:sz w:val="20"/>
        </w:rPr>
        <w:t>” shall mean any offer, indication of interest or proposal (other than an offer or proposal made or submitted by or on behalf of Parent or any of its Subsidiaries) contemplating, involving or otherwise relating to any Company Acquisition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Acquisition Transaction</w:t>
      </w:r>
      <w:r>
        <w:rPr>
          <w:rFonts w:ascii="Times New Roman;Times;Serif" w:hAnsi="Times New Roman;Times;Serif"/>
          <w:b w:val="false"/>
          <w:i w:val="false"/>
          <w:caps w:val="false"/>
          <w:smallCaps w:val="false"/>
          <w:sz w:val="20"/>
        </w:rPr>
        <w:t>”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shall mean the common stock, par value $0.001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 Hedge Obligations</w:t>
      </w:r>
      <w:r>
        <w:rPr>
          <w:rFonts w:ascii="Times New Roman;Times;Serif" w:hAnsi="Times New Roman;Times;Serif"/>
          <w:b w:val="false"/>
          <w:i w:val="false"/>
          <w:caps w:val="false"/>
          <w:smallCaps w:val="false"/>
          <w:sz w:val="20"/>
        </w:rPr>
        <w:t>”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w:t>
      </w:r>
      <w:r>
        <w:rPr>
          <w:rFonts w:ascii="Times New Roman;Times;Serif" w:hAnsi="Times New Roman;Times;Serif"/>
          <w:b w:val="false"/>
          <w:i w:val="false"/>
          <w:caps w:val="false"/>
          <w:smallCaps w:val="false"/>
          <w:sz w:val="20"/>
        </w:rPr>
        <w:t>” shall mean the 0.75% Convertible Senior Notes due 2031 issued by the Company under the Company Convertible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Convertible Notes Indenture</w:t>
      </w:r>
      <w:r>
        <w:rPr>
          <w:rFonts w:ascii="Times New Roman;Times;Serif" w:hAnsi="Times New Roman;Times;Serif"/>
          <w:b w:val="false"/>
          <w:i w:val="false"/>
          <w:caps w:val="false"/>
          <w:smallCaps w:val="false"/>
          <w:sz w:val="20"/>
        </w:rPr>
        <w:t>” shall mean that certain Indenture, dated as of November 19, 2024, between the Company and U.S. Bank Trust Company,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Credit Agreement</w:t>
      </w:r>
      <w:r>
        <w:rPr>
          <w:rFonts w:ascii="Times New Roman;Times;Serif" w:hAnsi="Times New Roman;Times;Serif"/>
          <w:b w:val="false"/>
          <w:i w:val="false"/>
          <w:caps w:val="false"/>
          <w:smallCaps w:val="false"/>
          <w:sz w:val="20"/>
        </w:rPr>
        <w:t>”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Agreements</w:t>
      </w:r>
      <w:r>
        <w:rPr>
          <w:rFonts w:ascii="Times New Roman;Times;Serif" w:hAnsi="Times New Roman;Times;Serif"/>
          <w:b w:val="false"/>
          <w:i w:val="false"/>
          <w:caps w:val="false"/>
          <w:smallCaps w:val="false"/>
          <w:sz w:val="20"/>
        </w:rPr>
        <w:t>” shall mean the Company Inducement Plans, the Company Incentive Plan (in each case, together with all grant agreements evidencing Company RSUs, Company MSUs and Company PSUs) and the Company ESPP.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Equity Awards</w:t>
      </w:r>
      <w:r>
        <w:rPr>
          <w:rFonts w:ascii="Times New Roman;Times;Serif" w:hAnsi="Times New Roman;Times;Serif"/>
          <w:b w:val="false"/>
          <w:i w:val="false"/>
          <w:caps w:val="false"/>
          <w:smallCaps w:val="false"/>
          <w:sz w:val="20"/>
        </w:rPr>
        <w:t>” shall mean the Company RSUs, Company MSUs, and Company PSUs.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ESPP</w:t>
      </w:r>
      <w:r>
        <w:rPr>
          <w:rFonts w:ascii="Times New Roman;Times;Serif" w:hAnsi="Times New Roman;Times;Serif"/>
          <w:b w:val="false"/>
          <w:i w:val="false"/>
          <w:caps w:val="false"/>
          <w:smallCaps w:val="false"/>
          <w:sz w:val="20"/>
        </w:rPr>
        <w:t>” shall mean the Company’s Amended and Restated 2019 Employee Stock Purchase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Incentive Plan</w:t>
      </w:r>
      <w:r>
        <w:rPr>
          <w:rFonts w:ascii="Times New Roman;Times;Serif" w:hAnsi="Times New Roman;Times;Serif"/>
          <w:b w:val="false"/>
          <w:i w:val="false"/>
          <w:caps w:val="false"/>
          <w:smallCaps w:val="false"/>
          <w:sz w:val="20"/>
        </w:rPr>
        <w:t>” shall mean the Company’s Amended and Restated 2019 Equity and Incentive Compensation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Indentures</w:t>
      </w:r>
      <w:r>
        <w:rPr>
          <w:rFonts w:ascii="Times New Roman;Times;Serif" w:hAnsi="Times New Roman;Times;Serif"/>
          <w:b w:val="false"/>
          <w:i w:val="false"/>
          <w:caps w:val="false"/>
          <w:smallCaps w:val="false"/>
          <w:sz w:val="20"/>
        </w:rPr>
        <w:t>” shall mean the Company Convertible Notes Indenture and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Inducement Plans</w:t>
      </w:r>
      <w:r>
        <w:rPr>
          <w:rFonts w:ascii="Times New Roman;Times;Serif" w:hAnsi="Times New Roman;Times;Serif"/>
          <w:b w:val="false"/>
          <w:i w:val="false"/>
          <w:caps w:val="false"/>
          <w:smallCaps w:val="false"/>
          <w:sz w:val="20"/>
        </w:rPr>
        <w:t>” shall mean the Company’s 2019 and 2025 Inducement Equity Plans,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IP</w:t>
      </w:r>
      <w:r>
        <w:rPr>
          <w:rFonts w:ascii="Times New Roman;Times;Serif" w:hAnsi="Times New Roman;Times;Serif"/>
          <w:b w:val="false"/>
          <w:i w:val="false"/>
          <w:caps w:val="false"/>
          <w:smallCaps w:val="false"/>
          <w:sz w:val="20"/>
        </w:rPr>
        <w:t>” shall mean all Intellectual Property Rights owned, or purported to be owned,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Material Adverse Effect</w:t>
      </w:r>
      <w:r>
        <w:rPr>
          <w:rFonts w:ascii="Times New Roman;Times;Serif" w:hAnsi="Times New Roman;Times;Serif"/>
          <w:b w:val="false"/>
          <w:i w:val="false"/>
          <w:caps w:val="false"/>
          <w:smallCaps w:val="false"/>
          <w:sz w:val="20"/>
        </w:rPr>
        <w:t>” shall mean any state of facts, circumstance, condition, event, change, development, occurrence, result, effect, action or omission (each, an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however, </w:t>
      </w:r>
      <w:r>
        <w:rPr>
          <w:rFonts w:ascii="Times New Roman;Times;Serif" w:hAnsi="Times New Roman;Times;Serif"/>
          <w:b w:val="false"/>
          <w:i w:val="false"/>
          <w:caps w:val="false"/>
          <w:smallCaps w:val="false"/>
          <w:sz w:val="20"/>
        </w:rPr>
        <w:t xml:space="preserve">that with respect to </w:t>
      </w:r>
      <w:r>
        <w:rPr>
          <w:rFonts w:ascii="Times New Roman;Times;Serif" w:hAnsi="Times New Roman;Times;Serif"/>
          <w:b w:val="false"/>
          <w:i w:val="false"/>
          <w:caps w:val="false"/>
          <w:smallCaps w:val="false"/>
          <w:sz w:val="20"/>
          <w:u w:val="single"/>
        </w:rPr>
        <w:t>clause (i)</w:t>
      </w:r>
      <w:r>
        <w:rPr>
          <w:rFonts w:ascii="Times New Roman;Times;Serif" w:hAnsi="Times New Roman;Times;Serif"/>
          <w:b w:val="false"/>
          <w:i w:val="false"/>
          <w:caps w:val="false"/>
          <w:smallCaps w:val="false"/>
          <w:sz w:val="20"/>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exceptions in this </w:t>
      </w:r>
      <w:r>
        <w:rPr>
          <w:rFonts w:ascii="Times New Roman;Times;Serif" w:hAnsi="Times New Roman;Times;Serif"/>
          <w:b w:val="false"/>
          <w:i w:val="false"/>
          <w:caps w:val="false"/>
          <w:smallCaps w:val="false"/>
          <w:sz w:val="20"/>
          <w:u w:val="single"/>
        </w:rPr>
        <w:t>clause (H)</w:t>
      </w:r>
      <w:r>
        <w:rPr>
          <w:rFonts w:ascii="Times New Roman;Times;Serif" w:hAnsi="Times New Roman;Times;Serif"/>
          <w:b w:val="false"/>
          <w:i w:val="false"/>
          <w:caps w:val="false"/>
          <w:smallCaps w:val="false"/>
          <w:sz w:val="20"/>
        </w:rPr>
        <w:t xml:space="preserve"> will not apply with respect to the representations and warranties contained in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xml:space="preserve">, or to </w:t>
      </w:r>
      <w:r>
        <w:rPr>
          <w:rFonts w:ascii="Times New Roman;Times;Serif" w:hAnsi="Times New Roman;Times;Serif"/>
          <w:b w:val="false"/>
          <w:i w:val="false"/>
          <w:caps w:val="false"/>
          <w:smallCaps w:val="false"/>
          <w:sz w:val="20"/>
          <w:u w:val="single"/>
        </w:rPr>
        <w:t>Section 5.2(a)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6.1(g)</w:t>
      </w:r>
      <w:r>
        <w:rPr>
          <w:rFonts w:ascii="Times New Roman;Times;Serif" w:hAnsi="Times New Roman;Times;Serif"/>
          <w:b w:val="false"/>
          <w:i w:val="false"/>
          <w:caps w:val="false"/>
          <w:smallCaps w:val="false"/>
          <w:sz w:val="20"/>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any Effect described in </w:t>
      </w:r>
      <w:r>
        <w:rPr>
          <w:rFonts w:ascii="Times New Roman;Times;Serif" w:hAnsi="Times New Roman;Times;Serif"/>
          <w:b w:val="false"/>
          <w:i w:val="false"/>
          <w:caps w:val="false"/>
          <w:smallCaps w:val="false"/>
          <w:sz w:val="20"/>
          <w:u w:val="single"/>
        </w:rPr>
        <w:t>clauses (A)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(G)</w:t>
      </w:r>
      <w:r>
        <w:rPr>
          <w:rFonts w:ascii="Times New Roman;Times;Serif" w:hAnsi="Times New Roman;Times;Serif"/>
          <w:b w:val="false"/>
          <w:i w:val="false"/>
          <w:caps w:val="false"/>
          <w:smallCaps w:val="false"/>
          <w:sz w:val="20"/>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MSUs</w:t>
      </w:r>
      <w:r>
        <w:rPr>
          <w:rFonts w:ascii="Times New Roman;Times;Serif" w:hAnsi="Times New Roman;Times;Serif"/>
          <w:b w:val="false"/>
          <w:i w:val="false"/>
          <w:caps w:val="false"/>
          <w:smallCaps w:val="false"/>
          <w:sz w:val="20"/>
        </w:rPr>
        <w:t>” shall mean market stock units representing the right to vest in and be issued shares of Company Common Stock by the Company that are subject to vesting restrictions based on the Company’s relative market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Company Leased Real Property, Liens affecting the interest of the owner of the real property that is the subject of such applicable Company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that</w:t>
      </w:r>
      <w:r>
        <w:rPr>
          <w:rFonts w:ascii="Times New Roman;Times;Serif" w:hAnsi="Times New Roman;Times;Serif"/>
          <w:b w:val="false"/>
          <w:i w:val="false"/>
          <w:caps w:val="false"/>
          <w:smallCaps w:val="false"/>
          <w:sz w:val="20"/>
        </w:rPr>
        <w:t>, any governmental plan or program requiring the mandatory payment of social insurance taxes or similar contributions to a governmental fund with respect to the wages of an employee will not be considered a “Company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Products</w:t>
      </w:r>
      <w:r>
        <w:rPr>
          <w:rFonts w:ascii="Times New Roman;Times;Serif" w:hAnsi="Times New Roman;Times;Serif"/>
          <w:b w:val="false"/>
          <w:i w:val="false"/>
          <w:caps w:val="false"/>
          <w:smallCaps w:val="false"/>
          <w:sz w:val="20"/>
        </w:rPr>
        <w:t>” shall mean any and all products and services that are or have been since January 1, 2024 marketed, offered, sold, licensed, provided, distributed or supported by the Company or any Company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PSUs</w:t>
      </w:r>
      <w:r>
        <w:rPr>
          <w:rFonts w:ascii="Times New Roman;Times;Serif" w:hAnsi="Times New Roman;Times;Serif"/>
          <w:b w:val="false"/>
          <w:i w:val="false"/>
          <w:caps w:val="false"/>
          <w:smallCaps w:val="false"/>
          <w:sz w:val="20"/>
        </w:rPr>
        <w:t>” shall mean performance stock units representing the right to vest in and be issued shares of Company Common Stock by the Company that are subject to vesting restrictions based on the Company’s performance and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RSUs</w:t>
      </w:r>
      <w:r>
        <w:rPr>
          <w:rFonts w:ascii="Times New Roman;Times;Serif" w:hAnsi="Times New Roman;Times;Serif"/>
          <w:b w:val="false"/>
          <w:i w:val="false"/>
          <w:caps w:val="false"/>
          <w:smallCaps w:val="false"/>
          <w:sz w:val="20"/>
        </w:rPr>
        <w:t>” shall mean restricted stock units representing the right to vest in and be issued shares of Company Common Stock by the Company that are subject to vesting restrictions based on continuing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w:t>
      </w:r>
      <w:r>
        <w:rPr>
          <w:rFonts w:ascii="Times New Roman;Times;Serif" w:hAnsi="Times New Roman;Times;Serif"/>
          <w:b w:val="false"/>
          <w:i w:val="false"/>
          <w:caps w:val="false"/>
          <w:smallCaps w:val="false"/>
          <w:sz w:val="20"/>
        </w:rPr>
        <w:t>” shall mean the 4.000% Senior Notes due 2029 issued by the Company under the Company Senior Notes Indenture.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Senior Notes Indenture</w:t>
      </w:r>
      <w:r>
        <w:rPr>
          <w:rFonts w:ascii="Times New Roman;Times;Serif" w:hAnsi="Times New Roman;Times;Serif"/>
          <w:b w:val="false"/>
          <w:i w:val="false"/>
          <w:caps w:val="false"/>
          <w:smallCaps w:val="false"/>
          <w:sz w:val="20"/>
        </w:rPr>
        <w:t>” shall mean that certain Indenture, dated as of March 11, 2021, among the Company, Company Subsidiary guarantors party thereto and Wells Fargo Bank, National Association, as trustee, including each amendment, modification or supplement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Subsidiary</w:t>
      </w:r>
      <w:r>
        <w:rPr>
          <w:rFonts w:ascii="Times New Roman;Times;Serif" w:hAnsi="Times New Roman;Times;Serif"/>
          <w:b w:val="false"/>
          <w:i w:val="false"/>
          <w:caps w:val="false"/>
          <w:smallCaps w:val="false"/>
          <w:sz w:val="20"/>
        </w:rPr>
        <w:t>” shall mean any direct or indirect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Superior Proposal</w:t>
      </w:r>
      <w:r>
        <w:rPr>
          <w:rFonts w:ascii="Times New Roman;Times;Serif" w:hAnsi="Times New Roman;Times;Serif"/>
          <w:b w:val="false"/>
          <w:i w:val="false"/>
          <w:caps w:val="false"/>
          <w:smallCaps w:val="false"/>
          <w:sz w:val="20"/>
        </w:rPr>
        <w:t xml:space="preserve">” shall mean any bona fide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Company Acquisition Proposal, including the identity of the Person making such Company Acquisition Proposal and likelihood of obtaining financing for such Company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Company Acquisition Proposal pursuant to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Termination Fee</w:t>
      </w:r>
      <w:r>
        <w:rPr>
          <w:rFonts w:ascii="Times New Roman;Times;Serif" w:hAnsi="Times New Roman;Times;Serif"/>
          <w:b w:val="false"/>
          <w:i w:val="false"/>
          <w:caps w:val="false"/>
          <w:smallCaps w:val="false"/>
          <w:sz w:val="20"/>
        </w:rPr>
        <w:t>” shall mean an amount in cash equal to Two Hundred Thirty-Five Million dollars ($235,000,000).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Customer</w:t>
      </w:r>
      <w:r>
        <w:rPr>
          <w:rFonts w:ascii="Times New Roman;Times;Serif" w:hAnsi="Times New Roman;Times;Serif"/>
          <w:b w:val="false"/>
          <w:i w:val="false"/>
          <w:caps w:val="false"/>
          <w:smallCaps w:val="false"/>
          <w:sz w:val="20"/>
        </w:rPr>
        <w:t>” shall mean (i) a top twenty (20) customer of the Company and the Company Subsidiaries, taken as a whole, based on revenues during the twelve (12) months ended June 28, 2025, and (ii) a top twenty (20) customer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A-6</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Distributor</w:t>
      </w:r>
      <w:r>
        <w:rPr>
          <w:rFonts w:ascii="Times New Roman;Times;Serif" w:hAnsi="Times New Roman;Times;Serif"/>
          <w:b w:val="false"/>
          <w:i w:val="false"/>
          <w:caps w:val="false"/>
          <w:smallCaps w:val="false"/>
          <w:sz w:val="20"/>
        </w:rPr>
        <w:t>” shall mean (i) a top ten (10) distributor of the Company and the Company Subsidiaries, taken as a whole, based on revenues during the twelve (12) months ended June 28, 2025, and (ii) a top ten (10) distributor of the Company and the Company Subsidiaries, taken as a whole, based on revenues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Top Supplier</w:t>
      </w:r>
      <w:r>
        <w:rPr>
          <w:rFonts w:ascii="Times New Roman;Times;Serif" w:hAnsi="Times New Roman;Times;Serif"/>
          <w:b w:val="false"/>
          <w:i w:val="false"/>
          <w:caps w:val="false"/>
          <w:smallCaps w:val="false"/>
          <w:sz w:val="20"/>
        </w:rPr>
        <w:t>” shall mean (i) a top ten (10) supplier of the Company and the Company Subsidiaries, taken as a whole, based on expenditures during the twelve (12) months ended June 28, 2025, and (ii) a top ten (10) supplier of the Company and the Company Subsidiaries, taken as a whole, based on expenditures during the twelve (12) months ended June 25,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shall mean any contract, subcontract, note, bond, mortgage, indenture, lease, license, sublicense, guaranty, security agreement, franchise or other legally binding instrument, commitment, agreement or obligation, whether oral or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Ratio</w:t>
      </w:r>
      <w:r>
        <w:rPr>
          <w:rFonts w:ascii="Times New Roman;Times;Serif" w:hAnsi="Times New Roman;Times;Serif"/>
          <w:b w:val="false"/>
          <w:i w:val="false"/>
          <w:caps w:val="false"/>
          <w:smallCaps w:val="false"/>
          <w:sz w:val="20"/>
        </w:rPr>
        <w:t>” shall mean the quotient (rounded to the fourth decimal place) of (A) the per-share Merger Consideration divided by (B) the Average Parent Stock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DGCL</w:t>
      </w:r>
      <w:r>
        <w:rPr>
          <w:rFonts w:ascii="Times New Roman;Times;Serif" w:hAnsi="Times New Roman;Times;Serif"/>
          <w:b w:val="false"/>
          <w:i w:val="false"/>
          <w:caps w:val="false"/>
          <w:smallCaps w:val="false"/>
          <w:sz w:val="20"/>
        </w:rPr>
        <w:t>” shall mean the Delaware General Corporation Law,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Enforceability Limitations</w:t>
      </w:r>
      <w:r>
        <w:rPr>
          <w:rFonts w:ascii="Times New Roman;Times;Serif" w:hAnsi="Times New Roman;Times;Serif"/>
          <w:b w:val="false"/>
          <w:i w:val="false"/>
          <w:caps w:val="false"/>
          <w:smallCaps w:val="false"/>
          <w:sz w:val="20"/>
        </w:rPr>
        <w:t>”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Entity</w:t>
      </w:r>
      <w:r>
        <w:rPr>
          <w:rFonts w:ascii="Times New Roman;Times;Serif" w:hAnsi="Times New Roman;Times;Serif"/>
          <w:b w:val="false"/>
          <w:i w:val="false"/>
          <w:caps w:val="false"/>
          <w:smallCaps w:val="false"/>
          <w:sz w:val="20"/>
        </w:rPr>
        <w:t>”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shall mean the Employee Retirement Income Security Act of 1974,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shall mean each entity, that together with the Company, is treated as a single employer within the meaning of Section 4001(b)(1) of ERISA or Section 414(b), (c), (m) or (o) of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A-7</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Export Control Laws</w:t>
      </w:r>
      <w:r>
        <w:rPr>
          <w:rFonts w:ascii="Times New Roman;Times;Serif" w:hAnsi="Times New Roman;Times;Serif"/>
          <w:b w:val="false"/>
          <w:i w:val="false"/>
          <w:caps w:val="false"/>
          <w:smallCaps w:val="false"/>
          <w:sz w:val="20"/>
        </w:rPr>
        <w:t>”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FDI Laws</w:t>
      </w:r>
      <w:r>
        <w:rPr>
          <w:rFonts w:ascii="Times New Roman;Times;Serif" w:hAnsi="Times New Roman;Times;Serif"/>
          <w:b w:val="false"/>
          <w:i w:val="false"/>
          <w:caps w:val="false"/>
          <w:smallCaps w:val="false"/>
          <w:sz w:val="20"/>
        </w:rPr>
        <w:t>” shall mean any Legal Requirements designed or intended to prohibit, restrict or regulate on national security or public order grounds actions by foreigners or non-domiciled persons to acquire interests in domestic equities, securities, entities, assets, land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means any debt financing obtained or proposed to be obtained by Parent, Merger Sub or any other Subsidiaries of Parent, including the Committed Financing and any debt financing committed pursuant to the Debt Commitment Letter, the proceeds of which are intended to be used (x) to finance the payment, in whole or in part, of the Merger Consideration, (y) in connection with the Credit Facility Termination, the redemption or repurchase of the Company Senior Notes or the Company Convertible Notes or the conversion of the Company Convertible Notes or (z) to finance the payment of any other amounts payable by Parent or Merger Sub under this Agreement or in connection with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 means the entities that have committed to provide or arrange or otherwise entered into agreements in connection with the Financing, or to purchase debt securities from or place debt securities or arrange or provide loans for Parent as part of the Financing, or otherwise acting as an arranger, bookrunner, underwriter, initial purchaser, placement agent, administrative or collateral agent, trustee or similar representative in respect of any part of the Financing, including the parties to any applicable commitment letter, engagement letter, joinder agreements, indentures or credit agreements relating thereto (the “</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xml:space="preserve">”) and their respective affiliates and their and their respective affiliates’ former, current and future equityholders, officers, directors, employees, agents and Representatives and their respective successors and assigns;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Parent nor any affiliate of Parent shall be a Financing Related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Sources</w:t>
      </w:r>
      <w:r>
        <w:rPr>
          <w:rFonts w:ascii="Times New Roman;Times;Serif" w:hAnsi="Times New Roman;Times;Serif"/>
          <w:b w:val="false"/>
          <w:i w:val="false"/>
          <w:caps w:val="false"/>
          <w:smallCaps w:val="false"/>
          <w:sz w:val="20"/>
        </w:rPr>
        <w:t>” shall have the meaning set forth in the definition of “</w:t>
      </w:r>
      <w:r>
        <w:rPr>
          <w:rFonts w:ascii="Times New Roman;Times;Serif" w:hAnsi="Times New Roman;Times;Serif"/>
          <w:b w:val="false"/>
          <w:i w:val="false"/>
          <w:caps w:val="false"/>
          <w:smallCaps w:val="false"/>
          <w:sz w:val="20"/>
          <w:u w:val="single"/>
        </w:rPr>
        <w:t>Financing Related 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mean United States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Authorization</w:t>
      </w:r>
      <w:r>
        <w:rPr>
          <w:rFonts w:ascii="Times New Roman;Times;Serif" w:hAnsi="Times New Roman;Times;Serif"/>
          <w:b w:val="false"/>
          <w:i w:val="false"/>
          <w:caps w:val="false"/>
          <w:smallCaps w:val="false"/>
          <w:sz w:val="20"/>
        </w:rPr>
        <w:t>”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A-8</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Entity</w:t>
      </w:r>
      <w:r>
        <w:rPr>
          <w:rFonts w:ascii="Times New Roman;Times;Serif" w:hAnsi="Times New Roman;Times;Serif"/>
          <w:b w:val="false"/>
          <w:i w:val="false"/>
          <w:caps w:val="false"/>
          <w:smallCaps w:val="false"/>
          <w:sz w:val="20"/>
        </w:rPr>
        <w:t>” shall mean any federal, state, local or foreign governmental authority, any transnational governmental organization or any court of competent jurisdiction, arbitral, administrative agency or commission or other governmental authority or instrumentality, domestic or foreign.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HSR Act</w:t>
      </w:r>
      <w:r>
        <w:rPr>
          <w:rFonts w:ascii="Times New Roman;Times;Serif" w:hAnsi="Times New Roman;Times;Serif"/>
          <w:b w:val="false"/>
          <w:i w:val="false"/>
          <w:caps w:val="false"/>
          <w:smallCaps w:val="false"/>
          <w:sz w:val="20"/>
        </w:rPr>
        <w:t>” shall mean the Hart-Scott-Rodino Antitrust Improvements Act of 1976,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b w:val="false"/>
          <w:i w:val="false"/>
          <w:caps w:val="false"/>
          <w:smallCaps w:val="false"/>
          <w:sz w:val="20"/>
          <w:u w:val="single"/>
        </w:rPr>
        <w:t>Patents</w:t>
      </w:r>
      <w:r>
        <w:rPr>
          <w:rFonts w:ascii="Times New Roman;Times;Serif" w:hAnsi="Times New Roman;Times;Serif"/>
          <w:b w:val="false"/>
          <w:i w:val="false"/>
          <w:caps w:val="false"/>
          <w:smallCaps w:val="false"/>
          <w:sz w:val="20"/>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b w:val="false"/>
          <w:i w:val="false"/>
          <w:caps w:val="false"/>
          <w:smallCaps w:val="false"/>
          <w:sz w:val="20"/>
          <w:u w:val="single"/>
        </w:rPr>
        <w:t>Marks</w:t>
      </w:r>
      <w:r>
        <w:rPr>
          <w:rFonts w:ascii="Times New Roman;Times;Serif" w:hAnsi="Times New Roman;Times;Serif"/>
          <w:b w:val="false"/>
          <w:i w:val="false"/>
          <w:caps w:val="false"/>
          <w:smallCaps w:val="false"/>
          <w:sz w:val="20"/>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b w:val="false"/>
          <w:i w:val="false"/>
          <w:caps w:val="false"/>
          <w:smallCaps w:val="false"/>
          <w:sz w:val="20"/>
          <w:u w:val="single"/>
        </w:rPr>
        <w:t>Copyrights</w:t>
      </w:r>
      <w:r>
        <w:rPr>
          <w:rFonts w:ascii="Times New Roman;Times;Serif" w:hAnsi="Times New Roman;Times;Serif"/>
          <w:b w:val="false"/>
          <w:i w:val="false"/>
          <w:caps w:val="false"/>
          <w:smallCaps w:val="false"/>
          <w:sz w:val="20"/>
        </w:rPr>
        <w:t>”); (v) mask work rights (as defined in the Semiconductor Chip Protection Act, 17 U.S.C. § § 901-914) and any other intellectual property right in semiconductor topology or mask works, and any registration therefor (“</w:t>
      </w:r>
      <w:r>
        <w:rPr>
          <w:rFonts w:ascii="Times New Roman;Times;Serif" w:hAnsi="Times New Roman;Times;Serif"/>
          <w:b w:val="false"/>
          <w:i w:val="false"/>
          <w:caps w:val="false"/>
          <w:smallCaps w:val="false"/>
          <w:sz w:val="20"/>
          <w:u w:val="single"/>
        </w:rPr>
        <w:t>Mask Work Rights</w:t>
      </w:r>
      <w:r>
        <w:rPr>
          <w:rFonts w:ascii="Times New Roman;Times;Serif" w:hAnsi="Times New Roman;Times;Serif"/>
          <w:b w:val="false"/>
          <w:i w:val="false"/>
          <w:caps w:val="false"/>
          <w:smallCaps w:val="false"/>
          <w:sz w:val="20"/>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b w:val="false"/>
          <w:i w:val="false"/>
          <w:caps w:val="false"/>
          <w:smallCaps w:val="false"/>
          <w:sz w:val="20"/>
          <w:u w:val="single"/>
        </w:rPr>
        <w:t>Trade Secrets</w:t>
      </w:r>
      <w:r>
        <w:rPr>
          <w:rFonts w:ascii="Times New Roman;Times;Serif" w:hAnsi="Times New Roman;Times;Serif"/>
          <w:b w:val="false"/>
          <w:i w:val="false"/>
          <w:caps w:val="false"/>
          <w:smallCaps w:val="false"/>
          <w:sz w:val="20"/>
        </w:rPr>
        <w:t>”);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 and (viii) other similar or equivalent intellectual property rights anywhere in the world.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shall mean the United States Internal Revenue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Joint Defense Agreement</w:t>
      </w:r>
      <w:r>
        <w:rPr>
          <w:rFonts w:ascii="Times New Roman;Times;Serif" w:hAnsi="Times New Roman;Times;Serif"/>
          <w:b w:val="false"/>
          <w:i w:val="false"/>
          <w:caps w:val="false"/>
          <w:smallCaps w:val="false"/>
          <w:sz w:val="20"/>
        </w:rPr>
        <w:t>” shall mean the joint defense agreement among Parent, the Company and their respective counsel, dated as of June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Company</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Company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A-9</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Parent</w:t>
      </w:r>
      <w:r>
        <w:rPr>
          <w:rFonts w:ascii="Times New Roman;Times;Serif" w:hAnsi="Times New Roman;Times;Serif"/>
          <w:b w:val="false"/>
          <w:i w:val="false"/>
          <w:caps w:val="false"/>
          <w:smallCaps w:val="false"/>
          <w:sz w:val="20"/>
        </w:rPr>
        <w:t>” shall mean the actual knowledge, after reasonable inquiry, of the individuals listed in the “Definitions” Annex of the Parent Disclosure Schedule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Proceeding</w:t>
      </w:r>
      <w:r>
        <w:rPr>
          <w:rFonts w:ascii="Times New Roman;Times;Serif" w:hAnsi="Times New Roman;Times;Serif"/>
          <w:b w:val="false"/>
          <w:i w:val="false"/>
          <w:caps w:val="false"/>
          <w:smallCaps w:val="false"/>
          <w:sz w:val="20"/>
        </w:rPr>
        <w:t>” shall mean any legal or administrative proceeding, lawsuit, arbitration, mediation, court action, or other proceeding before any court or public or private body or tribunal or other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Legal Requirement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shall mean any law, statute, rule or regulation adopted or promulgated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10-K</w:t>
      </w:r>
      <w:r>
        <w:rPr>
          <w:rFonts w:ascii="Times New Roman;Times;Serif" w:hAnsi="Times New Roman;Times;Serif"/>
          <w:b w:val="false"/>
          <w:i w:val="false"/>
          <w:caps w:val="false"/>
          <w:smallCaps w:val="false"/>
          <w:sz w:val="20"/>
        </w:rPr>
        <w:t>” shall mean the Company 10-K for the year ended June 27, 2026 (filed with the SEC on August 10,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Company Balance Sheet</w:t>
      </w:r>
      <w:r>
        <w:rPr>
          <w:rFonts w:ascii="Times New Roman;Times;Serif" w:hAnsi="Times New Roman;Times;Serif"/>
          <w:b w:val="false"/>
          <w:i w:val="false"/>
          <w:caps w:val="false"/>
          <w:smallCaps w:val="false"/>
          <w:sz w:val="20"/>
        </w:rPr>
        <w:t>” shall mean the balance sheet of the Company as of June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Most Recent Parent 10-K</w:t>
      </w:r>
      <w:r>
        <w:rPr>
          <w:rFonts w:ascii="Times New Roman;Times;Serif" w:hAnsi="Times New Roman;Times;Serif"/>
          <w:b w:val="false"/>
          <w:i w:val="false"/>
          <w:caps w:val="false"/>
          <w:smallCaps w:val="false"/>
          <w:sz w:val="20"/>
        </w:rPr>
        <w:t>” shall mean Parent’s Annual Report on Form 10-K for the year ended December 31, 2025 (filed with the SEC on February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Non-Disclosure Agreement</w:t>
      </w:r>
      <w:r>
        <w:rPr>
          <w:rFonts w:ascii="Times New Roman;Times;Serif" w:hAnsi="Times New Roman;Times;Serif"/>
          <w:b w:val="false"/>
          <w:i w:val="false"/>
          <w:caps w:val="false"/>
          <w:smallCaps w:val="false"/>
          <w:sz w:val="20"/>
        </w:rPr>
        <w:t>” shall mean that certain mutual non-disclosure agreement, dated as of April 13, 2026, by and between the Company and Semiconductor Components Industries, LLC, a wholly-owned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Non-Vested MSU</w:t>
      </w:r>
      <w:r>
        <w:rPr>
          <w:rFonts w:ascii="Times New Roman;Times;Serif" w:hAnsi="Times New Roman;Times;Serif"/>
          <w:b w:val="false"/>
          <w:i w:val="false"/>
          <w:caps w:val="false"/>
          <w:smallCaps w:val="false"/>
          <w:sz w:val="20"/>
        </w:rPr>
        <w:t>” shall have the meaning given such term under the relevant granting Company Equity Agreement of each Company MSU.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mean the U.S. Department of the Treasury, Office of Foreign Assets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Open Source</w:t>
      </w:r>
      <w:r>
        <w:rPr>
          <w:rFonts w:ascii="Times New Roman;Times;Serif" w:hAnsi="Times New Roman;Times;Serif"/>
          <w:b w:val="false"/>
          <w:i w:val="false"/>
          <w:caps w:val="false"/>
          <w:smallCaps w:val="false"/>
          <w:sz w:val="20"/>
        </w:rPr>
        <w:t>” shall mean any Software that is distributed as “free software,” “open source software” or under a similar licensing or distribution model (an “</w:t>
      </w:r>
      <w:r>
        <w:rPr>
          <w:rFonts w:ascii="Times New Roman;Times;Serif" w:hAnsi="Times New Roman;Times;Serif"/>
          <w:b w:val="false"/>
          <w:i w:val="false"/>
          <w:caps w:val="false"/>
          <w:smallCaps w:val="false"/>
          <w:sz w:val="20"/>
          <w:u w:val="single"/>
        </w:rPr>
        <w:t>Open Source License</w:t>
      </w:r>
      <w:r>
        <w:rPr>
          <w:rFonts w:ascii="Times New Roman;Times;Serif" w:hAnsi="Times New Roman;Times;Serif"/>
          <w:b w:val="false"/>
          <w:i w:val="false"/>
          <w:caps w:val="false"/>
          <w:smallCaps w:val="false"/>
          <w:sz w:val="20"/>
        </w:rPr>
        <w:t>”),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shall mean any order, decision, judgment, writ, injunction, stipulation, award, or decree, issued by any Governmental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A-10</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Organizational Documents</w:t>
      </w:r>
      <w:r>
        <w:rPr>
          <w:rFonts w:ascii="Times New Roman;Times;Serif" w:hAnsi="Times New Roman;Times;Serif"/>
          <w:b w:val="false"/>
          <w:i w:val="false"/>
          <w:caps w:val="false"/>
          <w:smallCaps w:val="false"/>
          <w:sz w:val="20"/>
        </w:rPr>
        <w:t>”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Outbound Investment Rules</w:t>
      </w:r>
      <w:r>
        <w:rPr>
          <w:rFonts w:ascii="Times New Roman;Times;Serif" w:hAnsi="Times New Roman;Times;Serif"/>
          <w:b w:val="false"/>
          <w:i w:val="false"/>
          <w:caps w:val="false"/>
          <w:smallCaps w:val="false"/>
          <w:sz w:val="20"/>
        </w:rPr>
        <w:t>” shall mean Part 850 of Title 31 of the Code of Federal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Board</w:t>
      </w:r>
      <w:r>
        <w:rPr>
          <w:rFonts w:ascii="Times New Roman;Times;Serif" w:hAnsi="Times New Roman;Times;Serif"/>
          <w:b w:val="false"/>
          <w:i w:val="false"/>
          <w:caps w:val="false"/>
          <w:smallCaps w:val="false"/>
          <w:sz w:val="20"/>
        </w:rPr>
        <w:t>” shall mean the board of directors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Common Stock</w:t>
      </w:r>
      <w:r>
        <w:rPr>
          <w:rFonts w:ascii="Times New Roman;Times;Serif" w:hAnsi="Times New Roman;Times;Serif"/>
          <w:b w:val="false"/>
          <w:i w:val="false"/>
          <w:caps w:val="false"/>
          <w:smallCaps w:val="false"/>
          <w:sz w:val="20"/>
        </w:rPr>
        <w:t>” shall mean the common stock, par value $0.01 per share,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Employee</w:t>
      </w:r>
      <w:r>
        <w:rPr>
          <w:rFonts w:ascii="Times New Roman;Times;Serif" w:hAnsi="Times New Roman;Times;Serif"/>
          <w:b w:val="false"/>
          <w:i w:val="false"/>
          <w:caps w:val="false"/>
          <w:smallCaps w:val="false"/>
          <w:sz w:val="20"/>
        </w:rPr>
        <w:t>” shall mean any officer or any other employee (full-time or part-time) of Parent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IP</w:t>
      </w:r>
      <w:r>
        <w:rPr>
          <w:rFonts w:ascii="Times New Roman;Times;Serif" w:hAnsi="Times New Roman;Times;Serif"/>
          <w:b w:val="false"/>
          <w:i w:val="false"/>
          <w:caps w:val="false"/>
          <w:smallCaps w:val="false"/>
          <w:sz w:val="20"/>
        </w:rPr>
        <w:t>” shall mean all Intellectual Property Rights owned, or purported to be owned, by Parent or any Parent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Leased Real Property</w:t>
      </w:r>
      <w:r>
        <w:rPr>
          <w:rFonts w:ascii="Times New Roman;Times;Serif" w:hAnsi="Times New Roman;Times;Serif"/>
          <w:b w:val="false"/>
          <w:i w:val="false"/>
          <w:caps w:val="false"/>
          <w:smallCaps w:val="false"/>
          <w:sz w:val="20"/>
        </w:rPr>
        <w:t>” shall mean any real property that Parent or any Parent Subsidiary uses or occupies or has the right to use or occupy pursuant to any lease, sublease, license, or other use or occupancy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Material Adverse Effect</w:t>
      </w:r>
      <w:r>
        <w:rPr>
          <w:rFonts w:ascii="Times New Roman;Times;Serif" w:hAnsi="Times New Roman;Times;Serif"/>
          <w:b w:val="false"/>
          <w:i w:val="false"/>
          <w:caps w:val="false"/>
          <w:smallCaps w:val="false"/>
          <w:sz w:val="20"/>
        </w:rPr>
        <w:t xml:space="preserve">” shall mean any Effect that, individually or in the aggregate, prevents, materially delays, or materially impairs the consummation by Parent or Merger Sub of the transactions contemplated </w:t>
      </w:r>
      <w:r>
        <w:rPr>
          <w:rFonts w:ascii="Times New Roman;Times;Serif" w:hAnsi="Times New Roman;Times;Serif"/>
          <w:b w:val="false"/>
          <w:i w:val="false"/>
          <w:caps w:val="false"/>
          <w:smallCaps w:val="false"/>
          <w:sz w:val="20"/>
          <w:shd w:fill="FFFFFF" w:val="clear"/>
        </w:rPr>
        <w:t>by this Agreement (including the obligation to pay the Merger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the absence or failure to obtain any consent, approval, waiver or clearance from a Governmental Authority identified in </w:t>
      </w:r>
      <w:r>
        <w:rPr>
          <w:rFonts w:ascii="Times New Roman;Times;Serif" w:hAnsi="Times New Roman;Times;Serif"/>
          <w:b w:val="false"/>
          <w:i w:val="false"/>
          <w:caps w:val="false"/>
          <w:smallCaps w:val="false"/>
          <w:sz w:val="20"/>
          <w:u w:val="single"/>
        </w:rPr>
        <w:t>Section 5.1(b)</w:t>
      </w:r>
      <w:r>
        <w:rPr>
          <w:rFonts w:ascii="Times New Roman;Times;Serif" w:hAnsi="Times New Roman;Times;Serif"/>
          <w:b w:val="false"/>
          <w:i w:val="false"/>
          <w:caps w:val="false"/>
          <w:smallCaps w:val="false"/>
          <w:sz w:val="20"/>
        </w:rPr>
        <w:t xml:space="preserve"> of the Parent Disclosure Schedule or otherwise required in connection with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not in and of itself be a Parent Material Adverse Effect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exception in this proviso shall not apply for purposes of the representations and warranties in </w:t>
      </w:r>
      <w:r>
        <w:rPr>
          <w:rFonts w:ascii="Times New Roman;Times;Serif" w:hAnsi="Times New Roman;Times;Serif"/>
          <w:b w:val="false"/>
          <w:i w:val="false"/>
          <w:caps w:val="false"/>
          <w:smallCaps w:val="false"/>
          <w:sz w:val="20"/>
          <w:u w:val="single"/>
        </w:rPr>
        <w:t>Section 3.3(b)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 xml:space="preserve">or to </w:t>
      </w:r>
      <w:r>
        <w:rPr>
          <w:rFonts w:ascii="Times New Roman;Times;Serif" w:hAnsi="Times New Roman;Times;Serif"/>
          <w:b w:val="false"/>
          <w:i w:val="false"/>
          <w:caps w:val="false"/>
          <w:smallCaps w:val="false"/>
          <w:sz w:val="20"/>
          <w:u w:val="single"/>
          <w:shd w:fill="FFFFFF" w:val="clear"/>
        </w:rPr>
        <w:t>Section 5.3(a)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Section 6.1(h)</w:t>
      </w:r>
      <w:r>
        <w:rPr>
          <w:rFonts w:ascii="Times New Roman;Times;Serif" w:hAnsi="Times New Roman;Times;Serif"/>
          <w:b w:val="false"/>
          <w:i w:val="false"/>
          <w:caps w:val="false"/>
          <w:smallCaps w:val="false"/>
          <w:sz w:val="20"/>
          <w:shd w:fill="FFFFFF" w:val="clear"/>
        </w:rPr>
        <w:t xml:space="preserve"> to the extent related to such portions of such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Permitted Encumbrances</w:t>
      </w:r>
      <w:r>
        <w:rPr>
          <w:rFonts w:ascii="Times New Roman;Times;Serif" w:hAnsi="Times New Roman;Times;Serif"/>
          <w:b w:val="false"/>
          <w:i w:val="false"/>
          <w:caps w:val="false"/>
          <w:smallCaps w:val="false"/>
          <w:sz w:val="20"/>
        </w:rPr>
        <w:t>”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Parent Leased Real Property, Liens affecting the interest of the owner of the real property that is the subject of such applicable Parent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A-11</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Plan</w:t>
      </w:r>
      <w:r>
        <w:rPr>
          <w:rFonts w:ascii="Times New Roman;Times;Serif" w:hAnsi="Times New Roman;Times;Serif"/>
          <w:b w:val="false"/>
          <w:i w:val="false"/>
          <w:caps w:val="false"/>
          <w:smallCaps w:val="false"/>
          <w:sz w:val="20"/>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any governmental plan or program requiring the mandatory payment of social insurance taxes or similar contributions to a governmental fund with respect to the wages of an employee will not be considered a “Parent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RSUs</w:t>
      </w:r>
      <w:r>
        <w:rPr>
          <w:rFonts w:ascii="Times New Roman;Times;Serif" w:hAnsi="Times New Roman;Times;Serif"/>
          <w:b w:val="false"/>
          <w:i w:val="false"/>
          <w:caps w:val="false"/>
          <w:smallCaps w:val="false"/>
          <w:sz w:val="20"/>
        </w:rPr>
        <w:t>” shall mean restricted stock units representing the right to vest in and be issued shares of Parent Common Stock by Parent that are subject to vesting restrictions based on continuing service or based on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SEC Documents</w:t>
      </w:r>
      <w:r>
        <w:rPr>
          <w:rFonts w:ascii="Times New Roman;Times;Serif" w:hAnsi="Times New Roman;Times;Serif"/>
          <w:b w:val="false"/>
          <w:i w:val="false"/>
          <w:caps w:val="false"/>
          <w:smallCaps w:val="false"/>
          <w:sz w:val="20"/>
        </w:rPr>
        <w:t>” shall mean all reports, schedules, forms, statements and other documents (including exhibits and all other information incorporated by reference therein) required to be filed or furnished by Parent with the SEC under the Exchange Act or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Subsidiary</w:t>
      </w:r>
      <w:r>
        <w:rPr>
          <w:rFonts w:ascii="Times New Roman;Times;Serif" w:hAnsi="Times New Roman;Times;Serif"/>
          <w:b w:val="false"/>
          <w:i w:val="false"/>
          <w:caps w:val="false"/>
          <w:smallCaps w:val="false"/>
          <w:sz w:val="20"/>
        </w:rPr>
        <w:t>” shall mean any direct or indirect Subsidiary of Parent.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any individual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mean any information about an identifiable natural person that alone or in combination with other information identifies, or could be used to identify, a natural person, and includes a name, an identification number, location data, an online identifier or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A-12</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Laws</w:t>
      </w:r>
      <w:r>
        <w:rPr>
          <w:rFonts w:ascii="Times New Roman;Times;Serif" w:hAnsi="Times New Roman;Times;Serif"/>
          <w:b w:val="false"/>
          <w:i w:val="false"/>
          <w:caps w:val="false"/>
          <w:smallCaps w:val="false"/>
          <w:sz w:val="20"/>
        </w:rPr>
        <w:t>”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Payment</w:t>
      </w:r>
      <w:r>
        <w:rPr>
          <w:rFonts w:ascii="Times New Roman;Times;Serif" w:hAnsi="Times New Roman;Times;Serif"/>
          <w:b w:val="false"/>
          <w:i w:val="false"/>
          <w:caps w:val="false"/>
          <w:smallCaps w:val="false"/>
          <w:sz w:val="20"/>
        </w:rPr>
        <w:t>”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Prohibited Person</w:t>
      </w:r>
      <w:r>
        <w:rPr>
          <w:rFonts w:ascii="Times New Roman;Times;Serif" w:hAnsi="Times New Roman;Times;Serif"/>
          <w:b w:val="false"/>
          <w:i w:val="false"/>
          <w:caps w:val="false"/>
          <w:smallCaps w:val="false"/>
          <w:sz w:val="20"/>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b w:val="false"/>
          <w:i w:val="false"/>
          <w:caps w:val="false"/>
          <w:smallCaps w:val="false"/>
          <w:sz w:val="20"/>
          <w:u w:val="single"/>
        </w:rPr>
        <w:t>Sanctioned Territories</w:t>
      </w:r>
      <w:r>
        <w:rPr>
          <w:rFonts w:ascii="Times New Roman;Times;Serif" w:hAnsi="Times New Roman;Times;Serif"/>
          <w:b w:val="false"/>
          <w:i w:val="false"/>
          <w:caps w:val="false"/>
          <w:smallCaps w:val="false"/>
          <w:sz w:val="20"/>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b w:val="false"/>
          <w:i w:val="false"/>
          <w:caps w:val="false"/>
          <w:smallCaps w:val="false"/>
          <w:sz w:val="20"/>
          <w:u w:val="single"/>
        </w:rPr>
        <w:t>Ch. V</w:t>
      </w:r>
      <w:r>
        <w:rPr>
          <w:rFonts w:ascii="Times New Roman;Times;Serif" w:hAnsi="Times New Roman;Times;Serif"/>
          <w:b w:val="false"/>
          <w:i w:val="false"/>
          <w:caps w:val="false"/>
          <w:smallCaps w:val="false"/>
          <w:sz w:val="20"/>
        </w:rPr>
        <w:t>),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shall mean the proxy statement or Schedule 14A filing under the Exchange Act relating to the adoption and approval of this Agreement to be sent to the Company’s stockholders in connection with the Company Stockholder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IP</w:t>
      </w:r>
      <w:r>
        <w:rPr>
          <w:rFonts w:ascii="Times New Roman;Times;Serif" w:hAnsi="Times New Roman;Times;Serif"/>
          <w:b w:val="false"/>
          <w:i w:val="false"/>
          <w:caps w:val="false"/>
          <w:smallCaps w:val="false"/>
          <w:sz w:val="20"/>
        </w:rPr>
        <w:t>”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Regulatory Termination Fee</w:t>
      </w:r>
      <w:r>
        <w:rPr>
          <w:rFonts w:ascii="Times New Roman;Times;Serif" w:hAnsi="Times New Roman;Times;Serif"/>
          <w:b w:val="false"/>
          <w:i w:val="false"/>
          <w:caps w:val="false"/>
          <w:smallCaps w:val="false"/>
          <w:sz w:val="20"/>
        </w:rPr>
        <w:t>” shall mean an amount in cash equal to Three Hundred Twenty Million dollars ($320,000,000).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A-13</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Representatives</w:t>
      </w:r>
      <w:r>
        <w:rPr>
          <w:rFonts w:ascii="Times New Roman;Times;Serif" w:hAnsi="Times New Roman;Times;Serif"/>
          <w:b w:val="false"/>
          <w:i w:val="false"/>
          <w:caps w:val="false"/>
          <w:smallCaps w:val="false"/>
          <w:sz w:val="20"/>
        </w:rPr>
        <w:t>” shall mean, with respect to a Person, all of the officers, directors, employees, consultants, legal representatives, agents, advisors, auditors, investment bankers, Affiliates and other representatives of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 Laws</w:t>
      </w:r>
      <w:r>
        <w:rPr>
          <w:rFonts w:ascii="Times New Roman;Times;Serif" w:hAnsi="Times New Roman;Times;Serif"/>
          <w:b w:val="false"/>
          <w:i w:val="false"/>
          <w:caps w:val="false"/>
          <w:smallCaps w:val="false"/>
          <w:sz w:val="20"/>
        </w:rPr>
        <w:t>”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Significant Parent Subsidiary</w:t>
      </w:r>
      <w:r>
        <w:rPr>
          <w:rFonts w:ascii="Times New Roman;Times;Serif" w:hAnsi="Times New Roman;Times;Serif"/>
          <w:b w:val="false"/>
          <w:i w:val="false"/>
          <w:caps w:val="false"/>
          <w:smallCaps w:val="false"/>
          <w:sz w:val="20"/>
        </w:rPr>
        <w:t>“ shall mean those Parent Subsidiaries set forth on Exhibit 21.1 of the Most Recent Parent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shall mean any Entity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A-14</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Technology</w:t>
      </w:r>
      <w:r>
        <w:rPr>
          <w:rFonts w:ascii="Times New Roman;Times;Serif" w:hAnsi="Times New Roman;Times;Serif"/>
          <w:b w:val="false"/>
          <w:i w:val="false"/>
          <w:caps w:val="false"/>
          <w:smallCaps w:val="false"/>
          <w:sz w:val="20"/>
        </w:rPr>
        <w:t>” shall mean tangible embodiments of Intellectual Property Rights, including know-how, trade secrets and other proprietary information contained with, protecting, covering or relating to mask sets, wafers, products, development tools, algorithms, APIs, databases, data 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 day on which shares of Parent Common Stock are traded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Treasury Regulations</w:t>
      </w:r>
      <w:r>
        <w:rPr>
          <w:rFonts w:ascii="Times New Roman;Times;Serif" w:hAnsi="Times New Roman;Times;Serif"/>
          <w:b w:val="false"/>
          <w:i w:val="false"/>
          <w:caps w:val="false"/>
          <w:smallCaps w:val="false"/>
          <w:sz w:val="20"/>
        </w:rPr>
        <w:t>” shall mean the regulations prescribed under the Code (including any temporary regulations, amended or successor provisions with respect to such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00" w:after="200"/>
        <w:ind w:left="0" w:right="0" w:firstLine="7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A-15</w:t>
      </w:r>
      <w:r>
        <w:rPr>
          <w:rFonts w:ascii="Times New Roman;Times;Serif" w:hAnsi="Times New Roman;Times;Serif"/>
          <w:b w:val="false"/>
          <w:i w:val="false"/>
          <w:caps w:val="false"/>
          <w:smallCaps w:val="false"/>
          <w:sz w:val="20"/>
        </w:rPr>
        <w:t> </w:t>
      </w:r>
    </w:p>
    <w:p>
      <w:pPr>
        <w:pStyle w:val="HorizontalLine"/>
        <w:pBdr>
          <w:bottom w:val="single" w:sz="12" w:space="0" w:color="808080"/>
        </w:pBdr>
        <w:bidi w:val="0"/>
        <w:spacing w:before="200" w:after="200"/>
        <w:jc w:val="left"/>
        <w:rPr/>
      </w:pPr>
      <w:r>
        <w:rPr/>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DEFINED TERMS INDEX</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110230" cy="9972040"/>
                <wp:effectExtent l="0" t="0" r="0" b="0"/>
                <wp:wrapSquare wrapText="right"/>
                <wp:docPr id="1"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Alternative Financing</w:t>
                            </w:r>
                          </w:p>
                        </w:tc>
                        <w:tc>
                          <w:tcPr>
                            <w:tcW w:w="275" w:type="dxa"/>
                            <w:tcBorders/>
                            <w:vAlign w:val="center"/>
                          </w:tcPr>
                          <w:p>
                            <w:pPr>
                              <w:pStyle w:val="TableContents"/>
                              <w:bidi w:val="0"/>
                              <w:spacing w:before="0" w:after="283"/>
                              <w:ind w:left="0" w:right="0" w:hanging="240"/>
                              <w:jc w:val="right"/>
                              <w:rPr/>
                            </w:pPr>
                            <w:r>
                              <w:rPr/>
                              <w:t>76</w:t>
                            </w:r>
                          </w:p>
                        </w:tc>
                      </w:tr>
                      <w:tr>
                        <w:trPr/>
                        <w:tc>
                          <w:tcPr>
                            <w:tcW w:w="3725" w:type="dxa"/>
                            <w:tcBorders/>
                            <w:vAlign w:val="center"/>
                          </w:tcPr>
                          <w:p>
                            <w:pPr>
                              <w:pStyle w:val="TableContents"/>
                              <w:bidi w:val="0"/>
                              <w:spacing w:before="0" w:after="283"/>
                              <w:jc w:val="left"/>
                              <w:rPr/>
                            </w:pPr>
                            <w:r>
                              <w:rPr/>
                              <w:t>Cancelled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Capped Call Dealers</w:t>
                            </w:r>
                          </w:p>
                        </w:tc>
                        <w:tc>
                          <w:tcPr>
                            <w:tcW w:w="275" w:type="dxa"/>
                            <w:tcBorders/>
                            <w:vAlign w:val="center"/>
                          </w:tcPr>
                          <w:p>
                            <w:pPr>
                              <w:pStyle w:val="TableContents"/>
                              <w:bidi w:val="0"/>
                              <w:spacing w:before="0" w:after="283"/>
                              <w:ind w:left="0" w:right="0" w:hanging="240"/>
                              <w:jc w:val="right"/>
                              <w:rPr/>
                            </w:pPr>
                            <w:r>
                              <w:rPr/>
                              <w:t>68</w:t>
                            </w:r>
                          </w:p>
                        </w:tc>
                      </w:tr>
                      <w:tr>
                        <w:trPr/>
                        <w:tc>
                          <w:tcPr>
                            <w:tcW w:w="3725" w:type="dxa"/>
                            <w:tcBorders/>
                            <w:vAlign w:val="center"/>
                          </w:tcPr>
                          <w:p>
                            <w:pPr>
                              <w:pStyle w:val="TableContents"/>
                              <w:bidi w:val="0"/>
                              <w:spacing w:before="0" w:after="283"/>
                              <w:jc w:val="left"/>
                              <w:rPr/>
                            </w:pPr>
                            <w:r>
                              <w:rPr/>
                              <w:t>Certificate of Merger</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Closing Date</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Committed Financing</w:t>
                            </w:r>
                          </w:p>
                        </w:tc>
                        <w:tc>
                          <w:tcPr>
                            <w:tcW w:w="275" w:type="dxa"/>
                            <w:tcBorders/>
                            <w:vAlign w:val="center"/>
                          </w:tcPr>
                          <w:p>
                            <w:pPr>
                              <w:pStyle w:val="TableContents"/>
                              <w:bidi w:val="0"/>
                              <w:spacing w:before="0" w:after="283"/>
                              <w:ind w:left="0" w:right="0" w:hanging="240"/>
                              <w:jc w:val="right"/>
                              <w:rPr/>
                            </w:pPr>
                            <w:r>
                              <w:rPr/>
                              <w:t>40</w:t>
                            </w:r>
                          </w:p>
                        </w:tc>
                      </w:tr>
                      <w:tr>
                        <w:trPr/>
                        <w:tc>
                          <w:tcPr>
                            <w:tcW w:w="3725" w:type="dxa"/>
                            <w:tcBorders/>
                            <w:vAlign w:val="center"/>
                          </w:tcPr>
                          <w:p>
                            <w:pPr>
                              <w:pStyle w:val="TableContents"/>
                              <w:bidi w:val="0"/>
                              <w:spacing w:before="0" w:after="283"/>
                              <w:jc w:val="left"/>
                              <w:rPr/>
                            </w:pPr>
                            <w:r>
                              <w:rPr/>
                              <w:t>Company</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Company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Company Accelerated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MSU Payment</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Accelerated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PSU Payment</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Accelerated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Accelerated RSU Payment</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Board Recommendation</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Company Book-Entry Shares</w:t>
                            </w:r>
                          </w:p>
                        </w:tc>
                        <w:tc>
                          <w:tcPr>
                            <w:tcW w:w="275" w:type="dxa"/>
                            <w:tcBorders/>
                            <w:vAlign w:val="center"/>
                          </w:tcPr>
                          <w:p>
                            <w:pPr>
                              <w:pStyle w:val="TableContents"/>
                              <w:bidi w:val="0"/>
                              <w:spacing w:before="0" w:after="283"/>
                              <w:ind w:left="0" w:right="0" w:hanging="240"/>
                              <w:jc w:val="right"/>
                              <w:rPr/>
                            </w:pPr>
                            <w:r>
                              <w:rPr/>
                              <w:t>3</w:t>
                            </w:r>
                          </w:p>
                        </w:tc>
                      </w:tr>
                      <w:tr>
                        <w:trPr/>
                        <w:tc>
                          <w:tcPr>
                            <w:tcW w:w="3725" w:type="dxa"/>
                            <w:tcBorders/>
                            <w:vAlign w:val="center"/>
                          </w:tcPr>
                          <w:p>
                            <w:pPr>
                              <w:pStyle w:val="TableContents"/>
                              <w:bidi w:val="0"/>
                              <w:spacing w:before="0" w:after="283"/>
                              <w:jc w:val="left"/>
                              <w:rPr/>
                            </w:pPr>
                            <w:r>
                              <w:rPr/>
                              <w:t>Company CapEx Budget</w:t>
                            </w:r>
                          </w:p>
                        </w:tc>
                        <w:tc>
                          <w:tcPr>
                            <w:tcW w:w="275" w:type="dxa"/>
                            <w:tcBorders/>
                            <w:vAlign w:val="center"/>
                          </w:tcPr>
                          <w:p>
                            <w:pPr>
                              <w:pStyle w:val="TableContents"/>
                              <w:bidi w:val="0"/>
                              <w:spacing w:before="0" w:after="283"/>
                              <w:ind w:left="0" w:right="0" w:hanging="240"/>
                              <w:jc w:val="right"/>
                              <w:rPr/>
                            </w:pPr>
                            <w:r>
                              <w:rPr/>
                              <w:t>48</w:t>
                            </w:r>
                          </w:p>
                        </w:tc>
                      </w:tr>
                      <w:tr>
                        <w:trPr/>
                        <w:tc>
                          <w:tcPr>
                            <w:tcW w:w="3725" w:type="dxa"/>
                            <w:tcBorders/>
                            <w:vAlign w:val="center"/>
                          </w:tcPr>
                          <w:p>
                            <w:pPr>
                              <w:pStyle w:val="TableContents"/>
                              <w:bidi w:val="0"/>
                              <w:spacing w:before="0" w:after="283"/>
                              <w:jc w:val="left"/>
                              <w:rPr/>
                            </w:pPr>
                            <w:r>
                              <w:rPr/>
                              <w:t>Company Capitalization Date</w:t>
                            </w:r>
                          </w:p>
                        </w:tc>
                        <w:tc>
                          <w:tcPr>
                            <w:tcW w:w="275" w:type="dxa"/>
                            <w:tcBorders/>
                            <w:vAlign w:val="center"/>
                          </w:tcPr>
                          <w:p>
                            <w:pPr>
                              <w:pStyle w:val="TableContents"/>
                              <w:bidi w:val="0"/>
                              <w:spacing w:before="0" w:after="283"/>
                              <w:ind w:left="0" w:right="0" w:hanging="240"/>
                              <w:jc w:val="right"/>
                              <w:rPr/>
                            </w:pPr>
                            <w:r>
                              <w:rPr/>
                              <w:t>12</w:t>
                            </w:r>
                          </w:p>
                        </w:tc>
                      </w:tr>
                      <w:tr>
                        <w:trPr/>
                        <w:tc>
                          <w:tcPr>
                            <w:tcW w:w="3725" w:type="dxa"/>
                            <w:tcBorders/>
                            <w:vAlign w:val="center"/>
                          </w:tcPr>
                          <w:p>
                            <w:pPr>
                              <w:pStyle w:val="TableContents"/>
                              <w:bidi w:val="0"/>
                              <w:spacing w:before="0" w:after="283"/>
                              <w:jc w:val="left"/>
                              <w:rPr/>
                            </w:pPr>
                            <w:r>
                              <w:rPr/>
                              <w:t>Company Change in Recommendation</w:t>
                            </w:r>
                          </w:p>
                        </w:tc>
                        <w:tc>
                          <w:tcPr>
                            <w:tcW w:w="275" w:type="dxa"/>
                            <w:tcBorders/>
                            <w:vAlign w:val="center"/>
                          </w:tcPr>
                          <w:p>
                            <w:pPr>
                              <w:pStyle w:val="TableContents"/>
                              <w:bidi w:val="0"/>
                              <w:spacing w:before="0" w:after="283"/>
                              <w:ind w:left="0" w:right="0" w:hanging="240"/>
                              <w:jc w:val="right"/>
                              <w:rPr/>
                            </w:pPr>
                            <w:r>
                              <w:rPr/>
                              <w:t>54</w:t>
                            </w:r>
                          </w:p>
                        </w:tc>
                      </w:tr>
                      <w:tr>
                        <w:trPr/>
                        <w:tc>
                          <w:tcPr>
                            <w:tcW w:w="3725" w:type="dxa"/>
                            <w:tcBorders/>
                            <w:vAlign w:val="center"/>
                          </w:tcPr>
                          <w:p>
                            <w:pPr>
                              <w:pStyle w:val="TableContents"/>
                              <w:bidi w:val="0"/>
                              <w:spacing w:before="0" w:after="283"/>
                              <w:jc w:val="left"/>
                              <w:rPr/>
                            </w:pPr>
                            <w:r>
                              <w:rPr/>
                              <w:t>Company Converted MSU</w:t>
                            </w:r>
                          </w:p>
                        </w:tc>
                        <w:tc>
                          <w:tcPr>
                            <w:tcW w:w="275" w:type="dxa"/>
                            <w:tcBorders/>
                            <w:vAlign w:val="center"/>
                          </w:tcPr>
                          <w:p>
                            <w:pPr>
                              <w:pStyle w:val="TableContents"/>
                              <w:bidi w:val="0"/>
                              <w:spacing w:before="0" w:after="283"/>
                              <w:ind w:left="0" w:right="0" w:hanging="240"/>
                              <w:jc w:val="right"/>
                              <w:rPr/>
                            </w:pPr>
                            <w:r>
                              <w:rPr/>
                              <w:t>6</w:t>
                            </w:r>
                          </w:p>
                        </w:tc>
                      </w:tr>
                      <w:tr>
                        <w:trPr/>
                        <w:tc>
                          <w:tcPr>
                            <w:tcW w:w="3725" w:type="dxa"/>
                            <w:tcBorders/>
                            <w:vAlign w:val="center"/>
                          </w:tcPr>
                          <w:p>
                            <w:pPr>
                              <w:pStyle w:val="TableContents"/>
                              <w:bidi w:val="0"/>
                              <w:spacing w:before="0" w:after="283"/>
                              <w:jc w:val="left"/>
                              <w:rPr/>
                            </w:pPr>
                            <w:r>
                              <w:rPr/>
                              <w:t>Company Converted PSU</w:t>
                            </w:r>
                          </w:p>
                        </w:tc>
                        <w:tc>
                          <w:tcPr>
                            <w:tcW w:w="275" w:type="dxa"/>
                            <w:tcBorders/>
                            <w:vAlign w:val="center"/>
                          </w:tcPr>
                          <w:p>
                            <w:pPr>
                              <w:pStyle w:val="TableContents"/>
                              <w:bidi w:val="0"/>
                              <w:spacing w:before="0" w:after="283"/>
                              <w:ind w:left="0" w:right="0" w:hanging="240"/>
                              <w:jc w:val="right"/>
                              <w:rPr/>
                            </w:pPr>
                            <w:r>
                              <w:rPr/>
                              <w:t>5</w:t>
                            </w:r>
                          </w:p>
                        </w:tc>
                      </w:tr>
                      <w:tr>
                        <w:trPr/>
                        <w:tc>
                          <w:tcPr>
                            <w:tcW w:w="3725" w:type="dxa"/>
                            <w:tcBorders/>
                            <w:vAlign w:val="center"/>
                          </w:tcPr>
                          <w:p>
                            <w:pPr>
                              <w:pStyle w:val="TableContents"/>
                              <w:bidi w:val="0"/>
                              <w:spacing w:before="0" w:after="283"/>
                              <w:jc w:val="left"/>
                              <w:rPr/>
                            </w:pPr>
                            <w:r>
                              <w:rPr/>
                              <w:t>Company Converted RSU</w:t>
                            </w:r>
                          </w:p>
                        </w:tc>
                        <w:tc>
                          <w:tcPr>
                            <w:tcW w:w="275" w:type="dxa"/>
                            <w:tcBorders/>
                            <w:vAlign w:val="center"/>
                          </w:tcPr>
                          <w:p>
                            <w:pPr>
                              <w:pStyle w:val="TableContents"/>
                              <w:bidi w:val="0"/>
                              <w:spacing w:before="0" w:after="283"/>
                              <w:ind w:left="0" w:right="0" w:hanging="240"/>
                              <w:jc w:val="right"/>
                              <w:rPr/>
                            </w:pPr>
                            <w:r>
                              <w:rPr/>
                              <w:t>4</w:t>
                            </w:r>
                          </w:p>
                        </w:tc>
                      </w:tr>
                      <w:tr>
                        <w:trPr/>
                        <w:tc>
                          <w:tcPr>
                            <w:tcW w:w="3725" w:type="dxa"/>
                            <w:tcBorders/>
                            <w:vAlign w:val="center"/>
                          </w:tcPr>
                          <w:p>
                            <w:pPr>
                              <w:pStyle w:val="TableContents"/>
                              <w:bidi w:val="0"/>
                              <w:spacing w:before="0" w:after="283"/>
                              <w:jc w:val="left"/>
                              <w:rPr/>
                            </w:pPr>
                            <w:r>
                              <w:rPr/>
                              <w:t>Company Disclosure Schedule</w:t>
                            </w:r>
                          </w:p>
                        </w:tc>
                        <w:tc>
                          <w:tcPr>
                            <w:tcW w:w="275" w:type="dxa"/>
                            <w:tcBorders/>
                            <w:vAlign w:val="center"/>
                          </w:tcPr>
                          <w:p>
                            <w:pPr>
                              <w:pStyle w:val="TableContents"/>
                              <w:bidi w:val="0"/>
                              <w:spacing w:before="0" w:after="283"/>
                              <w:jc w:val="right"/>
                              <w:rPr/>
                            </w:pPr>
                            <w:r>
                              <w:rPr/>
                              <w:t>11</w:t>
                            </w:r>
                          </w:p>
                        </w:tc>
                      </w:tr>
                    </w:tbl>
                    <w:tbl>
                      <w:tblPr>
                        <w:tblW w:w="4660" w:type="dxa"/>
                        <w:jc w:val="left"/>
                        <w:tblInd w:w="0" w:type="dxa"/>
                        <w:tblLayout w:type="fixed"/>
                        <w:tblCellMar>
                          <w:top w:w="0" w:type="dxa"/>
                          <w:left w:w="0" w:type="dxa"/>
                          <w:bottom w:w="0" w:type="dxa"/>
                          <w:right w:w="0" w:type="dxa"/>
                        </w:tblCellMar>
                      </w:tblPr>
                      <w:tblGrid>
                        <w:gridCol w:w="4385"/>
                        <w:gridCol w:w="275"/>
                      </w:tblGrid>
                      <w:tr>
                        <w:trPr/>
                        <w:tc>
                          <w:tcPr>
                            <w:tcW w:w="4385" w:type="dxa"/>
                            <w:tcBorders/>
                            <w:vAlign w:val="center"/>
                          </w:tcPr>
                          <w:p>
                            <w:pPr>
                              <w:pStyle w:val="TableContents"/>
                              <w:bidi w:val="0"/>
                              <w:spacing w:before="0" w:after="283"/>
                              <w:ind w:left="0" w:right="0" w:hanging="240"/>
                              <w:jc w:val="left"/>
                              <w:rPr/>
                            </w:pPr>
                            <w:r>
                              <w:rPr/>
                              <w:t>DTC</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Effective Time</w:t>
                            </w:r>
                          </w:p>
                        </w:tc>
                        <w:tc>
                          <w:tcPr>
                            <w:tcW w:w="275" w:type="dxa"/>
                            <w:tcBorders/>
                            <w:vAlign w:val="center"/>
                          </w:tcPr>
                          <w:p>
                            <w:pPr>
                              <w:pStyle w:val="TableContents"/>
                              <w:bidi w:val="0"/>
                              <w:spacing w:before="0" w:after="283"/>
                              <w:ind w:left="0" w:right="0" w:hanging="240"/>
                              <w:jc w:val="right"/>
                              <w:rPr/>
                            </w:pPr>
                            <w:r>
                              <w:rPr/>
                              <w:t>2</w:t>
                            </w:r>
                          </w:p>
                        </w:tc>
                      </w:tr>
                      <w:tr>
                        <w:trPr/>
                        <w:tc>
                          <w:tcPr>
                            <w:tcW w:w="4385" w:type="dxa"/>
                            <w:tcBorders/>
                            <w:vAlign w:val="center"/>
                          </w:tcPr>
                          <w:p>
                            <w:pPr>
                              <w:pStyle w:val="TableContents"/>
                              <w:bidi w:val="0"/>
                              <w:spacing w:before="0" w:after="283"/>
                              <w:jc w:val="left"/>
                              <w:rPr/>
                            </w:pPr>
                            <w:r>
                              <w:rPr/>
                              <w:t>End Date</w:t>
                            </w:r>
                          </w:p>
                        </w:tc>
                        <w:tc>
                          <w:tcPr>
                            <w:tcW w:w="275" w:type="dxa"/>
                            <w:tcBorders/>
                            <w:vAlign w:val="center"/>
                          </w:tcPr>
                          <w:p>
                            <w:pPr>
                              <w:pStyle w:val="TableContents"/>
                              <w:bidi w:val="0"/>
                              <w:spacing w:before="0" w:after="283"/>
                              <w:ind w:left="0" w:right="0" w:hanging="240"/>
                              <w:jc w:val="right"/>
                              <w:rPr/>
                            </w:pPr>
                            <w:r>
                              <w:rPr/>
                              <w:t>80</w:t>
                            </w:r>
                          </w:p>
                        </w:tc>
                      </w:tr>
                      <w:tr>
                        <w:trPr/>
                        <w:tc>
                          <w:tcPr>
                            <w:tcW w:w="4385" w:type="dxa"/>
                            <w:tcBorders/>
                            <w:vAlign w:val="center"/>
                          </w:tcPr>
                          <w:p>
                            <w:pPr>
                              <w:pStyle w:val="TableContents"/>
                              <w:bidi w:val="0"/>
                              <w:spacing w:before="0" w:after="283"/>
                              <w:jc w:val="left"/>
                              <w:rPr/>
                            </w:pPr>
                            <w:r>
                              <w:rPr/>
                              <w:t>Exchange Agent</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Exchange Fund</w:t>
                            </w:r>
                          </w:p>
                        </w:tc>
                        <w:tc>
                          <w:tcPr>
                            <w:tcW w:w="275" w:type="dxa"/>
                            <w:tcBorders/>
                            <w:vAlign w:val="center"/>
                          </w:tcPr>
                          <w:p>
                            <w:pPr>
                              <w:pStyle w:val="TableContents"/>
                              <w:bidi w:val="0"/>
                              <w:spacing w:before="0" w:after="283"/>
                              <w:ind w:left="0" w:right="0" w:hanging="240"/>
                              <w:jc w:val="right"/>
                              <w:rPr/>
                            </w:pPr>
                            <w:r>
                              <w:rPr/>
                              <w:t>7</w:t>
                            </w:r>
                          </w:p>
                        </w:tc>
                      </w:tr>
                      <w:tr>
                        <w:trPr/>
                        <w:tc>
                          <w:tcPr>
                            <w:tcW w:w="4385" w:type="dxa"/>
                            <w:tcBorders/>
                            <w:vAlign w:val="center"/>
                          </w:tcPr>
                          <w:p>
                            <w:pPr>
                              <w:pStyle w:val="TableContents"/>
                              <w:bidi w:val="0"/>
                              <w:spacing w:before="0" w:after="283"/>
                              <w:jc w:val="left"/>
                              <w:rPr/>
                            </w:pPr>
                            <w:r>
                              <w:rPr/>
                              <w:t>Final Exercise Date</w:t>
                            </w:r>
                          </w:p>
                        </w:tc>
                        <w:tc>
                          <w:tcPr>
                            <w:tcW w:w="275" w:type="dxa"/>
                            <w:tcBorders/>
                            <w:vAlign w:val="center"/>
                          </w:tcPr>
                          <w:p>
                            <w:pPr>
                              <w:pStyle w:val="TableContents"/>
                              <w:bidi w:val="0"/>
                              <w:spacing w:before="0" w:after="283"/>
                              <w:ind w:left="0" w:right="0" w:hanging="240"/>
                              <w:jc w:val="right"/>
                              <w:rPr/>
                            </w:pPr>
                            <w:r>
                              <w:rPr/>
                              <w:t>61</w:t>
                            </w:r>
                          </w:p>
                        </w:tc>
                      </w:tr>
                      <w:tr>
                        <w:trPr/>
                        <w:tc>
                          <w:tcPr>
                            <w:tcW w:w="4385" w:type="dxa"/>
                            <w:tcBorders/>
                            <w:vAlign w:val="center"/>
                          </w:tcPr>
                          <w:p>
                            <w:pPr>
                              <w:pStyle w:val="TableContents"/>
                              <w:bidi w:val="0"/>
                              <w:spacing w:before="0" w:after="283"/>
                              <w:jc w:val="left"/>
                              <w:rPr/>
                            </w:pPr>
                            <w:r>
                              <w:rPr/>
                              <w:t>Financing Indemnity</w:t>
                            </w:r>
                          </w:p>
                        </w:tc>
                        <w:tc>
                          <w:tcPr>
                            <w:tcW w:w="275" w:type="dxa"/>
                            <w:tcBorders/>
                            <w:vAlign w:val="center"/>
                          </w:tcPr>
                          <w:p>
                            <w:pPr>
                              <w:pStyle w:val="TableContents"/>
                              <w:bidi w:val="0"/>
                              <w:spacing w:before="0" w:after="283"/>
                              <w:ind w:left="0" w:right="0" w:hanging="240"/>
                              <w:jc w:val="right"/>
                              <w:rPr/>
                            </w:pPr>
                            <w:r>
                              <w:rPr/>
                              <w:t>74</w:t>
                            </w:r>
                          </w:p>
                        </w:tc>
                      </w:tr>
                      <w:tr>
                        <w:trPr/>
                        <w:tc>
                          <w:tcPr>
                            <w:tcW w:w="4385" w:type="dxa"/>
                            <w:tcBorders/>
                            <w:vAlign w:val="center"/>
                          </w:tcPr>
                          <w:p>
                            <w:pPr>
                              <w:pStyle w:val="TableContents"/>
                              <w:bidi w:val="0"/>
                              <w:spacing w:before="0" w:after="283"/>
                              <w:jc w:val="left"/>
                              <w:rPr/>
                            </w:pPr>
                            <w:r>
                              <w:rPr/>
                              <w:t>Financing Related Proceeding</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Harmful Code</w:t>
                            </w:r>
                          </w:p>
                        </w:tc>
                        <w:tc>
                          <w:tcPr>
                            <w:tcW w:w="275" w:type="dxa"/>
                            <w:tcBorders/>
                            <w:vAlign w:val="center"/>
                          </w:tcPr>
                          <w:p>
                            <w:pPr>
                              <w:pStyle w:val="TableContents"/>
                              <w:bidi w:val="0"/>
                              <w:spacing w:before="0" w:after="283"/>
                              <w:ind w:left="0" w:right="0" w:hanging="240"/>
                              <w:jc w:val="right"/>
                              <w:rPr/>
                            </w:pPr>
                            <w:r>
                              <w:rPr/>
                              <w:t>20</w:t>
                            </w:r>
                          </w:p>
                        </w:tc>
                      </w:tr>
                      <w:tr>
                        <w:trPr/>
                        <w:tc>
                          <w:tcPr>
                            <w:tcW w:w="4385" w:type="dxa"/>
                            <w:tcBorders/>
                            <w:vAlign w:val="center"/>
                          </w:tcPr>
                          <w:p>
                            <w:pPr>
                              <w:pStyle w:val="TableContents"/>
                              <w:bidi w:val="0"/>
                              <w:spacing w:before="0" w:after="283"/>
                              <w:jc w:val="left"/>
                              <w:rPr/>
                            </w:pPr>
                            <w:r>
                              <w:rPr/>
                              <w:t>Indemnified Parties</w:t>
                            </w:r>
                          </w:p>
                        </w:tc>
                        <w:tc>
                          <w:tcPr>
                            <w:tcW w:w="275" w:type="dxa"/>
                            <w:tcBorders/>
                            <w:vAlign w:val="center"/>
                          </w:tcPr>
                          <w:p>
                            <w:pPr>
                              <w:pStyle w:val="TableContents"/>
                              <w:bidi w:val="0"/>
                              <w:spacing w:before="0" w:after="283"/>
                              <w:ind w:left="0" w:right="0" w:hanging="240"/>
                              <w:jc w:val="right"/>
                              <w:rPr/>
                            </w:pPr>
                            <w:r>
                              <w:rPr/>
                              <w:t>64</w:t>
                            </w:r>
                          </w:p>
                        </w:tc>
                      </w:tr>
                      <w:tr>
                        <w:trPr/>
                        <w:tc>
                          <w:tcPr>
                            <w:tcW w:w="4385" w:type="dxa"/>
                            <w:tcBorders/>
                            <w:vAlign w:val="center"/>
                          </w:tcPr>
                          <w:p>
                            <w:pPr>
                              <w:pStyle w:val="TableContents"/>
                              <w:bidi w:val="0"/>
                              <w:spacing w:before="0" w:after="283"/>
                              <w:jc w:val="left"/>
                              <w:rPr/>
                            </w:pPr>
                            <w:r>
                              <w:rPr/>
                              <w:t>intentional and material breach</w:t>
                            </w:r>
                          </w:p>
                        </w:tc>
                        <w:tc>
                          <w:tcPr>
                            <w:tcW w:w="275" w:type="dxa"/>
                            <w:tcBorders/>
                            <w:vAlign w:val="center"/>
                          </w:tcPr>
                          <w:p>
                            <w:pPr>
                              <w:pStyle w:val="TableContents"/>
                              <w:bidi w:val="0"/>
                              <w:spacing w:before="0" w:after="283"/>
                              <w:ind w:left="0" w:right="0" w:hanging="240"/>
                              <w:jc w:val="right"/>
                              <w:rPr/>
                            </w:pPr>
                            <w:r>
                              <w:rPr/>
                              <w:t>82</w:t>
                            </w:r>
                          </w:p>
                        </w:tc>
                      </w:tr>
                      <w:tr>
                        <w:trPr/>
                        <w:tc>
                          <w:tcPr>
                            <w:tcW w:w="4385" w:type="dxa"/>
                            <w:tcBorders/>
                            <w:vAlign w:val="center"/>
                          </w:tcPr>
                          <w:p>
                            <w:pPr>
                              <w:pStyle w:val="TableContents"/>
                              <w:bidi w:val="0"/>
                              <w:spacing w:before="0" w:after="283"/>
                              <w:jc w:val="left"/>
                              <w:rPr/>
                            </w:pPr>
                            <w:r>
                              <w:rPr/>
                              <w:t>Letter of Transmittal</w:t>
                            </w:r>
                          </w:p>
                        </w:tc>
                        <w:tc>
                          <w:tcPr>
                            <w:tcW w:w="275" w:type="dxa"/>
                            <w:tcBorders/>
                            <w:vAlign w:val="center"/>
                          </w:tcPr>
                          <w:p>
                            <w:pPr>
                              <w:pStyle w:val="TableContents"/>
                              <w:bidi w:val="0"/>
                              <w:spacing w:before="0" w:after="283"/>
                              <w:ind w:left="0" w:right="0" w:hanging="240"/>
                              <w:jc w:val="right"/>
                              <w:rPr/>
                            </w:pPr>
                            <w:r>
                              <w:rPr/>
                              <w:t>8</w:t>
                            </w:r>
                          </w:p>
                        </w:tc>
                      </w:tr>
                      <w:tr>
                        <w:trPr/>
                        <w:tc>
                          <w:tcPr>
                            <w:tcW w:w="4385" w:type="dxa"/>
                            <w:tcBorders/>
                            <w:vAlign w:val="center"/>
                          </w:tcPr>
                          <w:p>
                            <w:pPr>
                              <w:pStyle w:val="TableContents"/>
                              <w:bidi w:val="0"/>
                              <w:spacing w:before="0" w:after="283"/>
                              <w:jc w:val="left"/>
                              <w:rPr/>
                            </w:pPr>
                            <w:r>
                              <w:rPr/>
                              <w:t>Maximum Amount</w:t>
                            </w:r>
                          </w:p>
                        </w:tc>
                        <w:tc>
                          <w:tcPr>
                            <w:tcW w:w="275" w:type="dxa"/>
                            <w:tcBorders/>
                            <w:vAlign w:val="center"/>
                          </w:tcPr>
                          <w:p>
                            <w:pPr>
                              <w:pStyle w:val="TableContents"/>
                              <w:bidi w:val="0"/>
                              <w:spacing w:before="0" w:after="283"/>
                              <w:ind w:left="0" w:right="0" w:hanging="240"/>
                              <w:jc w:val="right"/>
                              <w:rPr/>
                            </w:pPr>
                            <w:r>
                              <w:rPr/>
                              <w:t>65</w:t>
                            </w:r>
                          </w:p>
                        </w:tc>
                      </w:tr>
                      <w:tr>
                        <w:trPr/>
                        <w:tc>
                          <w:tcPr>
                            <w:tcW w:w="4385" w:type="dxa"/>
                            <w:tcBorders/>
                            <w:vAlign w:val="center"/>
                          </w:tcPr>
                          <w:p>
                            <w:pPr>
                              <w:pStyle w:val="TableContents"/>
                              <w:bidi w:val="0"/>
                              <w:spacing w:before="0" w:after="283"/>
                              <w:jc w:val="left"/>
                              <w:rPr/>
                            </w:pPr>
                            <w:r>
                              <w:rPr/>
                              <w:t>Merger</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Merger Agreement Representations</w:t>
                            </w:r>
                          </w:p>
                        </w:tc>
                        <w:tc>
                          <w:tcPr>
                            <w:tcW w:w="275" w:type="dxa"/>
                            <w:tcBorders/>
                            <w:vAlign w:val="center"/>
                          </w:tcPr>
                          <w:p>
                            <w:pPr>
                              <w:pStyle w:val="TableContents"/>
                              <w:bidi w:val="0"/>
                              <w:spacing w:before="0" w:after="283"/>
                              <w:ind w:left="0" w:right="0" w:hanging="240"/>
                              <w:jc w:val="right"/>
                              <w:rPr/>
                            </w:pPr>
                            <w:r>
                              <w:rPr/>
                              <w:t>91</w:t>
                            </w:r>
                          </w:p>
                        </w:tc>
                      </w:tr>
                      <w:tr>
                        <w:trPr/>
                        <w:tc>
                          <w:tcPr>
                            <w:tcW w:w="4385" w:type="dxa"/>
                            <w:tcBorders/>
                            <w:vAlign w:val="center"/>
                          </w:tcPr>
                          <w:p>
                            <w:pPr>
                              <w:pStyle w:val="TableContents"/>
                              <w:bidi w:val="0"/>
                              <w:spacing w:before="0" w:after="283"/>
                              <w:jc w:val="left"/>
                              <w:rPr/>
                            </w:pPr>
                            <w:r>
                              <w:rPr/>
                              <w:t>Merger Consideration</w:t>
                            </w:r>
                          </w:p>
                        </w:tc>
                        <w:tc>
                          <w:tcPr>
                            <w:tcW w:w="275" w:type="dxa"/>
                            <w:tcBorders/>
                            <w:vAlign w:val="center"/>
                          </w:tcPr>
                          <w:p>
                            <w:pPr>
                              <w:pStyle w:val="TableContents"/>
                              <w:bidi w:val="0"/>
                              <w:spacing w:before="0" w:after="283"/>
                              <w:ind w:left="0" w:right="0" w:hanging="240"/>
                              <w:jc w:val="right"/>
                              <w:rPr/>
                            </w:pPr>
                            <w:r>
                              <w:rPr/>
                              <w:t>3</w:t>
                            </w:r>
                          </w:p>
                        </w:tc>
                      </w:tr>
                      <w:tr>
                        <w:trPr/>
                        <w:tc>
                          <w:tcPr>
                            <w:tcW w:w="4385" w:type="dxa"/>
                            <w:tcBorders/>
                            <w:vAlign w:val="center"/>
                          </w:tcPr>
                          <w:p>
                            <w:pPr>
                              <w:pStyle w:val="TableContents"/>
                              <w:bidi w:val="0"/>
                              <w:spacing w:before="0" w:after="283"/>
                              <w:jc w:val="left"/>
                              <w:rPr/>
                            </w:pPr>
                            <w:r>
                              <w:rPr/>
                              <w:t>Merger Sub</w:t>
                            </w:r>
                          </w:p>
                        </w:tc>
                        <w:tc>
                          <w:tcPr>
                            <w:tcW w:w="275" w:type="dxa"/>
                            <w:tcBorders/>
                            <w:vAlign w:val="center"/>
                          </w:tcPr>
                          <w:p>
                            <w:pPr>
                              <w:pStyle w:val="TableContents"/>
                              <w:bidi w:val="0"/>
                              <w:spacing w:before="0" w:after="283"/>
                              <w:ind w:left="0" w:right="0" w:hanging="240"/>
                              <w:jc w:val="right"/>
                              <w:rPr/>
                            </w:pPr>
                            <w:r>
                              <w:rPr/>
                              <w:t>1</w:t>
                            </w:r>
                          </w:p>
                        </w:tc>
                      </w:tr>
                      <w:tr>
                        <w:trPr/>
                        <w:tc>
                          <w:tcPr>
                            <w:tcW w:w="4385" w:type="dxa"/>
                            <w:tcBorders/>
                            <w:vAlign w:val="center"/>
                          </w:tcPr>
                          <w:p>
                            <w:pPr>
                              <w:pStyle w:val="TableContents"/>
                              <w:bidi w:val="0"/>
                              <w:spacing w:before="0" w:after="283"/>
                              <w:jc w:val="left"/>
                              <w:rPr/>
                            </w:pPr>
                            <w:r>
                              <w:rPr/>
                              <w:t>Nasdaq</w:t>
                            </w:r>
                          </w:p>
                        </w:tc>
                        <w:tc>
                          <w:tcPr>
                            <w:tcW w:w="275" w:type="dxa"/>
                            <w:tcBorders/>
                            <w:vAlign w:val="center"/>
                          </w:tcPr>
                          <w:p>
                            <w:pPr>
                              <w:pStyle w:val="TableContents"/>
                              <w:bidi w:val="0"/>
                              <w:spacing w:before="0" w:after="283"/>
                              <w:ind w:left="0" w:right="0" w:hanging="240"/>
                              <w:jc w:val="right"/>
                              <w:rPr/>
                            </w:pPr>
                            <w:r>
                              <w:rPr/>
                              <w:t>17</w:t>
                            </w:r>
                          </w:p>
                        </w:tc>
                      </w:tr>
                      <w:tr>
                        <w:trPr/>
                        <w:tc>
                          <w:tcPr>
                            <w:tcW w:w="4385" w:type="dxa"/>
                            <w:tcBorders/>
                            <w:vAlign w:val="center"/>
                          </w:tcPr>
                          <w:p>
                            <w:pPr>
                              <w:pStyle w:val="TableContents"/>
                              <w:bidi w:val="0"/>
                              <w:spacing w:before="0" w:after="283"/>
                              <w:jc w:val="left"/>
                              <w:rPr/>
                            </w:pPr>
                            <w:r>
                              <w:rPr/>
                              <w:t>Non-Budgeted Company Capital Expenditure</w:t>
                            </w:r>
                          </w:p>
                        </w:tc>
                        <w:tc>
                          <w:tcPr>
                            <w:tcW w:w="275" w:type="dxa"/>
                            <w:tcBorders/>
                            <w:vAlign w:val="center"/>
                          </w:tcPr>
                          <w:p>
                            <w:pPr>
                              <w:pStyle w:val="TableContents"/>
                              <w:bidi w:val="0"/>
                              <w:spacing w:before="0" w:after="283"/>
                              <w:jc w:val="right"/>
                              <w:rPr/>
                            </w:pPr>
                            <w:r>
                              <w:rPr/>
                              <w:t>48</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
                <wp:simplePos x="0" y="0"/>
                <wp:positionH relativeFrom="column">
                  <wp:align>right</wp:align>
                </wp:positionH>
                <wp:positionV relativeFrom="line">
                  <wp:posOffset>635</wp:posOffset>
                </wp:positionV>
                <wp:extent cx="3110230" cy="9972040"/>
                <wp:effectExtent l="0" t="0" r="0" b="0"/>
                <wp:wrapSquare wrapText="left"/>
                <wp:docPr id="2" name="Frame2"/>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3835" w:type="dxa"/>
                        <w:jc w:val="left"/>
                        <w:tblInd w:w="0" w:type="dxa"/>
                        <w:tblLayout w:type="fixed"/>
                        <w:tblCellMar>
                          <w:top w:w="0" w:type="dxa"/>
                          <w:left w:w="0" w:type="dxa"/>
                          <w:bottom w:w="0" w:type="dxa"/>
                          <w:right w:w="0" w:type="dxa"/>
                        </w:tblCellMar>
                      </w:tblPr>
                      <w:tblGrid>
                        <w:gridCol w:w="3560"/>
                        <w:gridCol w:w="275"/>
                      </w:tblGrid>
                      <w:tr>
                        <w:trPr/>
                        <w:tc>
                          <w:tcPr>
                            <w:tcW w:w="3560" w:type="dxa"/>
                            <w:tcBorders/>
                            <w:vAlign w:val="center"/>
                          </w:tcPr>
                          <w:p>
                            <w:pPr>
                              <w:pStyle w:val="TableContents"/>
                              <w:bidi w:val="0"/>
                              <w:spacing w:before="0" w:after="283"/>
                              <w:ind w:left="0" w:right="0" w:hanging="240"/>
                              <w:jc w:val="left"/>
                              <w:rPr/>
                            </w:pPr>
                            <w:r>
                              <w:rPr/>
                              <w:t>Company ESPP Rights</w:t>
                            </w:r>
                          </w:p>
                        </w:tc>
                        <w:tc>
                          <w:tcPr>
                            <w:tcW w:w="275" w:type="dxa"/>
                            <w:tcBorders/>
                            <w:vAlign w:val="center"/>
                          </w:tcPr>
                          <w:p>
                            <w:pPr>
                              <w:pStyle w:val="TableContents"/>
                              <w:bidi w:val="0"/>
                              <w:spacing w:before="0" w:after="283"/>
                              <w:ind w:left="0" w:right="0" w:hanging="240"/>
                              <w:jc w:val="right"/>
                              <w:rPr/>
                            </w:pPr>
                            <w:r>
                              <w:rPr/>
                              <w:t>61</w:t>
                            </w:r>
                          </w:p>
                        </w:tc>
                      </w:tr>
                      <w:tr>
                        <w:trPr/>
                        <w:tc>
                          <w:tcPr>
                            <w:tcW w:w="3560" w:type="dxa"/>
                            <w:tcBorders/>
                            <w:vAlign w:val="center"/>
                          </w:tcPr>
                          <w:p>
                            <w:pPr>
                              <w:pStyle w:val="TableContents"/>
                              <w:bidi w:val="0"/>
                              <w:spacing w:before="0" w:after="283"/>
                              <w:jc w:val="left"/>
                              <w:rPr/>
                            </w:pPr>
                            <w:r>
                              <w:rPr/>
                              <w:t>Company Financial Advisor</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Financial Advisor Opinion</w:t>
                            </w:r>
                          </w:p>
                        </w:tc>
                        <w:tc>
                          <w:tcPr>
                            <w:tcW w:w="275" w:type="dxa"/>
                            <w:tcBorders/>
                            <w:vAlign w:val="center"/>
                          </w:tcPr>
                          <w:p>
                            <w:pPr>
                              <w:pStyle w:val="TableContents"/>
                              <w:bidi w:val="0"/>
                              <w:spacing w:before="0" w:after="283"/>
                              <w:ind w:left="0" w:right="0" w:hanging="240"/>
                              <w:jc w:val="right"/>
                              <w:rPr/>
                            </w:pPr>
                            <w:r>
                              <w:rPr/>
                              <w:t>36</w:t>
                            </w:r>
                          </w:p>
                        </w:tc>
                      </w:tr>
                      <w:tr>
                        <w:trPr/>
                        <w:tc>
                          <w:tcPr>
                            <w:tcW w:w="3560" w:type="dxa"/>
                            <w:tcBorders/>
                            <w:vAlign w:val="center"/>
                          </w:tcPr>
                          <w:p>
                            <w:pPr>
                              <w:pStyle w:val="TableContents"/>
                              <w:bidi w:val="0"/>
                              <w:spacing w:before="0" w:after="283"/>
                              <w:jc w:val="left"/>
                              <w:rPr/>
                            </w:pPr>
                            <w:r>
                              <w:rPr/>
                              <w:t>Company Foreign Plan</w:t>
                            </w:r>
                          </w:p>
                        </w:tc>
                        <w:tc>
                          <w:tcPr>
                            <w:tcW w:w="275" w:type="dxa"/>
                            <w:tcBorders/>
                            <w:vAlign w:val="center"/>
                          </w:tcPr>
                          <w:p>
                            <w:pPr>
                              <w:pStyle w:val="TableContents"/>
                              <w:bidi w:val="0"/>
                              <w:spacing w:before="0" w:after="283"/>
                              <w:ind w:left="0" w:right="0" w:hanging="240"/>
                              <w:jc w:val="right"/>
                              <w:rPr/>
                            </w:pPr>
                            <w:r>
                              <w:rPr/>
                              <w:t>31</w:t>
                            </w:r>
                          </w:p>
                        </w:tc>
                      </w:tr>
                      <w:tr>
                        <w:trPr/>
                        <w:tc>
                          <w:tcPr>
                            <w:tcW w:w="3560" w:type="dxa"/>
                            <w:tcBorders/>
                            <w:vAlign w:val="center"/>
                          </w:tcPr>
                          <w:p>
                            <w:pPr>
                              <w:pStyle w:val="TableContents"/>
                              <w:bidi w:val="0"/>
                              <w:spacing w:before="0" w:after="283"/>
                              <w:jc w:val="left"/>
                              <w:rPr/>
                            </w:pPr>
                            <w:r>
                              <w:rPr/>
                              <w:t>Company Intervening Event</w:t>
                            </w:r>
                          </w:p>
                        </w:tc>
                        <w:tc>
                          <w:tcPr>
                            <w:tcW w:w="275" w:type="dxa"/>
                            <w:tcBorders/>
                            <w:vAlign w:val="center"/>
                          </w:tcPr>
                          <w:p>
                            <w:pPr>
                              <w:pStyle w:val="TableContents"/>
                              <w:bidi w:val="0"/>
                              <w:spacing w:before="0" w:after="283"/>
                              <w:ind w:left="0" w:right="0" w:hanging="240"/>
                              <w:jc w:val="right"/>
                              <w:rPr/>
                            </w:pPr>
                            <w:r>
                              <w:rPr/>
                              <w:t>56</w:t>
                            </w:r>
                          </w:p>
                        </w:tc>
                      </w:tr>
                      <w:tr>
                        <w:trPr/>
                        <w:tc>
                          <w:tcPr>
                            <w:tcW w:w="3560" w:type="dxa"/>
                            <w:tcBorders/>
                            <w:vAlign w:val="center"/>
                          </w:tcPr>
                          <w:p>
                            <w:pPr>
                              <w:pStyle w:val="TableContents"/>
                              <w:bidi w:val="0"/>
                              <w:spacing w:before="0" w:after="283"/>
                              <w:jc w:val="left"/>
                              <w:rPr/>
                            </w:pPr>
                            <w:r>
                              <w:rPr/>
                              <w:t>Company IT Systems</w:t>
                            </w:r>
                          </w:p>
                        </w:tc>
                        <w:tc>
                          <w:tcPr>
                            <w:tcW w:w="275" w:type="dxa"/>
                            <w:tcBorders/>
                            <w:vAlign w:val="center"/>
                          </w:tcPr>
                          <w:p>
                            <w:pPr>
                              <w:pStyle w:val="TableContents"/>
                              <w:bidi w:val="0"/>
                              <w:spacing w:before="0" w:after="283"/>
                              <w:ind w:left="0" w:right="0" w:hanging="240"/>
                              <w:jc w:val="right"/>
                              <w:rPr/>
                            </w:pPr>
                            <w:r>
                              <w:rPr/>
                              <w:t>21</w:t>
                            </w:r>
                          </w:p>
                        </w:tc>
                      </w:tr>
                      <w:tr>
                        <w:trPr/>
                        <w:tc>
                          <w:tcPr>
                            <w:tcW w:w="3560" w:type="dxa"/>
                            <w:tcBorders/>
                            <w:vAlign w:val="center"/>
                          </w:tcPr>
                          <w:p>
                            <w:pPr>
                              <w:pStyle w:val="TableContents"/>
                              <w:bidi w:val="0"/>
                              <w:spacing w:before="0" w:after="283"/>
                              <w:jc w:val="left"/>
                              <w:rPr/>
                            </w:pPr>
                            <w:r>
                              <w:rPr/>
                              <w:t>Company Leased Real Property</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Material Contract</w:t>
                            </w:r>
                          </w:p>
                        </w:tc>
                        <w:tc>
                          <w:tcPr>
                            <w:tcW w:w="275" w:type="dxa"/>
                            <w:tcBorders/>
                            <w:vAlign w:val="center"/>
                          </w:tcPr>
                          <w:p>
                            <w:pPr>
                              <w:pStyle w:val="TableContents"/>
                              <w:bidi w:val="0"/>
                              <w:spacing w:before="0" w:after="283"/>
                              <w:ind w:left="0" w:right="0" w:hanging="240"/>
                              <w:jc w:val="right"/>
                              <w:rPr/>
                            </w:pPr>
                            <w:r>
                              <w:rPr/>
                              <w:t>23</w:t>
                            </w:r>
                          </w:p>
                        </w:tc>
                      </w:tr>
                      <w:tr>
                        <w:trPr/>
                        <w:tc>
                          <w:tcPr>
                            <w:tcW w:w="3560" w:type="dxa"/>
                            <w:tcBorders/>
                            <w:vAlign w:val="center"/>
                          </w:tcPr>
                          <w:p>
                            <w:pPr>
                              <w:pStyle w:val="TableContents"/>
                              <w:bidi w:val="0"/>
                              <w:spacing w:before="0" w:after="283"/>
                              <w:jc w:val="left"/>
                              <w:rPr/>
                            </w:pPr>
                            <w:r>
                              <w:rPr/>
                              <w:t>Company Permits</w:t>
                            </w:r>
                          </w:p>
                        </w:tc>
                        <w:tc>
                          <w:tcPr>
                            <w:tcW w:w="275" w:type="dxa"/>
                            <w:tcBorders/>
                            <w:vAlign w:val="center"/>
                          </w:tcPr>
                          <w:p>
                            <w:pPr>
                              <w:pStyle w:val="TableContents"/>
                              <w:bidi w:val="0"/>
                              <w:spacing w:before="0" w:after="283"/>
                              <w:ind w:left="0" w:right="0" w:hanging="240"/>
                              <w:jc w:val="right"/>
                              <w:rPr/>
                            </w:pPr>
                            <w:r>
                              <w:rPr/>
                              <w:t>27</w:t>
                            </w:r>
                          </w:p>
                        </w:tc>
                      </w:tr>
                      <w:tr>
                        <w:trPr/>
                        <w:tc>
                          <w:tcPr>
                            <w:tcW w:w="3560" w:type="dxa"/>
                            <w:tcBorders/>
                            <w:vAlign w:val="center"/>
                          </w:tcPr>
                          <w:p>
                            <w:pPr>
                              <w:pStyle w:val="TableContents"/>
                              <w:bidi w:val="0"/>
                              <w:spacing w:before="0" w:after="283"/>
                              <w:jc w:val="left"/>
                              <w:rPr/>
                            </w:pPr>
                            <w:r>
                              <w:rPr/>
                              <w:t>Company Real Property Leases</w:t>
                            </w:r>
                          </w:p>
                        </w:tc>
                        <w:tc>
                          <w:tcPr>
                            <w:tcW w:w="275" w:type="dxa"/>
                            <w:tcBorders/>
                            <w:vAlign w:val="center"/>
                          </w:tcPr>
                          <w:p>
                            <w:pPr>
                              <w:pStyle w:val="TableContents"/>
                              <w:bidi w:val="0"/>
                              <w:spacing w:before="0" w:after="283"/>
                              <w:ind w:left="0" w:right="0" w:hanging="240"/>
                              <w:jc w:val="right"/>
                              <w:rPr/>
                            </w:pPr>
                            <w:r>
                              <w:rPr/>
                              <w:t>22</w:t>
                            </w:r>
                          </w:p>
                        </w:tc>
                      </w:tr>
                      <w:tr>
                        <w:trPr/>
                        <w:tc>
                          <w:tcPr>
                            <w:tcW w:w="3560" w:type="dxa"/>
                            <w:tcBorders/>
                            <w:vAlign w:val="center"/>
                          </w:tcPr>
                          <w:p>
                            <w:pPr>
                              <w:pStyle w:val="TableContents"/>
                              <w:bidi w:val="0"/>
                              <w:spacing w:before="0" w:after="283"/>
                              <w:jc w:val="left"/>
                              <w:rPr/>
                            </w:pPr>
                            <w:r>
                              <w:rPr/>
                              <w:t>Company Registered IP</w:t>
                            </w:r>
                          </w:p>
                        </w:tc>
                        <w:tc>
                          <w:tcPr>
                            <w:tcW w:w="275" w:type="dxa"/>
                            <w:tcBorders/>
                            <w:vAlign w:val="center"/>
                          </w:tcPr>
                          <w:p>
                            <w:pPr>
                              <w:pStyle w:val="TableContents"/>
                              <w:bidi w:val="0"/>
                              <w:spacing w:before="0" w:after="283"/>
                              <w:ind w:left="0" w:right="0" w:hanging="240"/>
                              <w:jc w:val="right"/>
                              <w:rPr/>
                            </w:pPr>
                            <w:r>
                              <w:rPr/>
                              <w:t>18</w:t>
                            </w:r>
                          </w:p>
                        </w:tc>
                      </w:tr>
                      <w:tr>
                        <w:trPr/>
                        <w:tc>
                          <w:tcPr>
                            <w:tcW w:w="3560" w:type="dxa"/>
                            <w:tcBorders/>
                            <w:vAlign w:val="center"/>
                          </w:tcPr>
                          <w:p>
                            <w:pPr>
                              <w:pStyle w:val="TableContents"/>
                              <w:bidi w:val="0"/>
                              <w:spacing w:before="0" w:after="283"/>
                              <w:jc w:val="left"/>
                              <w:rPr/>
                            </w:pPr>
                            <w:r>
                              <w:rPr/>
                              <w:t>Company Returns</w:t>
                            </w:r>
                          </w:p>
                        </w:tc>
                        <w:tc>
                          <w:tcPr>
                            <w:tcW w:w="275" w:type="dxa"/>
                            <w:tcBorders/>
                            <w:vAlign w:val="center"/>
                          </w:tcPr>
                          <w:p>
                            <w:pPr>
                              <w:pStyle w:val="TableContents"/>
                              <w:bidi w:val="0"/>
                              <w:spacing w:before="0" w:after="283"/>
                              <w:ind w:left="0" w:right="0" w:hanging="240"/>
                              <w:jc w:val="right"/>
                              <w:rPr/>
                            </w:pPr>
                            <w:r>
                              <w:rPr/>
                              <w:t>29</w:t>
                            </w:r>
                          </w:p>
                        </w:tc>
                      </w:tr>
                      <w:tr>
                        <w:trPr/>
                        <w:tc>
                          <w:tcPr>
                            <w:tcW w:w="3560" w:type="dxa"/>
                            <w:tcBorders/>
                            <w:vAlign w:val="center"/>
                          </w:tcPr>
                          <w:p>
                            <w:pPr>
                              <w:pStyle w:val="TableContents"/>
                              <w:bidi w:val="0"/>
                              <w:spacing w:before="0" w:after="283"/>
                              <w:jc w:val="left"/>
                              <w:rPr/>
                            </w:pPr>
                            <w:r>
                              <w:rPr/>
                              <w:t>Company SEC Documents</w:t>
                            </w:r>
                          </w:p>
                        </w:tc>
                        <w:tc>
                          <w:tcPr>
                            <w:tcW w:w="275" w:type="dxa"/>
                            <w:tcBorders/>
                            <w:vAlign w:val="center"/>
                          </w:tcPr>
                          <w:p>
                            <w:pPr>
                              <w:pStyle w:val="TableContents"/>
                              <w:bidi w:val="0"/>
                              <w:spacing w:before="0" w:after="283"/>
                              <w:ind w:left="0" w:right="0" w:hanging="240"/>
                              <w:jc w:val="right"/>
                              <w:rPr/>
                            </w:pPr>
                            <w:r>
                              <w:rPr/>
                              <w:t>16</w:t>
                            </w:r>
                          </w:p>
                        </w:tc>
                      </w:tr>
                      <w:tr>
                        <w:trPr/>
                        <w:tc>
                          <w:tcPr>
                            <w:tcW w:w="3560" w:type="dxa"/>
                            <w:tcBorders/>
                            <w:vAlign w:val="center"/>
                          </w:tcPr>
                          <w:p>
                            <w:pPr>
                              <w:pStyle w:val="TableContents"/>
                              <w:bidi w:val="0"/>
                              <w:spacing w:before="0" w:after="283"/>
                              <w:jc w:val="left"/>
                              <w:rPr/>
                            </w:pPr>
                            <w:r>
                              <w:rPr/>
                              <w:t>Company Stock Certificate</w:t>
                            </w:r>
                          </w:p>
                        </w:tc>
                        <w:tc>
                          <w:tcPr>
                            <w:tcW w:w="275" w:type="dxa"/>
                            <w:tcBorders/>
                            <w:vAlign w:val="center"/>
                          </w:tcPr>
                          <w:p>
                            <w:pPr>
                              <w:pStyle w:val="TableContents"/>
                              <w:bidi w:val="0"/>
                              <w:spacing w:before="0" w:after="283"/>
                              <w:ind w:left="0" w:right="0" w:hanging="240"/>
                              <w:jc w:val="right"/>
                              <w:rPr/>
                            </w:pPr>
                            <w:r>
                              <w:rPr/>
                              <w:t>3</w:t>
                            </w:r>
                          </w:p>
                        </w:tc>
                      </w:tr>
                      <w:tr>
                        <w:trPr/>
                        <w:tc>
                          <w:tcPr>
                            <w:tcW w:w="3560" w:type="dxa"/>
                            <w:tcBorders/>
                            <w:vAlign w:val="center"/>
                          </w:tcPr>
                          <w:p>
                            <w:pPr>
                              <w:pStyle w:val="TableContents"/>
                              <w:bidi w:val="0"/>
                              <w:spacing w:before="0" w:after="283"/>
                              <w:jc w:val="left"/>
                              <w:rPr/>
                            </w:pPr>
                            <w:r>
                              <w:rPr/>
                              <w:t>Company Stockholder Meeting</w:t>
                            </w:r>
                          </w:p>
                        </w:tc>
                        <w:tc>
                          <w:tcPr>
                            <w:tcW w:w="275" w:type="dxa"/>
                            <w:tcBorders/>
                            <w:vAlign w:val="center"/>
                          </w:tcPr>
                          <w:p>
                            <w:pPr>
                              <w:pStyle w:val="TableContents"/>
                              <w:bidi w:val="0"/>
                              <w:spacing w:before="0" w:after="283"/>
                              <w:ind w:left="0" w:right="0" w:hanging="240"/>
                              <w:jc w:val="right"/>
                              <w:rPr/>
                            </w:pPr>
                            <w:r>
                              <w:rPr/>
                              <w:t>53</w:t>
                            </w:r>
                          </w:p>
                        </w:tc>
                      </w:tr>
                      <w:tr>
                        <w:trPr/>
                        <w:tc>
                          <w:tcPr>
                            <w:tcW w:w="3560" w:type="dxa"/>
                            <w:tcBorders/>
                            <w:vAlign w:val="center"/>
                          </w:tcPr>
                          <w:p>
                            <w:pPr>
                              <w:pStyle w:val="TableContents"/>
                              <w:bidi w:val="0"/>
                              <w:spacing w:before="0" w:after="283"/>
                              <w:jc w:val="left"/>
                              <w:rPr/>
                            </w:pPr>
                            <w:r>
                              <w:rPr/>
                              <w:t>Company Superior Proposal Notice</w:t>
                            </w:r>
                          </w:p>
                        </w:tc>
                        <w:tc>
                          <w:tcPr>
                            <w:tcW w:w="275" w:type="dxa"/>
                            <w:tcBorders/>
                            <w:vAlign w:val="center"/>
                          </w:tcPr>
                          <w:p>
                            <w:pPr>
                              <w:pStyle w:val="TableContents"/>
                              <w:bidi w:val="0"/>
                              <w:spacing w:before="0" w:after="283"/>
                              <w:ind w:left="0" w:right="0" w:hanging="240"/>
                              <w:jc w:val="right"/>
                              <w:rPr/>
                            </w:pPr>
                            <w:r>
                              <w:rPr/>
                              <w:t>55</w:t>
                            </w:r>
                          </w:p>
                        </w:tc>
                      </w:tr>
                      <w:tr>
                        <w:trPr/>
                        <w:tc>
                          <w:tcPr>
                            <w:tcW w:w="3560" w:type="dxa"/>
                            <w:tcBorders/>
                            <w:vAlign w:val="center"/>
                          </w:tcPr>
                          <w:p>
                            <w:pPr>
                              <w:pStyle w:val="TableContents"/>
                              <w:bidi w:val="0"/>
                              <w:spacing w:before="0" w:after="283"/>
                              <w:jc w:val="left"/>
                              <w:rPr/>
                            </w:pPr>
                            <w:r>
                              <w:rPr/>
                              <w:t>Continuing Employee</w:t>
                            </w:r>
                          </w:p>
                        </w:tc>
                        <w:tc>
                          <w:tcPr>
                            <w:tcW w:w="275" w:type="dxa"/>
                            <w:tcBorders/>
                            <w:vAlign w:val="center"/>
                          </w:tcPr>
                          <w:p>
                            <w:pPr>
                              <w:pStyle w:val="TableContents"/>
                              <w:bidi w:val="0"/>
                              <w:spacing w:before="0" w:after="283"/>
                              <w:ind w:left="0" w:right="0" w:hanging="240"/>
                              <w:jc w:val="right"/>
                              <w:rPr/>
                            </w:pPr>
                            <w:r>
                              <w:rPr/>
                              <w:t>62</w:t>
                            </w:r>
                          </w:p>
                        </w:tc>
                      </w:tr>
                      <w:tr>
                        <w:trPr/>
                        <w:tc>
                          <w:tcPr>
                            <w:tcW w:w="3560" w:type="dxa"/>
                            <w:tcBorders/>
                            <w:vAlign w:val="center"/>
                          </w:tcPr>
                          <w:p>
                            <w:pPr>
                              <w:pStyle w:val="TableContents"/>
                              <w:bidi w:val="0"/>
                              <w:spacing w:before="0" w:after="283"/>
                              <w:jc w:val="left"/>
                              <w:rPr/>
                            </w:pPr>
                            <w:r>
                              <w:rPr/>
                              <w:t>Credit Facility Payoff Amount</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Credit Facility Termination</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D&amp;O Policy</w:t>
                            </w:r>
                          </w:p>
                        </w:tc>
                        <w:tc>
                          <w:tcPr>
                            <w:tcW w:w="275" w:type="dxa"/>
                            <w:tcBorders/>
                            <w:vAlign w:val="center"/>
                          </w:tcPr>
                          <w:p>
                            <w:pPr>
                              <w:pStyle w:val="TableContents"/>
                              <w:bidi w:val="0"/>
                              <w:spacing w:before="0" w:after="283"/>
                              <w:ind w:left="0" w:right="0" w:hanging="240"/>
                              <w:jc w:val="right"/>
                              <w:rPr/>
                            </w:pPr>
                            <w:r>
                              <w:rPr/>
                              <w:t>65</w:t>
                            </w:r>
                          </w:p>
                        </w:tc>
                      </w:tr>
                      <w:tr>
                        <w:trPr/>
                        <w:tc>
                          <w:tcPr>
                            <w:tcW w:w="3560" w:type="dxa"/>
                            <w:tcBorders/>
                            <w:vAlign w:val="center"/>
                          </w:tcPr>
                          <w:p>
                            <w:pPr>
                              <w:pStyle w:val="TableContents"/>
                              <w:bidi w:val="0"/>
                              <w:spacing w:before="0" w:after="283"/>
                              <w:jc w:val="left"/>
                              <w:rPr/>
                            </w:pPr>
                            <w:r>
                              <w:rPr/>
                              <w:t>Debt Commitment Letter</w:t>
                            </w:r>
                          </w:p>
                        </w:tc>
                        <w:tc>
                          <w:tcPr>
                            <w:tcW w:w="275" w:type="dxa"/>
                            <w:tcBorders/>
                            <w:vAlign w:val="center"/>
                          </w:tcPr>
                          <w:p>
                            <w:pPr>
                              <w:pStyle w:val="TableContents"/>
                              <w:bidi w:val="0"/>
                              <w:spacing w:before="0" w:after="283"/>
                              <w:ind w:left="0" w:right="0" w:hanging="240"/>
                              <w:jc w:val="right"/>
                              <w:rPr/>
                            </w:pPr>
                            <w:r>
                              <w:rPr/>
                              <w:t>39</w:t>
                            </w:r>
                          </w:p>
                        </w:tc>
                      </w:tr>
                      <w:tr>
                        <w:trPr/>
                        <w:tc>
                          <w:tcPr>
                            <w:tcW w:w="3560" w:type="dxa"/>
                            <w:tcBorders/>
                            <w:vAlign w:val="center"/>
                          </w:tcPr>
                          <w:p>
                            <w:pPr>
                              <w:pStyle w:val="TableContents"/>
                              <w:bidi w:val="0"/>
                              <w:spacing w:before="0" w:after="283"/>
                              <w:jc w:val="left"/>
                              <w:rPr/>
                            </w:pPr>
                            <w:r>
                              <w:rPr/>
                              <w:t>Default Settlement Method</w:t>
                            </w:r>
                          </w:p>
                        </w:tc>
                        <w:tc>
                          <w:tcPr>
                            <w:tcW w:w="275" w:type="dxa"/>
                            <w:tcBorders/>
                            <w:vAlign w:val="center"/>
                          </w:tcPr>
                          <w:p>
                            <w:pPr>
                              <w:pStyle w:val="TableContents"/>
                              <w:bidi w:val="0"/>
                              <w:spacing w:before="0" w:after="283"/>
                              <w:ind w:left="0" w:right="0" w:hanging="240"/>
                              <w:jc w:val="right"/>
                              <w:rPr/>
                            </w:pPr>
                            <w:r>
                              <w:rPr/>
                              <w:t>69</w:t>
                            </w:r>
                          </w:p>
                        </w:tc>
                      </w:tr>
                      <w:tr>
                        <w:trPr/>
                        <w:tc>
                          <w:tcPr>
                            <w:tcW w:w="3560" w:type="dxa"/>
                            <w:tcBorders/>
                            <w:vAlign w:val="center"/>
                          </w:tcPr>
                          <w:p>
                            <w:pPr>
                              <w:pStyle w:val="TableContents"/>
                              <w:bidi w:val="0"/>
                              <w:spacing w:before="0" w:after="283"/>
                              <w:jc w:val="left"/>
                              <w:rPr/>
                            </w:pPr>
                            <w:r>
                              <w:rPr/>
                              <w:t>Definitive Financing Documents</w:t>
                            </w:r>
                          </w:p>
                        </w:tc>
                        <w:tc>
                          <w:tcPr>
                            <w:tcW w:w="275" w:type="dxa"/>
                            <w:tcBorders/>
                            <w:vAlign w:val="center"/>
                          </w:tcPr>
                          <w:p>
                            <w:pPr>
                              <w:pStyle w:val="TableContents"/>
                              <w:bidi w:val="0"/>
                              <w:spacing w:before="0" w:after="283"/>
                              <w:ind w:left="0" w:right="0" w:hanging="240"/>
                              <w:jc w:val="right"/>
                              <w:rPr/>
                            </w:pPr>
                            <w:r>
                              <w:rPr/>
                              <w:t>75</w:t>
                            </w:r>
                          </w:p>
                        </w:tc>
                      </w:tr>
                      <w:tr>
                        <w:trPr/>
                        <w:tc>
                          <w:tcPr>
                            <w:tcW w:w="3560" w:type="dxa"/>
                            <w:tcBorders/>
                            <w:vAlign w:val="center"/>
                          </w:tcPr>
                          <w:p>
                            <w:pPr>
                              <w:pStyle w:val="TableContents"/>
                              <w:bidi w:val="0"/>
                              <w:spacing w:before="0" w:after="283"/>
                              <w:jc w:val="left"/>
                              <w:rPr/>
                            </w:pPr>
                            <w:r>
                              <w:rPr/>
                              <w:t>Delaware Secretary</w:t>
                            </w:r>
                          </w:p>
                        </w:tc>
                        <w:tc>
                          <w:tcPr>
                            <w:tcW w:w="275" w:type="dxa"/>
                            <w:tcBorders/>
                            <w:vAlign w:val="center"/>
                          </w:tcPr>
                          <w:p>
                            <w:pPr>
                              <w:pStyle w:val="TableContents"/>
                              <w:bidi w:val="0"/>
                              <w:spacing w:before="0" w:after="283"/>
                              <w:ind w:left="0" w:right="0" w:hanging="240"/>
                              <w:jc w:val="right"/>
                              <w:rPr/>
                            </w:pPr>
                            <w:r>
                              <w:rPr/>
                              <w:t>2</w:t>
                            </w:r>
                          </w:p>
                        </w:tc>
                      </w:tr>
                      <w:tr>
                        <w:trPr/>
                        <w:tc>
                          <w:tcPr>
                            <w:tcW w:w="3560" w:type="dxa"/>
                            <w:tcBorders/>
                            <w:vAlign w:val="center"/>
                          </w:tcPr>
                          <w:p>
                            <w:pPr>
                              <w:pStyle w:val="TableContents"/>
                              <w:bidi w:val="0"/>
                              <w:spacing w:before="0" w:after="283"/>
                              <w:jc w:val="left"/>
                              <w:rPr/>
                            </w:pPr>
                            <w:r>
                              <w:rPr/>
                              <w:t>Dissenting Shares</w:t>
                            </w:r>
                          </w:p>
                        </w:tc>
                        <w:tc>
                          <w:tcPr>
                            <w:tcW w:w="275" w:type="dxa"/>
                            <w:tcBorders/>
                            <w:vAlign w:val="center"/>
                          </w:tcPr>
                          <w:p>
                            <w:pPr>
                              <w:pStyle w:val="TableContents"/>
                              <w:bidi w:val="0"/>
                              <w:spacing w:before="0" w:after="283"/>
                              <w:jc w:val="right"/>
                              <w:rPr/>
                            </w:pPr>
                            <w:r>
                              <w:rPr/>
                              <w:t>10</w:t>
                            </w:r>
                          </w:p>
                        </w:tc>
                      </w:tr>
                    </w:tbl>
                    <w:tbl>
                      <w:tblPr>
                        <w:tblW w:w="4000" w:type="dxa"/>
                        <w:jc w:val="left"/>
                        <w:tblInd w:w="0" w:type="dxa"/>
                        <w:tblLayout w:type="fixed"/>
                        <w:tblCellMar>
                          <w:top w:w="0" w:type="dxa"/>
                          <w:left w:w="0" w:type="dxa"/>
                          <w:bottom w:w="0" w:type="dxa"/>
                          <w:right w:w="0" w:type="dxa"/>
                        </w:tblCellMar>
                      </w:tblPr>
                      <w:tblGrid>
                        <w:gridCol w:w="3725"/>
                        <w:gridCol w:w="275"/>
                      </w:tblGrid>
                      <w:tr>
                        <w:trPr/>
                        <w:tc>
                          <w:tcPr>
                            <w:tcW w:w="3725" w:type="dxa"/>
                            <w:tcBorders/>
                            <w:vAlign w:val="center"/>
                          </w:tcPr>
                          <w:p>
                            <w:pPr>
                              <w:pStyle w:val="TableContents"/>
                              <w:bidi w:val="0"/>
                              <w:spacing w:before="0" w:after="283"/>
                              <w:ind w:left="0" w:right="0" w:hanging="240"/>
                              <w:jc w:val="left"/>
                              <w:rPr/>
                            </w:pPr>
                            <w:r>
                              <w:rPr/>
                              <w:t>Original Agreement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w:t>
                            </w:r>
                          </w:p>
                        </w:tc>
                        <w:tc>
                          <w:tcPr>
                            <w:tcW w:w="275" w:type="dxa"/>
                            <w:tcBorders/>
                            <w:vAlign w:val="center"/>
                          </w:tcPr>
                          <w:p>
                            <w:pPr>
                              <w:pStyle w:val="TableContents"/>
                              <w:bidi w:val="0"/>
                              <w:spacing w:before="0" w:after="283"/>
                              <w:ind w:left="0" w:right="0" w:hanging="240"/>
                              <w:jc w:val="right"/>
                              <w:rPr/>
                            </w:pPr>
                            <w:r>
                              <w:rPr/>
                              <w:t>1</w:t>
                            </w:r>
                          </w:p>
                        </w:tc>
                      </w:tr>
                      <w:tr>
                        <w:trPr/>
                        <w:tc>
                          <w:tcPr>
                            <w:tcW w:w="3725" w:type="dxa"/>
                            <w:tcBorders/>
                            <w:vAlign w:val="center"/>
                          </w:tcPr>
                          <w:p>
                            <w:pPr>
                              <w:pStyle w:val="TableContents"/>
                              <w:bidi w:val="0"/>
                              <w:spacing w:before="0" w:after="283"/>
                              <w:jc w:val="left"/>
                              <w:rPr/>
                            </w:pPr>
                            <w:r>
                              <w:rPr/>
                              <w:t>Parent 401(k) Plan</w:t>
                            </w:r>
                          </w:p>
                        </w:tc>
                        <w:tc>
                          <w:tcPr>
                            <w:tcW w:w="275" w:type="dxa"/>
                            <w:tcBorders/>
                            <w:vAlign w:val="center"/>
                          </w:tcPr>
                          <w:p>
                            <w:pPr>
                              <w:pStyle w:val="TableContents"/>
                              <w:bidi w:val="0"/>
                              <w:spacing w:before="0" w:after="283"/>
                              <w:ind w:left="0" w:right="0" w:hanging="240"/>
                              <w:jc w:val="right"/>
                              <w:rPr/>
                            </w:pPr>
                            <w:r>
                              <w:rPr/>
                              <w:t>63</w:t>
                            </w:r>
                          </w:p>
                        </w:tc>
                      </w:tr>
                      <w:tr>
                        <w:trPr/>
                        <w:tc>
                          <w:tcPr>
                            <w:tcW w:w="3725" w:type="dxa"/>
                            <w:tcBorders/>
                            <w:vAlign w:val="center"/>
                          </w:tcPr>
                          <w:p>
                            <w:pPr>
                              <w:pStyle w:val="TableContents"/>
                              <w:bidi w:val="0"/>
                              <w:spacing w:before="0" w:after="283"/>
                              <w:jc w:val="left"/>
                              <w:rPr/>
                            </w:pPr>
                            <w:r>
                              <w:rPr/>
                              <w:t>Parent Disclosure Schedule</w:t>
                            </w:r>
                          </w:p>
                        </w:tc>
                        <w:tc>
                          <w:tcPr>
                            <w:tcW w:w="275" w:type="dxa"/>
                            <w:tcBorders/>
                            <w:vAlign w:val="center"/>
                          </w:tcPr>
                          <w:p>
                            <w:pPr>
                              <w:pStyle w:val="TableContents"/>
                              <w:bidi w:val="0"/>
                              <w:spacing w:before="0" w:after="283"/>
                              <w:ind w:left="0" w:right="0" w:hanging="240"/>
                              <w:jc w:val="right"/>
                              <w:rPr/>
                            </w:pPr>
                            <w:r>
                              <w:rPr/>
                              <w:t>36</w:t>
                            </w:r>
                          </w:p>
                        </w:tc>
                      </w:tr>
                      <w:tr>
                        <w:trPr/>
                        <w:tc>
                          <w:tcPr>
                            <w:tcW w:w="3725" w:type="dxa"/>
                            <w:tcBorders/>
                            <w:vAlign w:val="center"/>
                          </w:tcPr>
                          <w:p>
                            <w:pPr>
                              <w:pStyle w:val="TableContents"/>
                              <w:bidi w:val="0"/>
                              <w:spacing w:before="0" w:after="283"/>
                              <w:jc w:val="left"/>
                              <w:rPr/>
                            </w:pPr>
                            <w:r>
                              <w:rPr/>
                              <w:t>Payoff Letter</w:t>
                            </w:r>
                          </w:p>
                        </w:tc>
                        <w:tc>
                          <w:tcPr>
                            <w:tcW w:w="275" w:type="dxa"/>
                            <w:tcBorders/>
                            <w:vAlign w:val="center"/>
                          </w:tcPr>
                          <w:p>
                            <w:pPr>
                              <w:pStyle w:val="TableContents"/>
                              <w:bidi w:val="0"/>
                              <w:spacing w:before="0" w:after="283"/>
                              <w:ind w:left="0" w:right="0" w:hanging="240"/>
                              <w:jc w:val="right"/>
                              <w:rPr/>
                            </w:pPr>
                            <w:r>
                              <w:rPr/>
                              <w:t>69</w:t>
                            </w:r>
                          </w:p>
                        </w:tc>
                      </w:tr>
                      <w:tr>
                        <w:trPr/>
                        <w:tc>
                          <w:tcPr>
                            <w:tcW w:w="3725" w:type="dxa"/>
                            <w:tcBorders/>
                            <w:vAlign w:val="center"/>
                          </w:tcPr>
                          <w:p>
                            <w:pPr>
                              <w:pStyle w:val="TableContents"/>
                              <w:bidi w:val="0"/>
                              <w:spacing w:before="0" w:after="283"/>
                              <w:jc w:val="left"/>
                              <w:rPr/>
                            </w:pPr>
                            <w:r>
                              <w:rPr/>
                              <w:t>Permitted Company Debt Modification</w:t>
                            </w:r>
                          </w:p>
                        </w:tc>
                        <w:tc>
                          <w:tcPr>
                            <w:tcW w:w="275" w:type="dxa"/>
                            <w:tcBorders/>
                            <w:vAlign w:val="center"/>
                          </w:tcPr>
                          <w:p>
                            <w:pPr>
                              <w:pStyle w:val="TableContents"/>
                              <w:bidi w:val="0"/>
                              <w:spacing w:before="0" w:after="283"/>
                              <w:ind w:left="0" w:right="0" w:hanging="240"/>
                              <w:jc w:val="right"/>
                              <w:rPr/>
                            </w:pPr>
                            <w:r>
                              <w:rPr/>
                              <w:t>45</w:t>
                            </w:r>
                          </w:p>
                        </w:tc>
                      </w:tr>
                      <w:tr>
                        <w:trPr/>
                        <w:tc>
                          <w:tcPr>
                            <w:tcW w:w="3725" w:type="dxa"/>
                            <w:tcBorders/>
                            <w:vAlign w:val="center"/>
                          </w:tcPr>
                          <w:p>
                            <w:pPr>
                              <w:pStyle w:val="TableContents"/>
                              <w:bidi w:val="0"/>
                              <w:spacing w:before="0" w:after="283"/>
                              <w:jc w:val="left"/>
                              <w:rPr/>
                            </w:pPr>
                            <w:r>
                              <w:rPr/>
                              <w:t>Regulatory Remedies</w:t>
                            </w:r>
                          </w:p>
                        </w:tc>
                        <w:tc>
                          <w:tcPr>
                            <w:tcW w:w="275" w:type="dxa"/>
                            <w:tcBorders/>
                            <w:vAlign w:val="center"/>
                          </w:tcPr>
                          <w:p>
                            <w:pPr>
                              <w:pStyle w:val="TableContents"/>
                              <w:bidi w:val="0"/>
                              <w:spacing w:before="0" w:after="283"/>
                              <w:ind w:left="0" w:right="0" w:hanging="240"/>
                              <w:jc w:val="right"/>
                              <w:rPr/>
                            </w:pPr>
                            <w:r>
                              <w:rPr/>
                              <w:t>59</w:t>
                            </w:r>
                          </w:p>
                        </w:tc>
                      </w:tr>
                      <w:tr>
                        <w:trPr/>
                        <w:tc>
                          <w:tcPr>
                            <w:tcW w:w="3725" w:type="dxa"/>
                            <w:tcBorders/>
                            <w:vAlign w:val="center"/>
                          </w:tcPr>
                          <w:p>
                            <w:pPr>
                              <w:pStyle w:val="TableContents"/>
                              <w:bidi w:val="0"/>
                              <w:spacing w:before="0" w:after="283"/>
                              <w:jc w:val="left"/>
                              <w:rPr/>
                            </w:pPr>
                            <w:r>
                              <w:rPr/>
                              <w:t>Relevant Legal Restraint</w:t>
                            </w:r>
                          </w:p>
                        </w:tc>
                        <w:tc>
                          <w:tcPr>
                            <w:tcW w:w="275" w:type="dxa"/>
                            <w:tcBorders/>
                            <w:vAlign w:val="center"/>
                          </w:tcPr>
                          <w:p>
                            <w:pPr>
                              <w:pStyle w:val="TableContents"/>
                              <w:bidi w:val="0"/>
                              <w:spacing w:before="0" w:after="283"/>
                              <w:ind w:left="0" w:right="0" w:hanging="240"/>
                              <w:jc w:val="right"/>
                              <w:rPr/>
                            </w:pPr>
                            <w:r>
                              <w:rPr/>
                              <w:t>78</w:t>
                            </w:r>
                          </w:p>
                        </w:tc>
                      </w:tr>
                      <w:tr>
                        <w:trPr/>
                        <w:tc>
                          <w:tcPr>
                            <w:tcW w:w="3725" w:type="dxa"/>
                            <w:tcBorders/>
                            <w:vAlign w:val="center"/>
                          </w:tcPr>
                          <w:p>
                            <w:pPr>
                              <w:pStyle w:val="TableContents"/>
                              <w:bidi w:val="0"/>
                              <w:spacing w:before="0" w:after="283"/>
                              <w:jc w:val="left"/>
                              <w:rPr/>
                            </w:pPr>
                            <w:r>
                              <w:rPr/>
                              <w:t>Required Amounts</w:t>
                            </w:r>
                          </w:p>
                        </w:tc>
                        <w:tc>
                          <w:tcPr>
                            <w:tcW w:w="275" w:type="dxa"/>
                            <w:tcBorders/>
                            <w:vAlign w:val="center"/>
                          </w:tcPr>
                          <w:p>
                            <w:pPr>
                              <w:pStyle w:val="TableContents"/>
                              <w:bidi w:val="0"/>
                              <w:spacing w:before="0" w:after="283"/>
                              <w:ind w:left="0" w:right="0" w:hanging="240"/>
                              <w:jc w:val="right"/>
                              <w:rPr/>
                            </w:pPr>
                            <w:r>
                              <w:rPr/>
                              <w:t>41</w:t>
                            </w:r>
                          </w:p>
                        </w:tc>
                      </w:tr>
                      <w:tr>
                        <w:trPr/>
                        <w:tc>
                          <w:tcPr>
                            <w:tcW w:w="3725" w:type="dxa"/>
                            <w:tcBorders/>
                            <w:vAlign w:val="center"/>
                          </w:tcPr>
                          <w:p>
                            <w:pPr>
                              <w:pStyle w:val="TableContents"/>
                              <w:bidi w:val="0"/>
                              <w:spacing w:before="0" w:after="283"/>
                              <w:jc w:val="left"/>
                              <w:rPr/>
                            </w:pPr>
                            <w:r>
                              <w:rPr/>
                              <w:t>Required Company Stockholder Vote</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Significant Company Subsidiary</w:t>
                            </w:r>
                          </w:p>
                        </w:tc>
                        <w:tc>
                          <w:tcPr>
                            <w:tcW w:w="275" w:type="dxa"/>
                            <w:tcBorders/>
                            <w:vAlign w:val="center"/>
                          </w:tcPr>
                          <w:p>
                            <w:pPr>
                              <w:pStyle w:val="TableContents"/>
                              <w:bidi w:val="0"/>
                              <w:spacing w:before="0" w:after="283"/>
                              <w:ind w:left="0" w:right="0" w:hanging="240"/>
                              <w:jc w:val="right"/>
                              <w:rPr/>
                            </w:pPr>
                            <w:r>
                              <w:rPr/>
                              <w:t>13</w:t>
                            </w:r>
                          </w:p>
                        </w:tc>
                      </w:tr>
                      <w:tr>
                        <w:trPr/>
                        <w:tc>
                          <w:tcPr>
                            <w:tcW w:w="3725" w:type="dxa"/>
                            <w:tcBorders/>
                            <w:vAlign w:val="center"/>
                          </w:tcPr>
                          <w:p>
                            <w:pPr>
                              <w:pStyle w:val="TableContents"/>
                              <w:bidi w:val="0"/>
                              <w:spacing w:before="0" w:after="283"/>
                              <w:jc w:val="left"/>
                              <w:rPr/>
                            </w:pPr>
                            <w:r>
                              <w:rPr/>
                              <w:t>Significant Parent 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Subsidiary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Surviving Corporation</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Synaptics Incorporated</w:t>
                            </w:r>
                          </w:p>
                        </w:tc>
                        <w:tc>
                          <w:tcPr>
                            <w:tcW w:w="275" w:type="dxa"/>
                            <w:tcBorders/>
                            <w:vAlign w:val="center"/>
                          </w:tcPr>
                          <w:p>
                            <w:pPr>
                              <w:pStyle w:val="TableContents"/>
                              <w:bidi w:val="0"/>
                              <w:spacing w:before="0" w:after="283"/>
                              <w:ind w:left="0" w:right="0" w:hanging="240"/>
                              <w:jc w:val="right"/>
                              <w:rPr/>
                            </w:pPr>
                            <w:r>
                              <w:rPr/>
                              <w:t>2</w:t>
                            </w:r>
                          </w:p>
                        </w:tc>
                      </w:tr>
                      <w:tr>
                        <w:trPr/>
                        <w:tc>
                          <w:tcPr>
                            <w:tcW w:w="3725" w:type="dxa"/>
                            <w:tcBorders/>
                            <w:vAlign w:val="center"/>
                          </w:tcPr>
                          <w:p>
                            <w:pPr>
                              <w:pStyle w:val="TableContents"/>
                              <w:bidi w:val="0"/>
                              <w:spacing w:before="0" w:after="283"/>
                              <w:jc w:val="left"/>
                              <w:rPr/>
                            </w:pPr>
                            <w:r>
                              <w:rPr/>
                              <w:t>Technology</w:t>
                            </w:r>
                          </w:p>
                        </w:tc>
                        <w:tc>
                          <w:tcPr>
                            <w:tcW w:w="275" w:type="dxa"/>
                            <w:tcBorders/>
                            <w:vAlign w:val="center"/>
                          </w:tcPr>
                          <w:p>
                            <w:pPr>
                              <w:pStyle w:val="TableContents"/>
                              <w:bidi w:val="0"/>
                              <w:spacing w:before="0" w:after="283"/>
                              <w:ind w:left="0" w:right="0" w:hanging="240"/>
                              <w:jc w:val="right"/>
                              <w:rPr/>
                            </w:pPr>
                            <w:r>
                              <w:rPr/>
                              <w:t>14</w:t>
                            </w:r>
                          </w:p>
                        </w:tc>
                      </w:tr>
                      <w:tr>
                        <w:trPr/>
                        <w:tc>
                          <w:tcPr>
                            <w:tcW w:w="3725" w:type="dxa"/>
                            <w:tcBorders/>
                            <w:vAlign w:val="center"/>
                          </w:tcPr>
                          <w:p>
                            <w:pPr>
                              <w:pStyle w:val="TableContents"/>
                              <w:bidi w:val="0"/>
                              <w:spacing w:before="0" w:after="283"/>
                              <w:jc w:val="left"/>
                              <w:rPr/>
                            </w:pPr>
                            <w:r>
                              <w:rPr/>
                              <w:t>Trading Day</w:t>
                            </w:r>
                          </w:p>
                        </w:tc>
                        <w:tc>
                          <w:tcPr>
                            <w:tcW w:w="275" w:type="dxa"/>
                            <w:tcBorders/>
                            <w:vAlign w:val="center"/>
                          </w:tcPr>
                          <w:p>
                            <w:pPr>
                              <w:pStyle w:val="TableContents"/>
                              <w:bidi w:val="0"/>
                              <w:spacing w:before="0" w:after="283"/>
                              <w:ind w:left="0" w:right="0" w:hanging="240"/>
                              <w:jc w:val="right"/>
                              <w:rPr/>
                            </w:pPr>
                            <w:r>
                              <w:rPr/>
                              <w:t>15</w:t>
                            </w:r>
                          </w:p>
                        </w:tc>
                      </w:tr>
                      <w:tr>
                        <w:trPr/>
                        <w:tc>
                          <w:tcPr>
                            <w:tcW w:w="3725" w:type="dxa"/>
                            <w:tcBorders/>
                            <w:vAlign w:val="center"/>
                          </w:tcPr>
                          <w:p>
                            <w:pPr>
                              <w:pStyle w:val="TableContents"/>
                              <w:bidi w:val="0"/>
                              <w:spacing w:before="0" w:after="283"/>
                              <w:jc w:val="left"/>
                              <w:rPr/>
                            </w:pPr>
                            <w:r>
                              <w:rPr/>
                              <w:t>Transaction Litigation</w:t>
                            </w:r>
                          </w:p>
                        </w:tc>
                        <w:tc>
                          <w:tcPr>
                            <w:tcW w:w="275" w:type="dxa"/>
                            <w:tcBorders/>
                            <w:vAlign w:val="center"/>
                          </w:tcPr>
                          <w:p>
                            <w:pPr>
                              <w:pStyle w:val="TableContents"/>
                              <w:bidi w:val="0"/>
                              <w:spacing w:before="0" w:after="283"/>
                              <w:ind w:left="0" w:right="0" w:hanging="240"/>
                              <w:jc w:val="right"/>
                              <w:rPr/>
                            </w:pPr>
                            <w:r>
                              <w:rPr/>
                              <w:t>66</w:t>
                            </w:r>
                          </w:p>
                        </w:tc>
                      </w:tr>
                      <w:tr>
                        <w:trPr/>
                        <w:tc>
                          <w:tcPr>
                            <w:tcW w:w="3725" w:type="dxa"/>
                            <w:tcBorders/>
                            <w:vAlign w:val="center"/>
                          </w:tcPr>
                          <w:p>
                            <w:pPr>
                              <w:pStyle w:val="TableContents"/>
                              <w:bidi w:val="0"/>
                              <w:spacing w:before="0" w:after="283"/>
                              <w:jc w:val="left"/>
                              <w:rPr/>
                            </w:pPr>
                            <w:r>
                              <w:rPr/>
                              <w:t>Treasury Regulations</w:t>
                            </w:r>
                          </w:p>
                        </w:tc>
                        <w:tc>
                          <w:tcPr>
                            <w:tcW w:w="275" w:type="dxa"/>
                            <w:tcBorders/>
                            <w:vAlign w:val="center"/>
                          </w:tcPr>
                          <w:p>
                            <w:pPr>
                              <w:pStyle w:val="TableContents"/>
                              <w:bidi w:val="0"/>
                              <w:spacing w:before="0" w:after="283"/>
                              <w:jc w:val="right"/>
                              <w:rPr/>
                            </w:pPr>
                            <w:r>
                              <w:rPr/>
                              <w:t>15</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 w:hAnsi="Times New Roman"/>
          <w:b w:val="false"/>
          <w:i w:val="false"/>
          <w:caps w:val="false"/>
          <w:smallCaps w:val="false"/>
          <w:sz w:val="20"/>
        </w:rPr>
        <w:t>A-16</w:t>
      </w:r>
      <w:r>
        <w:rPr>
          <w:rFonts w:ascii="Times New Roman;Times;Serif" w:hAnsi="Times New Roman;Times;Serif"/>
          <w:b w:val="false"/>
          <w:i w:val="false"/>
          <w:caps w:val="false"/>
          <w:smallCaps w:val="false"/>
          <w:sz w:val="20"/>
        </w:rPr>
        <w:t xml:space="preserve"> </w:t>
      </w:r>
    </w:p>
    <w:p>
      <w:pPr>
        <w:pStyle w:val="HorizontalLine"/>
        <w:pBdr>
          <w:bottom w:val="single" w:sz="12" w:space="0" w:color="808080"/>
        </w:pBdr>
        <w:bidi w:val="0"/>
        <w:jc w:val="center"/>
        <w:rPr/>
      </w:pPr>
      <w:r>
        <w:rPr/>
      </w:r>
    </w:p>
    <w:p>
      <w:pPr>
        <w:pStyle w:val="HorizontalLine"/>
        <w:pBdr>
          <w:bottom w:val="single" w:sz="12" w:space="0" w:color="808080"/>
        </w:pBdr>
        <w:bidi w:val="0"/>
        <w:jc w:val="left"/>
        <w:rPr/>
      </w:pPr>
      <w:r>
        <w:rPr/>
      </w:r>
      <w:bookmarkStart w:id="2" w:name="ef20083029_ex99-1.htm"/>
      <w:bookmarkStart w:id="3" w:name="ksef20083029_ex991"/>
      <w:bookmarkStart w:id="4" w:name="ef20083029_ex99-1.htm"/>
      <w:bookmarkStart w:id="5" w:name="ksef20083029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onsemi and Synaptics Announce Revised Merger Agreement</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Revised Terms to Deliver Higher onsemi Shareholder Value through Immediate EPS Accretion</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Amended Agreement Follows Thorough Review of Unsolicited Competing Proposal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SCOTTSDALE, Ariz. and SAN JOSE, Calif. – Oct. 1, 2026 – onsemi (NASDAQ: ON) and Synaptics Incorporated (NASDAQ: SYNA) ("Synaptics") today announced they have amended their June 25, 2026 merger agreement. The amendment follows an unsolicited competing proposal received from a third party.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Under the revised agreement, onsemi will acquire Synaptics for $123 per share in cash for an aggregate value of approximately $5.7 billion as compared to approximately $7 billion for the prior agreement. The transaction is expected to be immediately accretive to onsemi’s non-GAAP earnings per share and provides value certainty for Synaptics’ shareholders.</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As was the case when we initially announced the acquisition, Synaptics addresses an important aspect of our strategic direction, and we believe the revised merger agreement represents a more financially attractive transaction for our shareholders,” said Hassane El-Khoury, President and CEO of onsemi. “The all-cash transaction delivers higher value to our shareholders through lower total cost consideration, and we now expect the transaction to be immediately accretive to non-GAAP EPS upon closing. In addition, we have identified incremental opportunities to create shareholder value beyond the previously announced $200 million of annual run-rate synergies. These additional benefits from revenue synergies and insourcing of a portion of Synaptics’ production are expected to be realized after the initial 18 months post-close, further strengthening the long-term earnings and cash flow profile of the combined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El-Khoury continued, “Synaptics is accretive to our long-term model, with a strong growth outlook and attractive gross margin profile that will help accelerate onsemi’s evolution. Additionally, Synaptics complements growth in our AI data center business, and brings to onsemi its highly profitable human-machine interface, and sensing products businesses that generate strong and predictable cash flows, providing the combined company with a durable funding engine to accelerate its connected compute capabilities.”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After careful review with its financial and legal advisors, the Synaptics Board unanimously determined that the onsemi transaction, as amended, continues to be in the best interests of Synaptics and its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"Our Board has been singularly focused on delivering the best outcome for our shareholders, and today's amended agreement reflects that commitment," said Rahul Patel, Synaptics President and CEO. “By transitioning to an all-cash structure, we are providing value certainty at a meaningful premium as compared to current value. We are confident this path is the right choice for our shareholders."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will be financed through a combination of cash on hand and committed financing. onsemi has obtained fully committed debt financing from Morgan Stanley. The amended merger agreement does not include a closing condition related to onsemi’s financing.</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transaction is still expected to close by mid-2027, subject to approval by Synaptics shareholders, the receipt of required regulatory approvals and other customary closing conditions. The transaction has been approved by the United States Federal Trade Commission, and regulators in other jurisdictions are reviewing the transaction.</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More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9547c4dd8e034e4fa224a7a25d4ed815"/>
      <w:bookmarkStart w:id="7" w:name="z9547c4dd8e034e4fa224a7a25d4ed815"/>
      <w:bookmarkEnd w:id="7"/>
    </w:p>
    <w:tbl>
      <w:tblPr>
        <w:tblW w:w="5598" w:type="dxa"/>
        <w:jc w:val="left"/>
        <w:tblInd w:w="0" w:type="dxa"/>
        <w:tblLayout w:type="fixed"/>
        <w:tblCellMar>
          <w:top w:w="0" w:type="dxa"/>
          <w:left w:w="0" w:type="dxa"/>
          <w:bottom w:w="0" w:type="dxa"/>
          <w:right w:w="0" w:type="dxa"/>
        </w:tblCellMar>
      </w:tblPr>
      <w:tblGrid>
        <w:gridCol w:w="38"/>
        <w:gridCol w:w="110"/>
        <w:gridCol w:w="54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lineRule="auto" w:line="240" w:before="0" w:after="0"/>
              <w:jc w:val="left"/>
              <w:rPr>
                <w:rFonts w:ascii="Times New Roman" w:hAnsi="Times New Roman"/>
                <w:sz w:val="20"/>
              </w:rPr>
            </w:pPr>
            <w:r>
              <w:rPr>
                <w:rFonts w:ascii="Times New Roman" w:hAnsi="Times New Roman"/>
                <w:sz w:val="20"/>
                <w:u w:val="single"/>
              </w:rPr>
              <w:t>Investor Presentation: onsemi &amp; Synaptics Revised Merger Terms</w:t>
            </w:r>
            <w:r>
              <w:rPr>
                <w:rFonts w:ascii="Times New Roman" w:hAnsi="Times New Roman"/>
                <w:color w:val="2F84D1"/>
                <w:sz w:val="20"/>
                <w:u w:val="single"/>
              </w:rPr>
              <w:t>1</w:t>
            </w:r>
          </w:p>
        </w:tc>
      </w:tr>
    </w:tbl>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 (Nasdaq: ON) delivers intelligent power and sensing technologies that enable electrification, energy efficiency, safety, and automation across automotive, industrial, and AI data center end</w:t>
        <w:noBreakHyphen/>
        <w:t>markets. With a highly differentiated and innovative product portfolio, onsemi helps customers solve complex challenges to achieve higher efficiency, improved performance, and lower system cost, while supporting a safer, cleaner, and more energy</w:t>
        <w:noBreakHyphen/>
        <w:t>efficient world. The company is part of the S&amp;P 500® index. Learn more at www.onsemi.com.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Synaptics Incorporated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 (Nasdaq: SYNA) is driving innovation in AI at the Edge, bringing AI closer to end users and transforming how we engage with intelligent connected devices, whether at home, at work, or on the move. As a go-to partner for forward-thinking product innovators, Synaptics powers the future with its cutting-edge Synaptics Astra™ AI-Native embedded compute, wireless connectivity, and multimodal sensing solutions. We’re making the digital experience smarter, faster, more intuitive, secure, and seamless. From touch, display, and biometrics to AI-driven wireless connectivity, video, vision, audio, speech, and security processing, Synaptics is a force behind the next generation of technology enhancing how we live, work, and play.</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Contact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onsemi</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Parag Agarwal</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 &amp; Corporate Development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(602) 244-3437</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investor@onsemi.com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Krystal Heaton</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Director, Head of Public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onsemi</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(480) 242-6943</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Krystal.Heaton@onsemi.com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Synaptics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Munjal Shah</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 Investor Relations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518-7639</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munjal.shah@synaptics.com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Neeta Shenoy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Vice President, Marketing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Synaptics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(408) 518-7826</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neeta.shenoy@synaptics.com</w:t>
      </w:r>
    </w:p>
    <w:p>
      <w:pPr>
        <w:pStyle w:val="TextBody"/>
        <w:bidi w:val="0"/>
        <w:spacing w:before="0" w:after="0"/>
        <w:jc w:val="left"/>
        <w:rPr>
          <w:color w:val="000000"/>
        </w:rPr>
      </w:pPr>
      <w:r>
        <w:rPr>
          <w:color w:val="000000"/>
        </w:rPr>
        <w:t> </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lineRule="auto" w:line="240" w:before="0" w:after="0"/>
        <w:jc w:val="left"/>
        <w:rPr>
          <w:rFonts w:ascii="Times New Roman" w:hAnsi="Times New Roman"/>
          <w:color w:val="000000"/>
          <w:sz w:val="20"/>
        </w:rPr>
      </w:pPr>
      <w:r>
        <w:rPr>
          <w:rFonts w:ascii="Times New Roman;serif" w:hAnsi="Times New Roman;serif"/>
          <w:color w:val="000000"/>
          <w:sz w:val="20"/>
        </w:rPr>
        <w:t>1</w:t>
      </w:r>
      <w:r>
        <w:rPr>
          <w:rFonts w:ascii="Times New Roman" w:hAnsi="Times New Roman"/>
          <w:color w:val="000000"/>
          <w:sz w:val="20"/>
        </w:rPr>
        <w:t xml:space="preserve"> The presentation available on onsemi’s website does not constitute a part of, and is not incorporated by reference into, this press release.</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Cautionary Note Regarding Forward-Looking Statements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relates to onsemi’s proposed acquisition of Synaptics and includes “forward-looking statements,” as that term is defined in Section 27A of the Securities Act of 1933, as amended, and Section 21E of the Securities Exchange Act of 1934, as amended. All statements, other than statements of historical facts, included or incorporated in this press release could be deemed forward-looking statements, particularly statements about the future financial performance of onsemi. Forward-looking statements can often be identified by the use of words such as “anticipates,” “believes,” “estimates,” “expects,” “intends,” “may,” “plans,” “projects,” “seeks,” “should,” “strategy,” “targets,” “will,” or “would,” or similar expressions or by discussions of strategy, plans, expectations, projections or intentions. All forward-looking statements in this document are made based on onsemi’s and Synaptics' current expectations, forecasts, estimates and assumptions, all of which are subject to change, and involve risks and uncertainties, which, along with other factors, could cause results and events to differ materially from those expressed in the forward-looking statements. These factors include, but are not limited to, the risk that the conditions to the closing of the transaction are not satisfied, including the risk that required approvals from regulators or the stockholders of Synaptics for the transaction are not obtained; litigation relating to the transaction; uncertainties as to the timing of the consummation of the transaction and the ability of each party to consummate the transaction; risks that the proposed transaction disrupts the current plans and operations of onsemi or Synaptics, including restrictions during the pendency of the transaction that may impact the ability to pursue certain business opportunities or strategic transactions; the ability of onsemi or Synaptics to retain and hire key personnel; competitive responses to the proposed transaction; unexpected costs, charges or expenses resulting from the transaction; potential adverse reactions or changes to business relationships resulting from the announcement or completion of the transaction; legislative, regulatory and economic developments; and unpredictability and severity of catastrophic events, including, but not limited to, acts of terrorism or outbreak of war or hostilities, as well as onsemi’s or Synaptics' response to any of the aforementioned factors. Certain additional factors that could affect onsemi’s future results or events are described under Part I, Item 1A “Risk Factors” in the 2025 Annual Report on Form 10-K filed with the Securities and Exchange Commission (“SEC”) on February 9, 2026 (the “2025 Form 10-K”) and from time to time in onsemi’s other SEC reports. Certain additional factors that could affect Synaptics' future results or events are described under Part I, Item 1A “Risk Factors” in the 2026 Annual Report on Form 10-K filed with the SEC on August 10, 2026 (the “2026 Form 10-K”) and from time to time in Synaptics' other SEC reports. Readers are cautioned not to place undue reliance on forward-looking statements. Neither onsemi nor Synaptics assumes any obligation to update such information, which speaks only as of the date made, except as may be required by law.</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Investing in onsemi’s or Synaptics' securities involves a high degree of risk and uncertainty, and you should carefully consider the trends, risks and uncertainties described in this press release, onsemi’s 2025 Form 10-K, Synaptics' 2026 Form 10-K and other reports filed with or furnished to the SEC before making any investment decision with respect to onsemi’s or Synaptics' securities. If any of these trends, risks or uncertainties actually occurs or continues, onsemi’s or Synaptics' business, financial condition or operating results could be materially adversely affected, the trading price of onsemi’s or Synaptics' securities could decline, and you could lose all or part of your investment. All forward-looking statements attributable to onsemi, Synaptics or persons acting on onsemi’s or Synaptics' behalf are expressly qualified in their entirety by this cautionary statement.</w:t>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definitive proxy statement, preliminary proxy statement and other documents filed with the SEC by Synaptics on the Synaptics Investor Relations website at </w:t>
      </w:r>
      <w:r>
        <w:rPr>
          <w:rFonts w:ascii="Times New Roman" w:hAnsi="Times New Roman"/>
          <w:color w:val="000000"/>
          <w:sz w:val="20"/>
          <w:u w:val="single"/>
        </w:rPr>
        <w:t>https://investor.synaptics.com/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b/>
          <w:i/>
          <w:color w:val="000000"/>
          <w:sz w:val="20"/>
        </w:rPr>
      </w:pPr>
      <w:r>
        <w:rPr>
          <w:rFonts w:ascii="Times New Roman" w:hAnsi="Times New Roman"/>
          <w:b/>
          <w:i/>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September 15, 2026.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https://www.sec.gov/edgar/browse/?CIK=817720&amp;owner=exclude</w:t>
      </w:r>
      <w:r>
        <w:rPr>
          <w:rFonts w:ascii="Times New Roman" w:hAnsi="Times New Roman"/>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hAnsi="Times New Roman"/>
          <w:color w:val="000000"/>
          <w:sz w:val="20"/>
          <w:u w:val="single"/>
        </w:rPr>
        <w:t>https://www.sec.gov/edgar/browse/?CIK=1097864&amp;owner=exclude</w:t>
      </w:r>
      <w:r>
        <w:rPr>
          <w:rFonts w:ascii="Times New Roman" w:hAnsi="Times New Roman"/>
          <w:color w:val="000000"/>
          <w:sz w:val="20"/>
        </w:rPr>
        <w:t xml:space="preserv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 w:name="ef20083029_ex99-2.htm"/>
      <w:bookmarkStart w:id="9" w:name="ksef20083029_ex992"/>
      <w:bookmarkStart w:id="10" w:name="ef20083029_ex99-2.htm"/>
      <w:bookmarkStart w:id="11" w:name="ksef20083029_ex992"/>
      <w:bookmarkEnd w:id="10"/>
      <w:bookmarkEnd w:id="11"/>
      <w:r>
        <w:br w:type="page"/>
      </w:r>
    </w:p>
    <w:p>
      <w:pPr>
        <w:pStyle w:val="TextBody"/>
        <w:bidi w:val="0"/>
        <w:spacing w:before="0" w:after="0"/>
        <w:jc w:val="right"/>
        <w:rPr>
          <w:rFonts w:ascii="Times New Roman;Times;serif" w:hAnsi="Times New Roman;Times;serif"/>
          <w:b/>
          <w:color w:val="000000"/>
          <w:sz w:val="20"/>
        </w:rPr>
      </w:pPr>
      <w:r>
        <w:rPr>
          <w:rFonts w:ascii="Times New Roman;Times;serif" w:hAnsi="Times New Roman;Times;serif"/>
          <w:b/>
          <w:color w:val="000000"/>
          <w:sz w:val="20"/>
        </w:rPr>
        <w:t>Exhibit 99.2</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SYNA Amended Offer All-Employee Email</w:t>
      </w:r>
    </w:p>
    <w:p>
      <w:pPr>
        <w:pStyle w:val="HorizontalLine"/>
        <w:pBdr>
          <w:bottom w:val="single" w:sz="12" w:space="0" w:color="808080"/>
        </w:pBdr>
        <w:bidi w:val="0"/>
        <w:jc w:val="left"/>
        <w:rPr/>
      </w:pPr>
      <w:r>
        <w:rPr/>
      </w:r>
    </w:p>
    <w:p>
      <w:pPr>
        <w:pStyle w:val="TextBody"/>
        <w:bidi w:val="0"/>
        <w:spacing w:before="0" w:after="0"/>
        <w:jc w:val="left"/>
        <w:rPr>
          <w:rFonts w:ascii="Times New Roman;Times;serif" w:hAnsi="Times New Roman;Times;serif"/>
          <w:b/>
          <w:sz w:val="20"/>
        </w:rPr>
      </w:pPr>
      <w:r>
        <w:rPr>
          <w:rFonts w:ascii="Times New Roman;Times;serif" w:hAnsi="Times New Roman;Times;serif"/>
          <w:b/>
          <w:sz w:val="20"/>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Subject:</w:t>
      </w:r>
      <w:r>
        <w:rPr>
          <w:rFonts w:ascii="Times New Roman;Times;serif" w:hAnsi="Times New Roman;Times;serif"/>
          <w:color w:val="000000"/>
          <w:sz w:val="20"/>
        </w:rPr>
        <w:t xml:space="preserve"> Today’s Announcement: An Amended Agreement with onsemi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Team #OneSynaptics,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am writing to share an update regarding the acquisition of Synaptics by onsemi. Moments ago, we announced that Synaptics has amended its merger agreement with onsemi. Under the amended terms, Synaptics shareholders will receive $123 in cash for each share of Synaptics common stock held at the time of closing, which provides higher value and value certainty to our shareholders.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We recognize that today’s announcement may raise questions about what has changed and how we arrived here. We entered our agreement with onsemi back in June, confident in the transaction’s reflection of the strength of our business model, our technology portfolio and our leadership position in intelligent edge processing and wireless connectivity. We believe the revised offer reflects onsemi's continued conviction in our business, our products and our people.</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amended merger agreement was negotiated following the receipt of an unsolicited, non-binding proposal from a third party bidder. The Synaptics Board of Directors carefully evaluated that proposal, alongside our financial and legal advisors and in accordance with well-established governance procedures and the previously announced agreement with onsemi, and concluded that the onsemi transaction, as amended, continues to be in the best interests of Synaptics and its shareholders.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As we’ve discussed since we initially launched our transaction with onsemi in June, we are excited about all of the opportunities we see ahead for our combined company. And while the terms of our agreement have changed, the strategic rationale for bringing Synaptics and onsemi together remains the same. Together, as a differentiated intelligent-edge platform, we expect to accelerate innovation, increase system-level content and deepen customer relationships across attractive growth markets.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Looking ahead, we remain on track to complete our transaction with onsemi by mid-2027, subject to approval by Synaptics shareholders, the receipt of required regulatory approvals and other customary closing conditions. Until then, onsemi and Synaptics will continue to operate as separate, independent companies.</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 want to be clear that the process leading to this announcement reflects the strength of Synaptics and the business all of you have worked so hard to build. I understand some of you may have questions about this amended agreement and what it means for you. To answer some of your questions, we have included a brief FAQ below this email.</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Thank you for your continued focus, professionalism and commitment to Synaptics. I am incredibly proud of what we have accomplished together, and I hope you share in my enthusiasm for our exciting future working alongside onsemi.</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Best regards,</w:t>
        <w:br/>
        <w:t>Rahul</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i/>
          <w:color w:val="000000"/>
          <w:sz w:val="20"/>
        </w:rPr>
      </w:pPr>
      <w:r>
        <w:rPr>
          <w:rFonts w:ascii="Times New Roman;Times;serif" w:hAnsi="Times New Roman;Times;serif"/>
          <w:i/>
          <w:color w:val="000000"/>
          <w:sz w:val="20"/>
        </w:rPr>
        <w:t>Note: In accordance with our corporate policy, if you receive any media inquiries, please do not respond and direct them to Neeta Shenoy at neeta.shenoy@synaptics.com. All investor inquiries should be forwarded to Munjal Shah at munjal.shah@synaptics.com.</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Appendix</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Do:</w:t>
      </w:r>
    </w:p>
    <w:p>
      <w:pPr>
        <w:pStyle w:val="Normal"/>
        <w:bidi w:val="0"/>
        <w:spacing w:before="0" w:after="0"/>
        <w:jc w:val="left"/>
        <w:rPr>
          <w:sz w:val="4"/>
          <w:szCs w:val="4"/>
        </w:rPr>
      </w:pPr>
      <w:r>
        <w:rPr>
          <w:sz w:val="4"/>
          <w:szCs w:val="4"/>
        </w:rPr>
      </w:r>
      <w:bookmarkStart w:id="12" w:name="z389546fe9c9e4d42a26e3058fd6bcb97"/>
      <w:bookmarkStart w:id="13" w:name="z389546fe9c9e4d42a26e3058fd6bcb97"/>
      <w:bookmarkEnd w:id="13"/>
    </w:p>
    <w:tbl>
      <w:tblPr>
        <w:tblW w:w="5103" w:type="dxa"/>
        <w:jc w:val="left"/>
        <w:tblInd w:w="0" w:type="dxa"/>
        <w:tblLayout w:type="fixed"/>
        <w:tblCellMar>
          <w:top w:w="0" w:type="dxa"/>
          <w:left w:w="0" w:type="dxa"/>
          <w:bottom w:w="0" w:type="dxa"/>
          <w:right w:w="0" w:type="dxa"/>
        </w:tblCellMar>
      </w:tblPr>
      <w:tblGrid>
        <w:gridCol w:w="38"/>
        <w:gridCol w:w="110"/>
        <w:gridCol w:w="495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Rely only on official Synaptics communications for updates.</w:t>
            </w:r>
          </w:p>
        </w:tc>
      </w:tr>
    </w:tbl>
    <w:p>
      <w:pPr>
        <w:pStyle w:val="Normal"/>
        <w:bidi w:val="0"/>
        <w:spacing w:before="0" w:after="0"/>
        <w:jc w:val="left"/>
        <w:rPr>
          <w:sz w:val="4"/>
          <w:szCs w:val="4"/>
        </w:rPr>
      </w:pPr>
      <w:r>
        <w:rPr>
          <w:sz w:val="4"/>
          <w:szCs w:val="4"/>
        </w:rPr>
      </w:r>
      <w:bookmarkStart w:id="14" w:name="z14f7ec8157ba436f96e06243e3393e04"/>
      <w:bookmarkStart w:id="15" w:name="z14f7ec8157ba436f96e06243e3393e04"/>
      <w:bookmarkEnd w:id="1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Stay focused on day-to-day business by continuing to execute your role, deliver on commitments and support our customers, partners and suppliers.</w:t>
            </w:r>
          </w:p>
        </w:tc>
      </w:tr>
    </w:tbl>
    <w:p>
      <w:pPr>
        <w:pStyle w:val="Normal"/>
        <w:bidi w:val="0"/>
        <w:spacing w:before="0" w:after="0"/>
        <w:jc w:val="left"/>
        <w:rPr>
          <w:sz w:val="4"/>
          <w:szCs w:val="4"/>
        </w:rPr>
      </w:pPr>
      <w:r>
        <w:rPr>
          <w:sz w:val="4"/>
          <w:szCs w:val="4"/>
        </w:rPr>
      </w:r>
      <w:bookmarkStart w:id="16" w:name="z79ede1df3f1443d1b7f8ee1ee743c3a5"/>
      <w:bookmarkStart w:id="17" w:name="z79ede1df3f1443d1b7f8ee1ee743c3a5"/>
      <w:bookmarkEnd w:id="17"/>
    </w:p>
    <w:tbl>
      <w:tblPr>
        <w:tblW w:w="9198" w:type="dxa"/>
        <w:jc w:val="left"/>
        <w:tblInd w:w="0" w:type="dxa"/>
        <w:tblLayout w:type="fixed"/>
        <w:tblCellMar>
          <w:top w:w="0" w:type="dxa"/>
          <w:left w:w="0" w:type="dxa"/>
          <w:bottom w:w="0" w:type="dxa"/>
          <w:right w:w="0" w:type="dxa"/>
        </w:tblCellMar>
      </w:tblPr>
      <w:tblGrid>
        <w:gridCol w:w="38"/>
        <w:gridCol w:w="110"/>
        <w:gridCol w:w="905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Protect confidential information and follow our existing policies for handling sensitive or material information.</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Don’t:</w:t>
      </w:r>
    </w:p>
    <w:p>
      <w:pPr>
        <w:pStyle w:val="Normal"/>
        <w:bidi w:val="0"/>
        <w:spacing w:before="0" w:after="0"/>
        <w:jc w:val="left"/>
        <w:rPr>
          <w:sz w:val="4"/>
          <w:szCs w:val="4"/>
        </w:rPr>
      </w:pPr>
      <w:r>
        <w:rPr>
          <w:sz w:val="4"/>
          <w:szCs w:val="4"/>
        </w:rPr>
      </w:r>
      <w:bookmarkStart w:id="18" w:name="z767ecc1e34d7455fbcaf8f855cfebadc"/>
      <w:bookmarkStart w:id="19" w:name="z767ecc1e34d7455fbcaf8f855cfebadc"/>
      <w:bookmarkEnd w:id="19"/>
    </w:p>
    <w:tbl>
      <w:tblPr>
        <w:tblW w:w="9483" w:type="dxa"/>
        <w:jc w:val="left"/>
        <w:tblInd w:w="0" w:type="dxa"/>
        <w:tblLayout w:type="fixed"/>
        <w:tblCellMar>
          <w:top w:w="0" w:type="dxa"/>
          <w:left w:w="0" w:type="dxa"/>
          <w:bottom w:w="0" w:type="dxa"/>
          <w:right w:w="0" w:type="dxa"/>
        </w:tblCellMar>
      </w:tblPr>
      <w:tblGrid>
        <w:gridCol w:w="38"/>
        <w:gridCol w:w="110"/>
        <w:gridCol w:w="933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Speculate or spread rumors about the transaction, the amended terms, roles, organizational structure or future plans.</w:t>
            </w:r>
          </w:p>
        </w:tc>
      </w:tr>
    </w:tbl>
    <w:p>
      <w:pPr>
        <w:pStyle w:val="Normal"/>
        <w:bidi w:val="0"/>
        <w:spacing w:before="0" w:after="0"/>
        <w:jc w:val="left"/>
        <w:rPr>
          <w:sz w:val="4"/>
          <w:szCs w:val="4"/>
        </w:rPr>
      </w:pPr>
      <w:r>
        <w:rPr>
          <w:sz w:val="4"/>
          <w:szCs w:val="4"/>
        </w:rPr>
      </w:r>
      <w:bookmarkStart w:id="20" w:name="z17f63302bc224ce0af110a53e9b37ba5"/>
      <w:bookmarkStart w:id="21" w:name="z17f63302bc224ce0af110a53e9b37ba5"/>
      <w:bookmarkEnd w:id="21"/>
    </w:p>
    <w:tbl>
      <w:tblPr>
        <w:tblW w:w="7953" w:type="dxa"/>
        <w:jc w:val="left"/>
        <w:tblInd w:w="0" w:type="dxa"/>
        <w:tblLayout w:type="fixed"/>
        <w:tblCellMar>
          <w:top w:w="0" w:type="dxa"/>
          <w:left w:w="0" w:type="dxa"/>
          <w:bottom w:w="0" w:type="dxa"/>
          <w:right w:w="0" w:type="dxa"/>
        </w:tblCellMar>
      </w:tblPr>
      <w:tblGrid>
        <w:gridCol w:w="38"/>
        <w:gridCol w:w="110"/>
        <w:gridCol w:w="7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Speak externally on behalf of Synaptics unless you are authorized and have approved guidance.</w:t>
            </w:r>
          </w:p>
        </w:tc>
      </w:tr>
    </w:tbl>
    <w:p>
      <w:pPr>
        <w:pStyle w:val="Normal"/>
        <w:bidi w:val="0"/>
        <w:spacing w:before="0" w:after="0"/>
        <w:jc w:val="left"/>
        <w:rPr>
          <w:sz w:val="4"/>
          <w:szCs w:val="4"/>
        </w:rPr>
      </w:pPr>
      <w:r>
        <w:rPr>
          <w:sz w:val="4"/>
          <w:szCs w:val="4"/>
        </w:rPr>
      </w:r>
      <w:bookmarkStart w:id="22" w:name="z4566f16e98ba4bbfb7c85e45e406249b"/>
      <w:bookmarkStart w:id="23" w:name="z4566f16e98ba4bbfb7c85e45e406249b"/>
      <w:bookmarkEnd w:id="2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Share non-public or forward-looking information, including financial details, undisclosed transaction terms or integration plans that have not been finalized.</w:t>
            </w:r>
          </w:p>
        </w:tc>
      </w:tr>
    </w:tbl>
    <w:p>
      <w:pPr>
        <w:pStyle w:val="Normal"/>
        <w:bidi w:val="0"/>
        <w:spacing w:before="0" w:after="0"/>
        <w:jc w:val="left"/>
        <w:rPr>
          <w:sz w:val="4"/>
          <w:szCs w:val="4"/>
        </w:rPr>
      </w:pPr>
      <w:r>
        <w:rPr>
          <w:sz w:val="4"/>
          <w:szCs w:val="4"/>
        </w:rPr>
      </w:r>
      <w:bookmarkStart w:id="24" w:name="z57ca373e6e6641f68272163e5b9fe126"/>
      <w:bookmarkStart w:id="25" w:name="z57ca373e6e6641f68272163e5b9fe126"/>
      <w:bookmarkEnd w:id="25"/>
    </w:p>
    <w:tbl>
      <w:tblPr>
        <w:tblW w:w="9678" w:type="dxa"/>
        <w:jc w:val="left"/>
        <w:tblInd w:w="0" w:type="dxa"/>
        <w:tblLayout w:type="fixed"/>
        <w:tblCellMar>
          <w:top w:w="0" w:type="dxa"/>
          <w:left w:w="0" w:type="dxa"/>
          <w:bottom w:w="0" w:type="dxa"/>
          <w:right w:w="0" w:type="dxa"/>
        </w:tblCellMar>
      </w:tblPr>
      <w:tblGrid>
        <w:gridCol w:w="38"/>
        <w:gridCol w:w="110"/>
        <w:gridCol w:w="95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Reach out to onsemi employees outside the normal course of business unless you are specifically authorized to do so.</w:t>
            </w:r>
          </w:p>
        </w:tc>
      </w:tr>
    </w:tbl>
    <w:p>
      <w:pPr>
        <w:pStyle w:val="Normal"/>
        <w:bidi w:val="0"/>
        <w:spacing w:before="0" w:after="0"/>
        <w:jc w:val="left"/>
        <w:rPr>
          <w:sz w:val="4"/>
          <w:szCs w:val="4"/>
        </w:rPr>
      </w:pPr>
      <w:r>
        <w:rPr>
          <w:sz w:val="4"/>
          <w:szCs w:val="4"/>
        </w:rPr>
      </w:r>
      <w:bookmarkStart w:id="26" w:name="z4f14cc4e0e78435096087fee26fec127"/>
      <w:bookmarkStart w:id="27" w:name="z4f14cc4e0e78435096087fee26fec127"/>
      <w:bookmarkEnd w:id="27"/>
    </w:p>
    <w:tbl>
      <w:tblPr>
        <w:tblW w:w="8028" w:type="dxa"/>
        <w:jc w:val="left"/>
        <w:tblInd w:w="0" w:type="dxa"/>
        <w:tblLayout w:type="fixed"/>
        <w:tblCellMar>
          <w:top w:w="0" w:type="dxa"/>
          <w:left w:w="0" w:type="dxa"/>
          <w:bottom w:w="0" w:type="dxa"/>
          <w:right w:w="0" w:type="dxa"/>
        </w:tblCellMar>
      </w:tblPr>
      <w:tblGrid>
        <w:gridCol w:w="38"/>
        <w:gridCol w:w="110"/>
        <w:gridCol w:w="788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8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Post opinions or commentary on social media or use informal channels to discuss the transaction.</w:t>
            </w:r>
          </w:p>
        </w:tc>
      </w:tr>
    </w:tbl>
    <w:p>
      <w:pPr>
        <w:pStyle w:val="Normal"/>
        <w:bidi w:val="0"/>
        <w:spacing w:before="0" w:after="0"/>
        <w:jc w:val="left"/>
        <w:rPr>
          <w:sz w:val="4"/>
          <w:szCs w:val="4"/>
        </w:rPr>
      </w:pPr>
      <w:r>
        <w:rPr>
          <w:sz w:val="4"/>
          <w:szCs w:val="4"/>
        </w:rPr>
      </w:r>
      <w:bookmarkStart w:id="28" w:name="z1e2b0a0933564855a4c5fadd638b62e4"/>
      <w:bookmarkStart w:id="29" w:name="z1e2b0a0933564855a4c5fadd638b62e4"/>
      <w:bookmarkEnd w:id="29"/>
    </w:p>
    <w:tbl>
      <w:tblPr>
        <w:tblW w:w="6423" w:type="dxa"/>
        <w:jc w:val="left"/>
        <w:tblInd w:w="0" w:type="dxa"/>
        <w:tblLayout w:type="fixed"/>
        <w:tblCellMar>
          <w:top w:w="0" w:type="dxa"/>
          <w:left w:w="0" w:type="dxa"/>
          <w:bottom w:w="0" w:type="dxa"/>
          <w:right w:w="0" w:type="dxa"/>
        </w:tblCellMar>
      </w:tblPr>
      <w:tblGrid>
        <w:gridCol w:w="38"/>
        <w:gridCol w:w="110"/>
        <w:gridCol w:w="627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Pause or slow critical workstreams unless you are explicitly directed to do so.</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u w:val="single"/>
        </w:rPr>
      </w:pPr>
      <w:r>
        <w:rPr>
          <w:rFonts w:ascii="Times New Roman;Times;serif" w:hAnsi="Times New Roman;Times;serif"/>
          <w:b/>
          <w:color w:val="000000"/>
          <w:sz w:val="20"/>
          <w:u w:val="single"/>
        </w:rPr>
        <w:t>FAQs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20cdf1a2d5324ef68b6d381c173c65cf"/>
      <w:bookmarkStart w:id="31" w:name="z20cdf1a2d5324ef68b6d381c173c65cf"/>
      <w:bookmarkEnd w:id="31"/>
    </w:p>
    <w:tbl>
      <w:tblPr>
        <w:tblW w:w="3295" w:type="dxa"/>
        <w:jc w:val="left"/>
        <w:tblInd w:w="0" w:type="dxa"/>
        <w:tblLayout w:type="fixed"/>
        <w:tblCellMar>
          <w:top w:w="0" w:type="dxa"/>
          <w:left w:w="0" w:type="dxa"/>
          <w:bottom w:w="0" w:type="dxa"/>
          <w:right w:w="0" w:type="dxa"/>
        </w:tblCellMar>
      </w:tblPr>
      <w:tblGrid>
        <w:gridCol w:w="185"/>
        <w:gridCol w:w="31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11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What does this mean for employees?</w:t>
            </w:r>
          </w:p>
        </w:tc>
      </w:tr>
    </w:tbl>
    <w:p>
      <w:pPr>
        <w:pStyle w:val="Normal"/>
        <w:bidi w:val="0"/>
        <w:spacing w:before="0" w:after="0"/>
        <w:jc w:val="left"/>
        <w:rPr>
          <w:sz w:val="4"/>
          <w:szCs w:val="4"/>
        </w:rPr>
      </w:pPr>
      <w:r>
        <w:rPr>
          <w:sz w:val="4"/>
          <w:szCs w:val="4"/>
        </w:rPr>
      </w:r>
      <w:bookmarkStart w:id="32" w:name="za6811318aca946c9930cedee86666777"/>
      <w:bookmarkStart w:id="33" w:name="za6811318aca946c9930cedee86666777"/>
      <w:bookmarkEnd w:id="3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Today’s announcement amends the financial terms of the transaction, but the strategic rationale for bringing Synaptics and onsemi together remains the same.</w:t>
            </w:r>
          </w:p>
        </w:tc>
      </w:tr>
    </w:tbl>
    <w:p>
      <w:pPr>
        <w:pStyle w:val="Normal"/>
        <w:bidi w:val="0"/>
        <w:spacing w:before="0" w:after="0"/>
        <w:jc w:val="left"/>
        <w:rPr>
          <w:sz w:val="4"/>
          <w:szCs w:val="4"/>
        </w:rPr>
      </w:pPr>
      <w:r>
        <w:rPr>
          <w:sz w:val="4"/>
          <w:szCs w:val="4"/>
        </w:rPr>
      </w:r>
      <w:bookmarkStart w:id="34" w:name="zb713cf2a8bda4df8af09c8aaebbc0842"/>
      <w:bookmarkStart w:id="35" w:name="zb713cf2a8bda4df8af09c8aaebbc0842"/>
      <w:bookmarkEnd w:id="35"/>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continue to strongly believe in the strategic rationale of the transaction with onsemi, which accelerates Synaptics’ position in Edge AI and Physical AI.</w:t>
            </w:r>
          </w:p>
        </w:tc>
      </w:tr>
    </w:tbl>
    <w:p>
      <w:pPr>
        <w:pStyle w:val="Normal"/>
        <w:bidi w:val="0"/>
        <w:spacing w:before="0" w:after="0"/>
        <w:jc w:val="left"/>
        <w:rPr>
          <w:sz w:val="4"/>
          <w:szCs w:val="4"/>
        </w:rPr>
      </w:pPr>
      <w:r>
        <w:rPr>
          <w:sz w:val="4"/>
          <w:szCs w:val="4"/>
        </w:rPr>
      </w:r>
      <w:bookmarkStart w:id="36" w:name="z8767881b338b49419ca0f1721c57f2c0"/>
      <w:bookmarkStart w:id="37" w:name="z8767881b338b49419ca0f1721c57f2c0"/>
      <w:bookmarkEnd w:id="3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remain on track to complete the transaction by mid-2027, subject to shareholder approval, required regulatory approvals and other customary closing conditions.</w:t>
            </w:r>
          </w:p>
        </w:tc>
      </w:tr>
    </w:tbl>
    <w:p>
      <w:pPr>
        <w:pStyle w:val="Normal"/>
        <w:bidi w:val="0"/>
        <w:spacing w:before="0" w:after="0"/>
        <w:jc w:val="left"/>
        <w:rPr>
          <w:sz w:val="4"/>
          <w:szCs w:val="4"/>
        </w:rPr>
      </w:pPr>
      <w:r>
        <w:rPr>
          <w:sz w:val="4"/>
          <w:szCs w:val="4"/>
        </w:rPr>
      </w:r>
      <w:bookmarkStart w:id="38" w:name="z73849b1d4e4042eb9c849b365e2a1734"/>
      <w:bookmarkStart w:id="39" w:name="z73849b1d4e4042eb9c849b365e2a1734"/>
      <w:bookmarkEnd w:id="39"/>
    </w:p>
    <w:tbl>
      <w:tblPr>
        <w:tblW w:w="9513" w:type="dxa"/>
        <w:jc w:val="left"/>
        <w:tblInd w:w="0" w:type="dxa"/>
        <w:tblLayout w:type="fixed"/>
        <w:tblCellMar>
          <w:top w:w="0" w:type="dxa"/>
          <w:left w:w="0" w:type="dxa"/>
          <w:bottom w:w="0" w:type="dxa"/>
          <w:right w:w="0" w:type="dxa"/>
        </w:tblCellMar>
      </w:tblPr>
      <w:tblGrid>
        <w:gridCol w:w="38"/>
        <w:gridCol w:w="110"/>
        <w:gridCol w:w="936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Until the transaction closes, onsemi and Synaptics will continue to operate as separate and independent companies.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2edecd4664fa4eff846b3cab6fe9f086"/>
      <w:bookmarkStart w:id="41" w:name="z2edecd4664fa4eff846b3cab6fe9f086"/>
      <w:bookmarkEnd w:id="41"/>
    </w:p>
    <w:tbl>
      <w:tblPr>
        <w:tblW w:w="3205" w:type="dxa"/>
        <w:jc w:val="left"/>
        <w:tblInd w:w="0" w:type="dxa"/>
        <w:tblLayout w:type="fixed"/>
        <w:tblCellMar>
          <w:top w:w="0" w:type="dxa"/>
          <w:left w:w="0" w:type="dxa"/>
          <w:bottom w:w="0" w:type="dxa"/>
          <w:right w:w="0" w:type="dxa"/>
        </w:tblCellMar>
      </w:tblPr>
      <w:tblGrid>
        <w:gridCol w:w="185"/>
        <w:gridCol w:w="302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302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Why did onsemi amend their offer?</w:t>
            </w:r>
          </w:p>
        </w:tc>
      </w:tr>
    </w:tbl>
    <w:p>
      <w:pPr>
        <w:pStyle w:val="Normal"/>
        <w:bidi w:val="0"/>
        <w:spacing w:before="0" w:after="0"/>
        <w:jc w:val="left"/>
        <w:rPr>
          <w:sz w:val="4"/>
          <w:szCs w:val="4"/>
        </w:rPr>
      </w:pPr>
      <w:r>
        <w:rPr>
          <w:sz w:val="4"/>
          <w:szCs w:val="4"/>
        </w:rPr>
      </w:r>
      <w:bookmarkStart w:id="42" w:name="z28e2690844384906b527a3ce58ade8ba"/>
      <w:bookmarkStart w:id="43" w:name="z28e2690844384906b527a3ce58ade8ba"/>
      <w:bookmarkEnd w:id="4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entered our agreement with onsemi back in June, confident in the transaction’s reflection of the strength of our business model, our technology portfolio and our leadership position in intelligent edge processing and wireless connectivity.</w:t>
            </w:r>
          </w:p>
        </w:tc>
      </w:tr>
    </w:tbl>
    <w:p>
      <w:pPr>
        <w:pStyle w:val="Normal"/>
        <w:bidi w:val="0"/>
        <w:spacing w:before="0" w:after="0"/>
        <w:jc w:val="left"/>
        <w:rPr>
          <w:sz w:val="4"/>
          <w:szCs w:val="4"/>
        </w:rPr>
      </w:pPr>
      <w:r>
        <w:rPr>
          <w:sz w:val="4"/>
          <w:szCs w:val="4"/>
        </w:rPr>
      </w:r>
      <w:bookmarkStart w:id="44" w:name="z766990a1fbe1411080503af48aa3c2a8"/>
      <w:bookmarkStart w:id="45" w:name="z766990a1fbe1411080503af48aa3c2a8"/>
      <w:bookmarkEnd w:id="45"/>
    </w:p>
    <w:tbl>
      <w:tblPr>
        <w:tblW w:w="9918" w:type="dxa"/>
        <w:jc w:val="left"/>
        <w:tblInd w:w="0" w:type="dxa"/>
        <w:tblLayout w:type="fixed"/>
        <w:tblCellMar>
          <w:top w:w="0" w:type="dxa"/>
          <w:left w:w="0" w:type="dxa"/>
          <w:bottom w:w="0" w:type="dxa"/>
          <w:right w:w="0" w:type="dxa"/>
        </w:tblCellMar>
      </w:tblPr>
      <w:tblGrid>
        <w:gridCol w:w="38"/>
        <w:gridCol w:w="110"/>
        <w:gridCol w:w="97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7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revised offer was negotiated following Synaptics’ receipt of an unsolicited, non-binding proposal from a third party.</w:t>
            </w:r>
          </w:p>
        </w:tc>
      </w:tr>
    </w:tbl>
    <w:p>
      <w:pPr>
        <w:pStyle w:val="Normal"/>
        <w:bidi w:val="0"/>
        <w:spacing w:before="0" w:after="0"/>
        <w:jc w:val="left"/>
        <w:rPr>
          <w:sz w:val="4"/>
          <w:szCs w:val="4"/>
        </w:rPr>
      </w:pPr>
      <w:r>
        <w:rPr>
          <w:sz w:val="4"/>
          <w:szCs w:val="4"/>
        </w:rPr>
      </w:r>
      <w:bookmarkStart w:id="46" w:name="z03effa3c7dcc431eb61436aa0d8d6f8c"/>
      <w:bookmarkStart w:id="47" w:name="z03effa3c7dcc431eb61436aa0d8d6f8c"/>
      <w:bookmarkEnd w:id="47"/>
    </w:p>
    <w:tbl>
      <w:tblPr>
        <w:tblW w:w="10205" w:type="dxa"/>
        <w:jc w:val="left"/>
        <w:tblInd w:w="0" w:type="dxa"/>
        <w:tblLayout w:type="fixed"/>
        <w:tblCellMar>
          <w:top w:w="0" w:type="dxa"/>
          <w:left w:w="0" w:type="dxa"/>
          <w:bottom w:w="0" w:type="dxa"/>
          <w:right w:w="0" w:type="dxa"/>
        </w:tblCellMar>
      </w:tblPr>
      <w:tblGrid>
        <w:gridCol w:w="23"/>
        <w:gridCol w:w="110"/>
        <w:gridCol w:w="10072"/>
      </w:tblGrid>
      <w:tr>
        <w:trPr/>
        <w:tc>
          <w:tcPr>
            <w:tcW w:w="23"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7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Synaptics Board carefully evaluated that proposal with its financial and legal advisors and concluded that the onsemi transaction, as amended, continues to be in the best interests of Synaptics and its shareholders.</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8" w:name="zef7a19ee2c6c4af69df91f87996cd093"/>
      <w:bookmarkStart w:id="49" w:name="zef7a19ee2c6c4af69df91f87996cd093"/>
      <w:bookmarkEnd w:id="49"/>
    </w:p>
    <w:tbl>
      <w:tblPr>
        <w:tblW w:w="9288" w:type="dxa"/>
        <w:jc w:val="left"/>
        <w:tblInd w:w="0" w:type="dxa"/>
        <w:tblLayout w:type="fixed"/>
        <w:tblCellMar>
          <w:top w:w="0" w:type="dxa"/>
          <w:left w:w="0" w:type="dxa"/>
          <w:bottom w:w="0" w:type="dxa"/>
          <w:right w:w="0" w:type="dxa"/>
        </w:tblCellMar>
      </w:tblPr>
      <w:tblGrid>
        <w:gridCol w:w="38"/>
        <w:gridCol w:w="110"/>
        <w:gridCol w:w="914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91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believe the revised offer reflects onsemi's continued conviction in our business, our products and our people.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c895596872694d8e8acf6065da8c7ce7"/>
      <w:bookmarkStart w:id="51" w:name="zc895596872694d8e8acf6065da8c7ce7"/>
      <w:bookmarkEnd w:id="51"/>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0029"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What does it mean to switch from all-stock to all-cash? What will happen to the stock that I own? Will I own any shares of the combined company?</w:t>
            </w:r>
          </w:p>
        </w:tc>
      </w:tr>
    </w:tbl>
    <w:p>
      <w:pPr>
        <w:pStyle w:val="Normal"/>
        <w:bidi w:val="0"/>
        <w:spacing w:before="0" w:after="0"/>
        <w:jc w:val="left"/>
        <w:rPr>
          <w:sz w:val="4"/>
          <w:szCs w:val="4"/>
        </w:rPr>
      </w:pPr>
      <w:r>
        <w:rPr>
          <w:sz w:val="4"/>
          <w:szCs w:val="4"/>
        </w:rPr>
      </w:r>
      <w:bookmarkStart w:id="52" w:name="z9c2786f089b64d27a2f89dc57674b2f5"/>
      <w:bookmarkStart w:id="53" w:name="z9c2786f089b64d27a2f89dc57674b2f5"/>
      <w:bookmarkEnd w:id="53"/>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Under the amended agreement, Synaptics shareholders will receive $123 in cash for each share of Synaptics common stock held at closing as opposed to shares in onsemi stock.</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4" w:name="z92364177f34e4484a73657a6600372f0"/>
      <w:bookmarkStart w:id="55" w:name="z92364177f34e4484a73657a6600372f0"/>
      <w:bookmarkEnd w:id="55"/>
    </w:p>
    <w:tbl>
      <w:tblPr>
        <w:tblW w:w="7060" w:type="dxa"/>
        <w:jc w:val="left"/>
        <w:tblInd w:w="0" w:type="dxa"/>
        <w:tblLayout w:type="fixed"/>
        <w:tblCellMar>
          <w:top w:w="0" w:type="dxa"/>
          <w:left w:w="0" w:type="dxa"/>
          <w:bottom w:w="0" w:type="dxa"/>
          <w:right w:w="0" w:type="dxa"/>
        </w:tblCellMar>
      </w:tblPr>
      <w:tblGrid>
        <w:gridCol w:w="185"/>
        <w:gridCol w:w="687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687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What happens to my unvested shares of Synaptics stock given the deal is all-cash?</w:t>
            </w:r>
          </w:p>
        </w:tc>
      </w:tr>
    </w:tbl>
    <w:p>
      <w:pPr>
        <w:pStyle w:val="Normal"/>
        <w:bidi w:val="0"/>
        <w:spacing w:before="0" w:after="0"/>
        <w:jc w:val="left"/>
        <w:rPr>
          <w:sz w:val="4"/>
          <w:szCs w:val="4"/>
        </w:rPr>
      </w:pPr>
      <w:r>
        <w:rPr>
          <w:sz w:val="4"/>
          <w:szCs w:val="4"/>
        </w:rPr>
      </w:r>
      <w:bookmarkStart w:id="56" w:name="z068bc1a3cfbc4429acc270266eac2d61"/>
      <w:bookmarkStart w:id="57" w:name="z068bc1a3cfbc4429acc270266eac2d61"/>
      <w:bookmarkEnd w:id="5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If you have unvested RSUs, at closing, they will be converted into RSUs of onsemi common stock based on a conversion ratio multiplied by the number of Synaptics shares subject to your unvested award.</w:t>
            </w:r>
          </w:p>
        </w:tc>
      </w:tr>
    </w:tbl>
    <w:p>
      <w:pPr>
        <w:pStyle w:val="Normal"/>
        <w:bidi w:val="0"/>
        <w:spacing w:before="0" w:after="0"/>
        <w:jc w:val="left"/>
        <w:rPr>
          <w:sz w:val="4"/>
          <w:szCs w:val="4"/>
        </w:rPr>
      </w:pPr>
      <w:r>
        <w:rPr>
          <w:sz w:val="4"/>
          <w:szCs w:val="4"/>
        </w:rPr>
      </w:r>
      <w:bookmarkStart w:id="58" w:name="z4e8fda9d42f044e6a0f8419b98a028be"/>
      <w:bookmarkStart w:id="59" w:name="z4e8fda9d42f044e6a0f8419b98a028be"/>
      <w:bookmarkEnd w:id="5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conversion ratio is the $123 per share merger consideration mentioned above divided by the average of the volume weighted average trading prices per share of onsemi common stock on each of the five consecutive trading days ending on (and including) the trading day that is three trading days prior to the closing of the transaction.</w:t>
            </w:r>
          </w:p>
        </w:tc>
      </w:tr>
    </w:tbl>
    <w:p>
      <w:pPr>
        <w:pStyle w:val="Normal"/>
        <w:bidi w:val="0"/>
        <w:spacing w:before="0" w:after="0"/>
        <w:jc w:val="left"/>
        <w:rPr>
          <w:sz w:val="4"/>
          <w:szCs w:val="4"/>
        </w:rPr>
      </w:pPr>
      <w:r>
        <w:rPr>
          <w:sz w:val="4"/>
          <w:szCs w:val="4"/>
        </w:rPr>
      </w:r>
      <w:bookmarkStart w:id="60" w:name="z1fa9caf0bbc9417ea1fb4c5b14867384"/>
      <w:bookmarkStart w:id="61" w:name="z1fa9caf0bbc9417ea1fb4c5b14867384"/>
      <w:bookmarkEnd w:id="61"/>
    </w:p>
    <w:tbl>
      <w:tblPr>
        <w:tblW w:w="7953" w:type="dxa"/>
        <w:jc w:val="left"/>
        <w:tblInd w:w="0" w:type="dxa"/>
        <w:tblLayout w:type="fixed"/>
        <w:tblCellMar>
          <w:top w:w="0" w:type="dxa"/>
          <w:left w:w="0" w:type="dxa"/>
          <w:bottom w:w="0" w:type="dxa"/>
          <w:right w:w="0" w:type="dxa"/>
        </w:tblCellMar>
      </w:tblPr>
      <w:tblGrid>
        <w:gridCol w:w="38"/>
        <w:gridCol w:w="110"/>
        <w:gridCol w:w="780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0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Following conversion, the awards will continue to vest based on their original vesting schedule.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2" w:name="z470052f0326f4d8ea842c887cee057d9"/>
      <w:bookmarkStart w:id="63" w:name="z470052f0326f4d8ea842c887cee057d9"/>
      <w:bookmarkEnd w:id="63"/>
    </w:p>
    <w:tbl>
      <w:tblPr>
        <w:tblW w:w="4720" w:type="dxa"/>
        <w:jc w:val="left"/>
        <w:tblInd w:w="0" w:type="dxa"/>
        <w:tblLayout w:type="fixed"/>
        <w:tblCellMar>
          <w:top w:w="0" w:type="dxa"/>
          <w:left w:w="0" w:type="dxa"/>
          <w:bottom w:w="0" w:type="dxa"/>
          <w:right w:w="0" w:type="dxa"/>
        </w:tblCellMar>
      </w:tblPr>
      <w:tblGrid>
        <w:gridCol w:w="185"/>
        <w:gridCol w:w="453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453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What happens to my Employee Stock Purchase Plan?</w:t>
            </w:r>
          </w:p>
        </w:tc>
      </w:tr>
    </w:tbl>
    <w:p>
      <w:pPr>
        <w:pStyle w:val="Normal"/>
        <w:bidi w:val="0"/>
        <w:spacing w:before="0" w:after="0"/>
        <w:jc w:val="left"/>
        <w:rPr>
          <w:sz w:val="4"/>
          <w:szCs w:val="4"/>
        </w:rPr>
      </w:pPr>
      <w:r>
        <w:rPr>
          <w:sz w:val="4"/>
          <w:szCs w:val="4"/>
        </w:rPr>
      </w:r>
      <w:bookmarkStart w:id="64" w:name="zd3824e23ae7246b0b6d6bd790182e563"/>
      <w:bookmarkStart w:id="65" w:name="zd3824e23ae7246b0b6d6bd790182e563"/>
      <w:bookmarkEnd w:id="65"/>
    </w:p>
    <w:tbl>
      <w:tblPr>
        <w:tblW w:w="7608" w:type="dxa"/>
        <w:jc w:val="left"/>
        <w:tblInd w:w="0" w:type="dxa"/>
        <w:tblLayout w:type="fixed"/>
        <w:tblCellMar>
          <w:top w:w="0" w:type="dxa"/>
          <w:left w:w="0" w:type="dxa"/>
          <w:bottom w:w="0" w:type="dxa"/>
          <w:right w:w="0" w:type="dxa"/>
        </w:tblCellMar>
      </w:tblPr>
      <w:tblGrid>
        <w:gridCol w:w="38"/>
        <w:gridCol w:w="110"/>
        <w:gridCol w:w="746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46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current ESPP offering period will be the final offering period under the Synaptics ESPP.</w:t>
            </w:r>
          </w:p>
        </w:tc>
      </w:tr>
    </w:tbl>
    <w:p>
      <w:pPr>
        <w:pStyle w:val="Normal"/>
        <w:bidi w:val="0"/>
        <w:spacing w:before="0" w:after="0"/>
        <w:jc w:val="left"/>
        <w:rPr>
          <w:sz w:val="4"/>
          <w:szCs w:val="4"/>
        </w:rPr>
      </w:pPr>
      <w:r>
        <w:rPr>
          <w:sz w:val="4"/>
          <w:szCs w:val="4"/>
        </w:rPr>
      </w:r>
      <w:bookmarkStart w:id="66" w:name="z3d180fb6d779410bb9c3613eb2f9c4fa"/>
      <w:bookmarkStart w:id="67" w:name="z3d180fb6d779410bb9c3613eb2f9c4fa"/>
      <w:bookmarkEnd w:id="67"/>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Following the close of the transaction, employees may be given the option to enroll in onsemi's ESPP subject to the terms and eligibility requirements of that plan.</w:t>
            </w:r>
          </w:p>
        </w:tc>
      </w:tr>
    </w:tbl>
    <w:p>
      <w:pPr>
        <w:pStyle w:val="Normal"/>
        <w:bidi w:val="0"/>
        <w:spacing w:before="0" w:after="0"/>
        <w:jc w:val="left"/>
        <w:rPr>
          <w:sz w:val="4"/>
          <w:szCs w:val="4"/>
        </w:rPr>
      </w:pPr>
      <w:r>
        <w:rPr>
          <w:sz w:val="4"/>
          <w:szCs w:val="4"/>
        </w:rPr>
      </w:r>
      <w:bookmarkStart w:id="68" w:name="zc5ad3b2004e040faad403e5d67aab667"/>
      <w:bookmarkStart w:id="69" w:name="zc5ad3b2004e040faad403e5d67aab667"/>
      <w:bookmarkEnd w:id="69"/>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Additional details (e.g., enrollment windows, discount rate, plan terms) for eligible employees will be communicated as appropriate following close.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0" w:name="z8bf8cfdf71024cadba4661e62260ff24"/>
      <w:bookmarkStart w:id="71" w:name="z8bf8cfdf71024cadba4661e62260ff24"/>
      <w:bookmarkEnd w:id="71"/>
    </w:p>
    <w:tbl>
      <w:tblPr>
        <w:tblW w:w="4645" w:type="dxa"/>
        <w:jc w:val="left"/>
        <w:tblInd w:w="0" w:type="dxa"/>
        <w:tblLayout w:type="fixed"/>
        <w:tblCellMar>
          <w:top w:w="0" w:type="dxa"/>
          <w:left w:w="0" w:type="dxa"/>
          <w:bottom w:w="0" w:type="dxa"/>
          <w:right w:w="0" w:type="dxa"/>
        </w:tblCellMar>
      </w:tblPr>
      <w:tblGrid>
        <w:gridCol w:w="185"/>
        <w:gridCol w:w="446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446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Where can I get updates and find more information?</w:t>
            </w:r>
          </w:p>
        </w:tc>
      </w:tr>
    </w:tbl>
    <w:p>
      <w:pPr>
        <w:pStyle w:val="Normal"/>
        <w:bidi w:val="0"/>
        <w:spacing w:before="0" w:after="0"/>
        <w:jc w:val="left"/>
        <w:rPr>
          <w:sz w:val="4"/>
          <w:szCs w:val="4"/>
        </w:rPr>
      </w:pPr>
      <w:r>
        <w:rPr>
          <w:sz w:val="4"/>
          <w:szCs w:val="4"/>
        </w:rPr>
      </w:r>
      <w:bookmarkStart w:id="72" w:name="z487364f6a8fd43dfac07c8473a205b59"/>
      <w:bookmarkStart w:id="73" w:name="z487364f6a8fd43dfac07c8473a205b59"/>
      <w:bookmarkEnd w:id="73"/>
    </w:p>
    <w:tbl>
      <w:tblPr>
        <w:tblW w:w="6558" w:type="dxa"/>
        <w:jc w:val="left"/>
        <w:tblInd w:w="0" w:type="dxa"/>
        <w:tblLayout w:type="fixed"/>
        <w:tblCellMar>
          <w:top w:w="0" w:type="dxa"/>
          <w:left w:w="0" w:type="dxa"/>
          <w:bottom w:w="0" w:type="dxa"/>
          <w:right w:w="0" w:type="dxa"/>
        </w:tblCellMar>
      </w:tblPr>
      <w:tblGrid>
        <w:gridCol w:w="38"/>
        <w:gridCol w:w="110"/>
        <w:gridCol w:w="641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have established a dedicated page covering the transaction on our intranet.</w:t>
            </w:r>
          </w:p>
        </w:tc>
      </w:tr>
    </w:tbl>
    <w:p>
      <w:pPr>
        <w:pStyle w:val="Normal"/>
        <w:bidi w:val="0"/>
        <w:spacing w:before="0" w:after="0"/>
        <w:jc w:val="left"/>
        <w:rPr>
          <w:sz w:val="4"/>
          <w:szCs w:val="4"/>
        </w:rPr>
      </w:pPr>
      <w:r>
        <w:rPr>
          <w:sz w:val="4"/>
          <w:szCs w:val="4"/>
        </w:rPr>
      </w:r>
      <w:bookmarkStart w:id="74" w:name="z6a410ab58802489798f7561a1ad4f286"/>
      <w:bookmarkStart w:id="75" w:name="z6a410ab58802489798f7561a1ad4f286"/>
      <w:bookmarkEnd w:id="75"/>
    </w:p>
    <w:tbl>
      <w:tblPr>
        <w:tblW w:w="8043" w:type="dxa"/>
        <w:jc w:val="left"/>
        <w:tblInd w:w="0" w:type="dxa"/>
        <w:tblLayout w:type="fixed"/>
        <w:tblCellMar>
          <w:top w:w="0" w:type="dxa"/>
          <w:left w:w="0" w:type="dxa"/>
          <w:bottom w:w="0" w:type="dxa"/>
          <w:right w:w="0" w:type="dxa"/>
        </w:tblCellMar>
      </w:tblPr>
      <w:tblGrid>
        <w:gridCol w:w="38"/>
        <w:gridCol w:w="110"/>
        <w:gridCol w:w="789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78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As always, we encourage you to talk with your Functional SET Leader if you have any questions.</w:t>
            </w:r>
          </w:p>
        </w:tc>
      </w:tr>
    </w:tbl>
    <w:p>
      <w:pPr>
        <w:pStyle w:val="Normal"/>
        <w:bidi w:val="0"/>
        <w:spacing w:before="0" w:after="0"/>
        <w:jc w:val="left"/>
        <w:rPr>
          <w:sz w:val="4"/>
          <w:szCs w:val="4"/>
        </w:rPr>
      </w:pPr>
      <w:r>
        <w:rPr>
          <w:sz w:val="4"/>
          <w:szCs w:val="4"/>
        </w:rPr>
      </w:r>
      <w:bookmarkStart w:id="76" w:name="z23a3164a17bf4aa0bf6bdffb82603337"/>
      <w:bookmarkStart w:id="77" w:name="z23a3164a17bf4aa0bf6bdffb82603337"/>
      <w:bookmarkEnd w:id="77"/>
    </w:p>
    <w:tbl>
      <w:tblPr>
        <w:tblW w:w="6018" w:type="dxa"/>
        <w:jc w:val="left"/>
        <w:tblInd w:w="0" w:type="dxa"/>
        <w:tblLayout w:type="fixed"/>
        <w:tblCellMar>
          <w:top w:w="0" w:type="dxa"/>
          <w:left w:w="0" w:type="dxa"/>
          <w:bottom w:w="0" w:type="dxa"/>
          <w:right w:w="0" w:type="dxa"/>
        </w:tblCellMar>
      </w:tblPr>
      <w:tblGrid>
        <w:gridCol w:w="38"/>
        <w:gridCol w:w="110"/>
        <w:gridCol w:w="587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8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We will keep you informed and provide relevant updates as appropriate.</w:t>
            </w:r>
          </w:p>
        </w:tc>
      </w:tr>
    </w:tbl>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Cautionary Note Regarding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current expectations, estimates and projections about the expected date of closing of the proposed transaction and the potential benefits thereof, its business and industry, management’s beliefs and certain assumptions made by Synaptics,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These forward-looking statements involve known and unknown risks and uncertainties, which may cause Synaptics’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including restrictions during the pendency of the transaction that may impact the ability to pursue certain business opportunities or strategic transactions; (5) the ability of Synaptics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legislative, regulatory and economic developments; and (10) unpredictability and severity of catastrophic events, including, but not limited to, acts of terrorism or outbreak of war or hostilities, as well as Synaptics’ response to any of the aforementioned factors. These risks, as well as other risks associated with the proposed transaction, will be more fully discussed in the proxy statement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27, 2026, and its quarterly reports filed on Form 10-Q for the current fiscal year. Forward-looking statements are not guarantees of performance, and speak only as of the date made, and neither Synaptics nor its management undertakes any obligation to update or revise any forward-looking statements.</w:t>
      </w:r>
    </w:p>
    <w:p>
      <w:pPr>
        <w:pStyle w:val="TextBody"/>
        <w:bidi w:val="0"/>
        <w:spacing w:before="0" w:after="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Important Additional Information about the Transaction and Where To Find It</w:t>
      </w:r>
    </w:p>
    <w:p>
      <w:pPr>
        <w:pStyle w:val="TextBody"/>
        <w:bidi w:val="0"/>
        <w:spacing w:before="0" w:after="0"/>
        <w:jc w:val="left"/>
        <w:rPr/>
      </w:pPr>
      <w:r>
        <w:rPr/>
      </w:r>
    </w:p>
    <w:p>
      <w:pPr>
        <w:pStyle w:val="TextBody"/>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proposed transaction will be submitted to the stockholders of Synaptics for their consideration. In connection with the proposed transaction, Synaptics will file with the SEC a preliminary proxy statement on Schedule 14A. Promptly after filing its definitive proxy statement with the SEC, Synaptics will send the definitive proxy statement to each stockholder entitled to vote at the special meeting relating to the transaction. Synaptics also plans to file other documents with the SEC regarding the proposed transaction. This document is not a substitute for the proxy statement or any other document which Synaptics may file with the SEC in connection with the proposed transaction. INVESTORS AND SECURITY HOLDERS ARE URGED TO READ THE PROXY STATEMENT AND ANY OTHER RELEVANT DOCUMENTS THAT WILL BE FILED WITH THE SEC CAREFULLY AND IN THEIR ENTIRETY WHEN THEY BECOME AVAILABLE BECAUSE THEY WILL CONTAIN IMPORTANT INFORMATION ABOUT THE PROPOSED TRANSACTION. You may obtain copies of all documents filed with the SEC regarding this transaction, free of charge, at the SEC’s website (www.sec.gov). In addition, investors and stockholders will be able to obtain free copies of the definitive proxy statement, preliminary proxy statement and other documents filed with the SEC by Synaptics on Synaptics Investor Relations at https://investor.synaptics.com/.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Participants in the Solicitation</w:t>
      </w:r>
    </w:p>
    <w:p>
      <w:pPr>
        <w:pStyle w:val="TextBody"/>
        <w:bidi w:val="0"/>
        <w:spacing w:before="0" w:after="0"/>
        <w:jc w:val="left"/>
        <w:rPr/>
      </w:pPr>
      <w:r>
        <w:rPr/>
      </w:r>
    </w:p>
    <w:p>
      <w:pPr>
        <w:pStyle w:val="TextBody"/>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Pay-Ratio Disclosure,” “Pay Versus Performance Disclosure” and “Beneficial Ownership of Certain Stockholders” in its definitive proxy statement filed with the SEC on September 15, 2026.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Times;serif" w:hAnsi="Times New Roman;Times;serif"/>
          <w:color w:val="000000"/>
          <w:sz w:val="20"/>
          <w:u w:val="single"/>
        </w:rPr>
        <w:t>https://www.sec.gov/edgar/browse/?CIK=817720&amp;owner=exclude</w:t>
      </w:r>
      <w:r>
        <w:rPr>
          <w:rFonts w:ascii="Times New Roman;Times;serif" w:hAnsi="Times New Roman;Times;serif"/>
          <w:color w:val="000000"/>
          <w:sz w:val="20"/>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April 2, 2026.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https://www.sec.gov/edgar/browse/?CIK=1097864&amp;owner=exclude under the tab “Ownership Disclosures”. Additional information about Synaptics’ executive officers and directors and onsemi’s executive officers and directors can be found in the above-referenced proxy statement when it becomes available.</w:t>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TextBody"/>
        <w:bidi w:val="0"/>
        <w:spacing w:before="0" w:after="0"/>
        <w:jc w:val="left"/>
        <w:rPr>
          <w:rFonts w:ascii="Times New Roman;Times;serif" w:hAnsi="Times New Roman;Times;serif"/>
          <w:sz w:val="20"/>
        </w:rPr>
      </w:pPr>
      <w:r>
        <w:rPr>
          <w:rFonts w:ascii="Times New Roman;Times;serif" w:hAnsi="Times New Roman;Times;serif"/>
          <w:sz w:val="20"/>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17720/000081772026000075/syna-20260915.htm" TargetMode="External"/><Relationship Id="rId3" Type="http://schemas.openxmlformats.org/officeDocument/2006/relationships/hyperlink" Target="https://www.sec.gov/ix?doc=/Archives/edgar/data/1097864/000109786426000010/on-2026040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71030</Words>
  <Characters>385418</Characters>
  <CharactersWithSpaces>456712</CharactersWithSpaces>
  <Paragraphs>2121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