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w:t>
      </w:r>
    </w:p>
    <w:p>
      <w:pPr>
        <w:spacing w:after="0" w:line="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0"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______________________________________________________________________________________________________</w:t>
      </w:r>
    </w:p>
    <w:p>
      <w:pPr>
        <w:spacing w:after="0" w:line="131" w:lineRule="exact"/>
        <w:rPr>
          <w:sz w:val="24"/>
          <w:szCs w:val="24"/>
          <w:color w:val="auto"/>
        </w:rPr>
      </w:pPr>
    </w:p>
    <w:p>
      <w:pPr>
        <w:ind w:left="360" w:right="260" w:hanging="334"/>
        <w:spacing w:after="0" w:line="262" w:lineRule="auto"/>
        <w:tabs>
          <w:tab w:leader="none" w:pos="3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28, 2024</w:t>
      </w:r>
    </w:p>
    <w:p>
      <w:pPr>
        <w:spacing w:after="0" w:line="108" w:lineRule="exact"/>
        <w:rPr>
          <w:sz w:val="24"/>
          <w:szCs w:val="24"/>
          <w:color w:val="auto"/>
        </w:rPr>
      </w:pPr>
    </w:p>
    <w:p>
      <w:pPr>
        <w:ind w:left="360" w:right="240" w:hanging="334"/>
        <w:spacing w:after="0" w:line="262" w:lineRule="auto"/>
        <w:tabs>
          <w:tab w:leader="none" w:pos="3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120"/>
          </w:cols>
          <w:pgMar w:left="320" w:top="229" w:right="459" w:bottom="1440" w:gutter="0" w:footer="0" w:header="0"/>
        </w:sectPr>
      </w:pPr>
    </w:p>
    <w:p>
      <w:pPr>
        <w:spacing w:after="0" w:line="10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126" w:lineRule="exact"/>
        <w:rPr>
          <w:sz w:val="24"/>
          <w:szCs w:val="24"/>
          <w:color w:val="auto"/>
        </w:rPr>
      </w:pPr>
    </w:p>
    <w:p>
      <w:pPr>
        <w:sectPr>
          <w:pgSz w:w="11900" w:h="16838" w:orient="portrait"/>
          <w:cols w:equalWidth="0" w:num="3">
            <w:col w:w="6020" w:space="660"/>
            <w:col w:w="160" w:space="680"/>
            <w:col w:w="3600"/>
          </w:cols>
          <w:pgMar w:left="320" w:top="229"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000-49602</w:t>
      </w:r>
    </w:p>
    <w:p>
      <w:pPr>
        <w:spacing w:after="0" w:line="11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8"/>
          <w:szCs w:val="8"/>
          <w:color w:val="auto"/>
        </w:rPr>
        <w:t>______________________________________________________________________________________________________</w:t>
      </w:r>
    </w:p>
    <w:p>
      <w:pPr>
        <w:sectPr>
          <w:pgSz w:w="11900" w:h="16838" w:orient="portrait"/>
          <w:cols w:equalWidth="0" w:num="1">
            <w:col w:w="11120"/>
          </w:cols>
          <w:pgMar w:left="320" w:top="229" w:right="459" w:bottom="1440" w:gutter="0" w:footer="0" w:header="0"/>
          <w:type w:val="continuous"/>
        </w:sectPr>
      </w:pPr>
    </w:p>
    <w:p>
      <w:pPr>
        <w:spacing w:after="0" w:line="66" w:lineRule="exact"/>
        <w:rPr>
          <w:sz w:val="24"/>
          <w:szCs w:val="24"/>
          <w:color w:val="auto"/>
        </w:rPr>
      </w:pPr>
    </w:p>
    <w:tbl>
      <w:tblPr>
        <w:tblLayout w:type="fixed"/>
        <w:tblInd w:w="940" w:type="dxa"/>
        <w:tblCellMar>
          <w:top w:w="0" w:type="dxa"/>
          <w:left w:w="0" w:type="dxa"/>
          <w:bottom w:w="0" w:type="dxa"/>
          <w:right w:w="0" w:type="dxa"/>
        </w:tblCellMar>
      </w:tblPr>
      <w:tr>
        <w:trPr>
          <w:trHeight w:val="490"/>
        </w:trPr>
        <w:tc>
          <w:tcPr>
            <w:tcW w:w="1880" w:type="dxa"/>
            <w:vAlign w:val="bottom"/>
          </w:tcPr>
          <w:p>
            <w:pPr>
              <w:spacing w:after="0"/>
              <w:rPr>
                <w:sz w:val="24"/>
                <w:szCs w:val="24"/>
                <w:color w:val="auto"/>
              </w:rPr>
            </w:pPr>
          </w:p>
        </w:tc>
        <w:tc>
          <w:tcPr>
            <w:tcW w:w="7100" w:type="dxa"/>
            <w:vAlign w:val="bottom"/>
          </w:tcPr>
          <w:p>
            <w:pPr>
              <w:jc w:val="center"/>
              <w:ind w:right="1415"/>
              <w:spacing w:after="0"/>
              <w:rPr>
                <w:sz w:val="20"/>
                <w:szCs w:val="20"/>
                <w:color w:val="auto"/>
              </w:rPr>
            </w:pPr>
            <w:r>
              <w:rPr>
                <w:rFonts w:ascii="Times New Roman" w:cs="Times New Roman" w:eastAsia="Times New Roman" w:hAnsi="Times New Roman"/>
                <w:sz w:val="40"/>
                <w:szCs w:val="40"/>
                <w:b w:val="1"/>
                <w:bCs w:val="1"/>
                <w:color w:val="auto"/>
                <w:w w:val="98"/>
              </w:rPr>
              <w:t>SYNAPTICS INCORPORATED</w:t>
            </w:r>
          </w:p>
        </w:tc>
      </w:tr>
      <w:tr>
        <w:trPr>
          <w:trHeight w:val="229"/>
        </w:trPr>
        <w:tc>
          <w:tcPr>
            <w:tcW w:w="1880" w:type="dxa"/>
            <w:vAlign w:val="bottom"/>
          </w:tcPr>
          <w:p>
            <w:pPr>
              <w:spacing w:after="0"/>
              <w:rPr>
                <w:sz w:val="19"/>
                <w:szCs w:val="19"/>
                <w:color w:val="auto"/>
              </w:rPr>
            </w:pPr>
          </w:p>
        </w:tc>
        <w:tc>
          <w:tcPr>
            <w:tcW w:w="7100" w:type="dxa"/>
            <w:vAlign w:val="bottom"/>
          </w:tcPr>
          <w:p>
            <w:pPr>
              <w:jc w:val="center"/>
              <w:ind w:right="1395"/>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116"/>
        </w:trPr>
        <w:tc>
          <w:tcPr>
            <w:tcW w:w="1880" w:type="dxa"/>
            <w:vAlign w:val="bottom"/>
          </w:tcPr>
          <w:p>
            <w:pPr>
              <w:spacing w:after="0"/>
              <w:rPr>
                <w:sz w:val="10"/>
                <w:szCs w:val="10"/>
                <w:color w:val="auto"/>
              </w:rPr>
            </w:pPr>
          </w:p>
        </w:tc>
        <w:tc>
          <w:tcPr>
            <w:tcW w:w="7100" w:type="dxa"/>
            <w:vAlign w:val="bottom"/>
          </w:tcPr>
          <w:p>
            <w:pPr>
              <w:jc w:val="center"/>
              <w:ind w:right="1395"/>
              <w:spacing w:after="0"/>
              <w:rPr>
                <w:sz w:val="20"/>
                <w:szCs w:val="20"/>
                <w:color w:val="auto"/>
              </w:rPr>
            </w:pPr>
            <w:r>
              <w:rPr>
                <w:rFonts w:ascii="Times New Roman" w:cs="Times New Roman" w:eastAsia="Times New Roman" w:hAnsi="Times New Roman"/>
                <w:sz w:val="9"/>
                <w:szCs w:val="9"/>
                <w:color w:val="auto"/>
                <w:w w:val="99"/>
              </w:rPr>
              <w:t>______________________________________________________________________________________________________</w:t>
            </w:r>
          </w:p>
        </w:tc>
      </w:tr>
      <w:tr>
        <w:trPr>
          <w:trHeight w:val="366"/>
        </w:trPr>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00" w:type="dxa"/>
            <w:vAlign w:val="bottom"/>
          </w:tcPr>
          <w:p>
            <w:pPr>
              <w:jc w:val="center"/>
              <w:ind w:left="5915"/>
              <w:spacing w:after="0"/>
              <w:rPr>
                <w:sz w:val="20"/>
                <w:szCs w:val="20"/>
                <w:color w:val="auto"/>
              </w:rPr>
            </w:pPr>
            <w:r>
              <w:rPr>
                <w:rFonts w:ascii="Times New Roman" w:cs="Times New Roman" w:eastAsia="Times New Roman" w:hAnsi="Times New Roman"/>
                <w:sz w:val="18"/>
                <w:szCs w:val="18"/>
                <w:b w:val="1"/>
                <w:bCs w:val="1"/>
                <w:color w:val="auto"/>
                <w:w w:val="98"/>
              </w:rPr>
              <w:t>77-0118518</w:t>
            </w:r>
          </w:p>
        </w:tc>
      </w:tr>
      <w:tr>
        <w:trPr>
          <w:trHeight w:val="205"/>
        </w:trPr>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100" w:type="dxa"/>
            <w:vAlign w:val="bottom"/>
          </w:tcPr>
          <w:p>
            <w:pPr>
              <w:jc w:val="center"/>
              <w:ind w:left="5895"/>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100" w:type="dxa"/>
            <w:vAlign w:val="bottom"/>
          </w:tcPr>
          <w:p>
            <w:pPr>
              <w:jc w:val="center"/>
              <w:ind w:left="589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1880" w:type="dxa"/>
            <w:vAlign w:val="bottom"/>
          </w:tcPr>
          <w:p>
            <w:pPr>
              <w:spacing w:after="0"/>
              <w:rPr>
                <w:sz w:val="24"/>
                <w:szCs w:val="24"/>
                <w:color w:val="auto"/>
              </w:rPr>
            </w:pPr>
          </w:p>
        </w:tc>
        <w:tc>
          <w:tcPr>
            <w:tcW w:w="7100" w:type="dxa"/>
            <w:vAlign w:val="bottom"/>
          </w:tcPr>
          <w:p>
            <w:pPr>
              <w:jc w:val="center"/>
              <w:ind w:right="1415"/>
              <w:spacing w:after="0"/>
              <w:rPr>
                <w:sz w:val="20"/>
                <w:szCs w:val="20"/>
                <w:color w:val="auto"/>
              </w:rPr>
            </w:pPr>
            <w:r>
              <w:rPr>
                <w:rFonts w:ascii="Times New Roman" w:cs="Times New Roman" w:eastAsia="Times New Roman" w:hAnsi="Times New Roman"/>
                <w:sz w:val="18"/>
                <w:szCs w:val="18"/>
                <w:b w:val="1"/>
                <w:bCs w:val="1"/>
                <w:color w:val="auto"/>
                <w:w w:val="99"/>
              </w:rPr>
              <w:t>1109 McKay Drive</w:t>
            </w:r>
          </w:p>
        </w:tc>
      </w:tr>
      <w:tr>
        <w:trPr>
          <w:trHeight w:val="214"/>
        </w:trPr>
        <w:tc>
          <w:tcPr>
            <w:tcW w:w="1880" w:type="dxa"/>
            <w:vAlign w:val="bottom"/>
          </w:tcPr>
          <w:p>
            <w:pPr>
              <w:spacing w:after="0"/>
              <w:rPr>
                <w:sz w:val="18"/>
                <w:szCs w:val="18"/>
                <w:color w:val="auto"/>
              </w:rPr>
            </w:pPr>
          </w:p>
        </w:tc>
        <w:tc>
          <w:tcPr>
            <w:tcW w:w="7100" w:type="dxa"/>
            <w:vAlign w:val="bottom"/>
          </w:tcPr>
          <w:p>
            <w:pPr>
              <w:jc w:val="center"/>
              <w:ind w:right="1415"/>
              <w:spacing w:after="0"/>
              <w:rPr>
                <w:sz w:val="20"/>
                <w:szCs w:val="20"/>
                <w:color w:val="auto"/>
              </w:rPr>
            </w:pPr>
            <w:r>
              <w:rPr>
                <w:rFonts w:ascii="Times New Roman" w:cs="Times New Roman" w:eastAsia="Times New Roman" w:hAnsi="Times New Roman"/>
                <w:sz w:val="18"/>
                <w:szCs w:val="18"/>
                <w:b w:val="1"/>
                <w:bCs w:val="1"/>
                <w:color w:val="auto"/>
                <w:w w:val="99"/>
              </w:rPr>
              <w:t>San Jose, California 95131</w:t>
            </w:r>
          </w:p>
        </w:tc>
      </w:tr>
      <w:tr>
        <w:trPr>
          <w:trHeight w:val="178"/>
        </w:trPr>
        <w:tc>
          <w:tcPr>
            <w:tcW w:w="1880" w:type="dxa"/>
            <w:vAlign w:val="bottom"/>
          </w:tcPr>
          <w:p>
            <w:pPr>
              <w:spacing w:after="0"/>
              <w:rPr>
                <w:sz w:val="15"/>
                <w:szCs w:val="15"/>
                <w:color w:val="auto"/>
              </w:rPr>
            </w:pPr>
          </w:p>
        </w:tc>
        <w:tc>
          <w:tcPr>
            <w:tcW w:w="7100" w:type="dxa"/>
            <w:vAlign w:val="bottom"/>
          </w:tcPr>
          <w:p>
            <w:pPr>
              <w:jc w:val="center"/>
              <w:ind w:right="14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r>
      <w:tr>
        <w:trPr>
          <w:trHeight w:val="214"/>
        </w:trPr>
        <w:tc>
          <w:tcPr>
            <w:tcW w:w="1880" w:type="dxa"/>
            <w:vAlign w:val="bottom"/>
          </w:tcPr>
          <w:p>
            <w:pPr>
              <w:spacing w:after="0"/>
              <w:rPr>
                <w:sz w:val="18"/>
                <w:szCs w:val="18"/>
                <w:color w:val="auto"/>
              </w:rPr>
            </w:pPr>
          </w:p>
        </w:tc>
        <w:tc>
          <w:tcPr>
            <w:tcW w:w="7100" w:type="dxa"/>
            <w:vAlign w:val="bottom"/>
          </w:tcPr>
          <w:p>
            <w:pPr>
              <w:jc w:val="center"/>
              <w:ind w:right="1415"/>
              <w:spacing w:after="0"/>
              <w:rPr>
                <w:sz w:val="20"/>
                <w:szCs w:val="20"/>
                <w:color w:val="auto"/>
              </w:rPr>
            </w:pPr>
            <w:r>
              <w:rPr>
                <w:rFonts w:ascii="Times New Roman" w:cs="Times New Roman" w:eastAsia="Times New Roman" w:hAnsi="Times New Roman"/>
                <w:sz w:val="18"/>
                <w:szCs w:val="18"/>
                <w:b w:val="1"/>
                <w:bCs w:val="1"/>
                <w:color w:val="auto"/>
                <w:w w:val="99"/>
              </w:rPr>
              <w:t>(408) 904-1100</w:t>
            </w:r>
          </w:p>
        </w:tc>
      </w:tr>
      <w:tr>
        <w:trPr>
          <w:trHeight w:val="178"/>
        </w:trPr>
        <w:tc>
          <w:tcPr>
            <w:tcW w:w="1880" w:type="dxa"/>
            <w:vAlign w:val="bottom"/>
          </w:tcPr>
          <w:p>
            <w:pPr>
              <w:spacing w:after="0"/>
              <w:rPr>
                <w:sz w:val="15"/>
                <w:szCs w:val="15"/>
                <w:color w:val="auto"/>
              </w:rPr>
            </w:pPr>
          </w:p>
        </w:tc>
        <w:tc>
          <w:tcPr>
            <w:tcW w:w="7100" w:type="dxa"/>
            <w:vAlign w:val="bottom"/>
          </w:tcPr>
          <w:p>
            <w:pPr>
              <w:jc w:val="center"/>
              <w:ind w:right="141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116"/>
        </w:trPr>
        <w:tc>
          <w:tcPr>
            <w:tcW w:w="1880" w:type="dxa"/>
            <w:vAlign w:val="bottom"/>
          </w:tcPr>
          <w:p>
            <w:pPr>
              <w:spacing w:after="0"/>
              <w:rPr>
                <w:sz w:val="10"/>
                <w:szCs w:val="10"/>
                <w:color w:val="auto"/>
              </w:rPr>
            </w:pPr>
          </w:p>
        </w:tc>
        <w:tc>
          <w:tcPr>
            <w:tcW w:w="7100" w:type="dxa"/>
            <w:vAlign w:val="bottom"/>
          </w:tcPr>
          <w:p>
            <w:pPr>
              <w:jc w:val="center"/>
              <w:ind w:right="1395"/>
              <w:spacing w:after="0"/>
              <w:rPr>
                <w:sz w:val="20"/>
                <w:szCs w:val="20"/>
                <w:color w:val="auto"/>
              </w:rPr>
            </w:pPr>
            <w:r>
              <w:rPr>
                <w:rFonts w:ascii="Times New Roman" w:cs="Times New Roman" w:eastAsia="Times New Roman" w:hAnsi="Times New Roman"/>
                <w:sz w:val="9"/>
                <w:szCs w:val="9"/>
                <w:color w:val="auto"/>
                <w:w w:val="99"/>
              </w:rPr>
              <w:t>______________________________________________________________________________________________________</w:t>
            </w:r>
          </w:p>
        </w:tc>
      </w:tr>
    </w:tbl>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4"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372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58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60" w:type="dxa"/>
            <w:vAlign w:val="bottom"/>
            <w:gridSpan w:val="2"/>
          </w:tcPr>
          <w:p>
            <w:pPr>
              <w:jc w:val="center"/>
              <w:ind w:right="1480"/>
              <w:spacing w:after="0"/>
              <w:rPr>
                <w:sz w:val="20"/>
                <w:szCs w:val="20"/>
                <w:color w:val="auto"/>
              </w:rPr>
            </w:pPr>
            <w:r>
              <w:rPr>
                <w:rFonts w:ascii="Times New Roman" w:cs="Times New Roman" w:eastAsia="Times New Roman" w:hAnsi="Times New Roman"/>
                <w:sz w:val="18"/>
                <w:szCs w:val="18"/>
                <w:color w:val="auto"/>
              </w:rPr>
              <w:t>SYNA</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71"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40"/>
        <w:spacing w:after="0" w:line="207" w:lineRule="exact"/>
        <w:tabs>
          <w:tab w:leader="none" w:pos="8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7"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3"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line="207" w:lineRule="exact"/>
        <w:tabs>
          <w:tab w:leader="none" w:pos="83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2024, the Company had 40,058,435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28,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0" w:type="dxa"/>
            <w:vAlign w:val="bottom"/>
            <w:gridSpan w:val="22"/>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Sheets—September 28, 2024 and June 24, 2023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Operations—Three Months Ended September 28, 2024 and September 30, 2023</w:t>
            </w:r>
          </w:p>
        </w:tc>
        <w:tc>
          <w:tcPr>
            <w:tcW w:w="200" w:type="dxa"/>
            <w:vAlign w:val="bottom"/>
            <w:gridSpan w:val="4"/>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Loss—Three Months Ended September 28, 2024 and September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Borders>
              <w:top w:val="single" w:sz="8" w:color="0000FF"/>
            </w:tcBorders>
            <w:gridSpan w:val="6"/>
          </w:tcPr>
          <w:p>
            <w:pPr>
              <w:jc w:val="right"/>
              <w:spacing w:after="0" w:line="182" w:lineRule="exact"/>
              <w:rPr>
                <w:sz w:val="20"/>
                <w:szCs w:val="20"/>
                <w:color w:val="auto"/>
              </w:rPr>
            </w:pPr>
            <w:r>
              <w:rPr>
                <w:rFonts w:ascii="Times New Roman" w:cs="Times New Roman" w:eastAsia="Times New Roman" w:hAnsi="Times New Roman"/>
                <w:sz w:val="18"/>
                <w:szCs w:val="18"/>
                <w:color w:val="0000FF"/>
              </w:rPr>
              <w:t>30, 2023</w:t>
            </w:r>
          </w:p>
        </w:tc>
        <w:tc>
          <w:tcPr>
            <w:tcW w:w="6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224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54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18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Equity—Three Months Ended September 28, 2024 and September</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1"/>
              </w:rPr>
              <w:t>30, 2023</w:t>
            </w: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Flows—Three Months Ended September 28, 2024 and September 30, 2023</w:t>
            </w:r>
          </w:p>
        </w:tc>
        <w:tc>
          <w:tcPr>
            <w:tcW w:w="14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84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8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80" w:type="dxa"/>
            <w:vAlign w:val="bottom"/>
            <w:gridSpan w:val="7"/>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Item 4.</w:t>
            </w: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50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Item 1A.</w:t>
            </w: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5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Item 6.</w:t>
            </w:r>
          </w:p>
        </w:tc>
        <w:tc>
          <w:tcPr>
            <w:tcW w:w="43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Exhibits</w:t>
            </w:r>
          </w:p>
        </w:tc>
        <w:tc>
          <w:tcPr>
            <w:tcW w:w="450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par value and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June</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37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0" w:type="dxa"/>
            <w:vAlign w:val="bottom"/>
          </w:tcPr>
          <w:p>
            <w:pPr>
              <w:spacing w:after="0"/>
              <w:rPr>
                <w:sz w:val="1"/>
                <w:szCs w:val="1"/>
                <w:color w:val="auto"/>
              </w:rPr>
            </w:pPr>
          </w:p>
        </w:tc>
      </w:tr>
      <w:tr>
        <w:trPr>
          <w:trHeight w:val="21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21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intangibles,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345.6</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other assets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2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0"/>
        </w:trPr>
        <w:tc>
          <w:tcPr>
            <w:tcW w:w="8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4"/>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966.9</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1,358.2</w:t>
            </w: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Preferred stock:</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$0.001 par value; 10,000,000 shares authorized; no shares issued and outstanding</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$0.001 par value; 120,000,000 shares authorized, 70,165,571 and 69,683,991 shares issued,</w:t>
            </w:r>
          </w:p>
        </w:tc>
        <w:tc>
          <w:tcPr>
            <w:tcW w:w="22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3"/>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40,049,132 and 39,567,552 shares outstanding, at September 2024 and June 2024, respectively</w:t>
            </w:r>
          </w:p>
        </w:tc>
        <w:tc>
          <w:tcPr>
            <w:tcW w:w="2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1,107.0</w:t>
            </w:r>
          </w:p>
        </w:tc>
        <w:tc>
          <w:tcPr>
            <w:tcW w:w="0" w:type="dxa"/>
            <w:vAlign w:val="bottom"/>
          </w:tcPr>
          <w:p>
            <w:pPr>
              <w:spacing w:after="0"/>
              <w:rPr>
                <w:sz w:val="1"/>
                <w:szCs w:val="1"/>
                <w:color w:val="auto"/>
              </w:rPr>
            </w:pPr>
          </w:p>
        </w:tc>
      </w:tr>
      <w:tr>
        <w:trPr>
          <w:trHeight w:val="210"/>
        </w:trPr>
        <w:tc>
          <w:tcPr>
            <w:tcW w:w="8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30,116,439 common shares at September 2024 and June 2024, at cost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(878.0)</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1,237.7</w:t>
            </w:r>
          </w:p>
        </w:tc>
        <w:tc>
          <w:tcPr>
            <w:tcW w:w="0" w:type="dxa"/>
            <w:vAlign w:val="bottom"/>
          </w:tcPr>
          <w:p>
            <w:pPr>
              <w:spacing w:after="0"/>
              <w:rPr>
                <w:sz w:val="1"/>
                <w:szCs w:val="1"/>
                <w:color w:val="auto"/>
              </w:rPr>
            </w:pPr>
          </w:p>
        </w:tc>
      </w:tr>
      <w:tr>
        <w:trPr>
          <w:trHeight w:val="204"/>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280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6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57"/>
        </w:trPr>
        <w:tc>
          <w:tcPr>
            <w:tcW w:w="7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60" w:type="dxa"/>
            <w:vAlign w:val="bottom"/>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50"/>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63"/>
        </w:trPr>
        <w:tc>
          <w:tcPr>
            <w:tcW w:w="7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04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CFF0FC"/>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5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5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50"/>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(benefit)/provision for income taxes</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5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104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2"/>
                <w:szCs w:val="22"/>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60" w:type="dxa"/>
            <w:vAlign w:val="bottom"/>
          </w:tcPr>
          <w:p>
            <w:pPr>
              <w:spacing w:after="0"/>
              <w:rPr>
                <w:sz w:val="22"/>
                <w:szCs w:val="22"/>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6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w:t>
            </w: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79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5"/>
              </w:rPr>
              <w:t>39.8</w:t>
            </w:r>
          </w:p>
        </w:tc>
        <w:tc>
          <w:tcPr>
            <w:tcW w:w="16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79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5"/>
              </w:rPr>
              <w:t>39.8</w:t>
            </w:r>
          </w:p>
        </w:tc>
        <w:tc>
          <w:tcPr>
            <w:tcW w:w="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p>
        </w:tc>
        <w:tc>
          <w:tcPr>
            <w:tcW w:w="250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8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78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5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FF0FC"/>
          </w:tcPr>
          <w:p>
            <w:pPr>
              <w:spacing w:after="0"/>
              <w:rPr>
                <w:sz w:val="22"/>
                <w:szCs w:val="22"/>
                <w:color w:val="auto"/>
              </w:rPr>
            </w:pPr>
          </w:p>
        </w:tc>
      </w:tr>
      <w:tr>
        <w:trPr>
          <w:trHeight w:val="250"/>
        </w:trPr>
        <w:tc>
          <w:tcPr>
            <w:tcW w:w="7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income on available-for-sale-securities</w:t>
            </w:r>
          </w:p>
        </w:tc>
        <w:tc>
          <w:tcPr>
            <w:tcW w:w="960" w:type="dxa"/>
            <w:vAlign w:val="bottom"/>
          </w:tcPr>
          <w:p>
            <w:pPr>
              <w:spacing w:after="0"/>
              <w:rPr>
                <w:sz w:val="21"/>
                <w:szCs w:val="21"/>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21"/>
                <w:szCs w:val="21"/>
                <w:color w:val="auto"/>
              </w:rPr>
            </w:pPr>
          </w:p>
        </w:tc>
      </w:tr>
      <w:tr>
        <w:trPr>
          <w:trHeight w:val="282"/>
        </w:trPr>
        <w:tc>
          <w:tcPr>
            <w:tcW w:w="78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4"/>
                <w:szCs w:val="24"/>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-539750</wp:posOffset>
            </wp:positionV>
            <wp:extent cx="59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Pr>
          <w:p>
            <w:pPr>
              <w:spacing w:after="0"/>
              <w:rPr>
                <w:sz w:val="21"/>
                <w:szCs w:val="21"/>
                <w:color w:val="auto"/>
              </w:rPr>
            </w:pPr>
          </w:p>
        </w:tc>
        <w:tc>
          <w:tcPr>
            <w:tcW w:w="24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194"/>
        </w:trPr>
        <w:tc>
          <w:tcPr>
            <w:tcW w:w="35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3"/>
        </w:trPr>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7"/>
                <w:szCs w:val="17"/>
                <w:color w:val="auto"/>
              </w:rPr>
            </w:pPr>
          </w:p>
        </w:tc>
        <w:tc>
          <w:tcPr>
            <w:tcW w:w="10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80" w:type="dxa"/>
            <w:vAlign w:val="bottom"/>
          </w:tcPr>
          <w:p>
            <w:pPr>
              <w:spacing w:after="0"/>
              <w:rPr>
                <w:sz w:val="17"/>
                <w:szCs w:val="17"/>
                <w:color w:val="auto"/>
              </w:rPr>
            </w:pPr>
          </w:p>
        </w:tc>
        <w:tc>
          <w:tcPr>
            <w:tcW w:w="10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7"/>
                <w:szCs w:val="17"/>
                <w:color w:val="auto"/>
              </w:rPr>
            </w:pPr>
          </w:p>
        </w:tc>
        <w:tc>
          <w:tcPr>
            <w:tcW w:w="132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59"/>
        </w:trPr>
        <w:tc>
          <w:tcPr>
            <w:tcW w:w="354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2"/>
                <w:szCs w:val="22"/>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2"/>
                <w:szCs w:val="22"/>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57"/>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2024</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69,683,991</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(878.0)</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1,466.8</w:t>
            </w:r>
          </w:p>
        </w:tc>
      </w:tr>
      <w:tr>
        <w:trPr>
          <w:trHeight w:val="25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share-based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4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 compensation plans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481,580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1"/>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Payroll taxes related to net share settlement of</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41"/>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awards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7"/>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5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2024</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70,165,571</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(878.0)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1,467.3</w:t>
            </w:r>
          </w:p>
        </w:tc>
      </w:tr>
      <w:tr>
        <w:trPr>
          <w:trHeight w:val="21"/>
        </w:trPr>
        <w:tc>
          <w:tcPr>
            <w:tcW w:w="3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-1285240</wp:posOffset>
            </wp:positionV>
            <wp:extent cx="59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-1285240</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spacing w:after="0"/>
              <w:rPr>
                <w:sz w:val="21"/>
                <w:szCs w:val="21"/>
                <w:color w:val="auto"/>
              </w:rPr>
            </w:pPr>
          </w:p>
        </w:tc>
        <w:tc>
          <w:tcPr>
            <w:tcW w:w="21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94"/>
        </w:trPr>
        <w:tc>
          <w:tcPr>
            <w:tcW w:w="29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2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3"/>
        </w:trPr>
        <w:tc>
          <w:tcPr>
            <w:tcW w:w="2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17"/>
                <w:szCs w:val="17"/>
                <w:color w:val="auto"/>
              </w:rPr>
            </w:pPr>
          </w:p>
        </w:tc>
        <w:tc>
          <w:tcPr>
            <w:tcW w:w="94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Treasury</w:t>
            </w:r>
          </w:p>
        </w:tc>
        <w:tc>
          <w:tcPr>
            <w:tcW w:w="132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80" w:type="dxa"/>
            <w:vAlign w:val="bottom"/>
          </w:tcPr>
          <w:p>
            <w:pPr>
              <w:spacing w:after="0"/>
              <w:rPr>
                <w:sz w:val="17"/>
                <w:szCs w:val="17"/>
                <w:color w:val="auto"/>
              </w:rPr>
            </w:pPr>
          </w:p>
        </w:tc>
        <w:tc>
          <w:tcPr>
            <w:tcW w:w="1040" w:type="dxa"/>
            <w:vAlign w:val="bottom"/>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7"/>
                <w:szCs w:val="17"/>
                <w:color w:val="auto"/>
              </w:rPr>
            </w:pPr>
          </w:p>
        </w:tc>
        <w:tc>
          <w:tcPr>
            <w:tcW w:w="13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59"/>
        </w:trPr>
        <w:tc>
          <w:tcPr>
            <w:tcW w:w="29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57"/>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2023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68,687,511</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w:t>
            </w: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8"/>
              </w:rPr>
              <w:t>(878.0)</w:t>
            </w: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r>
      <w:tr>
        <w:trPr>
          <w:trHeight w:val="250"/>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63"/>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2"/>
                <w:szCs w:val="22"/>
                <w:color w:val="auto"/>
              </w:rPr>
            </w:pPr>
          </w:p>
        </w:tc>
        <w:tc>
          <w:tcPr>
            <w:tcW w:w="9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1"/>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common stock for share-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1"/>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based award compensation plans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8"/>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Payroll taxes related to net share</w:t>
            </w: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48"/>
        </w:trPr>
        <w:tc>
          <w:tcPr>
            <w:tcW w:w="2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settlement of share-based awards</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50"/>
        </w:trPr>
        <w:tc>
          <w:tcPr>
            <w:tcW w:w="2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82"/>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69,299,794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8"/>
              </w:rPr>
              <w:t>(878.0)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-33655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-33655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-205105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-205105</wp:posOffset>
            </wp:positionV>
            <wp:extent cx="514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-1447800</wp:posOffset>
            </wp:positionV>
            <wp:extent cx="514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-1447800</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SYNAPTICS INCORPORATED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tcPr>
          <w:p>
            <w:pPr>
              <w:spacing w:after="0"/>
              <w:rPr>
                <w:sz w:val="19"/>
                <w:szCs w:val="19"/>
                <w:color w:val="auto"/>
              </w:rPr>
            </w:pPr>
          </w:p>
        </w:tc>
        <w:tc>
          <w:tcPr>
            <w:tcW w:w="25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9"/>
                <w:szCs w:val="19"/>
                <w:color w:val="auto"/>
              </w:rPr>
            </w:pPr>
          </w:p>
        </w:tc>
      </w:tr>
      <w:tr>
        <w:trPr>
          <w:trHeight w:val="238"/>
        </w:trPr>
        <w:tc>
          <w:tcPr>
            <w:tcW w:w="8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560" w:type="dxa"/>
            <w:vAlign w:val="bottom"/>
            <w:tcBorders>
              <w:bottom w:val="single" w:sz="8" w:color="auto"/>
            </w:tcBorders>
          </w:tcPr>
          <w:p>
            <w:pPr>
              <w:spacing w:after="0"/>
              <w:rPr>
                <w:sz w:val="20"/>
                <w:szCs w:val="20"/>
                <w:color w:val="auto"/>
              </w:rPr>
            </w:pPr>
          </w:p>
        </w:tc>
      </w:tr>
      <w:tr>
        <w:trPr>
          <w:trHeight w:val="243"/>
        </w:trPr>
        <w:tc>
          <w:tcPr>
            <w:tcW w:w="80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5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6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5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costs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63"/>
        </w:trPr>
        <w:tc>
          <w:tcPr>
            <w:tcW w:w="8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63"/>
        </w:trPr>
        <w:tc>
          <w:tcPr>
            <w:tcW w:w="8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taxes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8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63"/>
        </w:trPr>
        <w:tc>
          <w:tcPr>
            <w:tcW w:w="8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50"/>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63"/>
        </w:trPr>
        <w:tc>
          <w:tcPr>
            <w:tcW w:w="8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Inventories, net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63"/>
        </w:trPr>
        <w:tc>
          <w:tcPr>
            <w:tcW w:w="8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50"/>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63"/>
        </w:trPr>
        <w:tc>
          <w:tcPr>
            <w:tcW w:w="80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compensation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50"/>
        </w:trPr>
        <w:tc>
          <w:tcPr>
            <w:tcW w:w="80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5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maturity of investments</w:t>
            </w: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96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63"/>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0"/>
        </w:trPr>
        <w:tc>
          <w:tcPr>
            <w:tcW w:w="8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6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57"/>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 payment on intangible assets</w:t>
            </w:r>
          </w:p>
        </w:tc>
        <w:tc>
          <w:tcPr>
            <w:tcW w:w="9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(116.5)</w:t>
            </w:r>
          </w:p>
        </w:tc>
      </w:tr>
      <w:tr>
        <w:trPr>
          <w:trHeight w:val="25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(150.1)</w:t>
            </w: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r>
      <w:tr>
        <w:trPr>
          <w:trHeight w:val="25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Payroll taxes related to net share settlement of share-based awards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5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debt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7"/>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5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(123.4)</w:t>
            </w:r>
          </w:p>
        </w:tc>
      </w:tr>
      <w:tr>
        <w:trPr>
          <w:trHeight w:val="25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r>
      <w:tr>
        <w:trPr>
          <w:trHeight w:val="256"/>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left="360" w:right="26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Principles of Consolidation</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the rules and regulations of the Securities and Exchange Commission, or the SEC, and United States generally accepted accounting principles, or U.S. GAAP. Certain information or footnote disclosures normally included in financial statements prepared in accordance with U.S. GAAP have been condensed or omitted pursuant to SEC rules and regulations. In our opinion, the financial statements include all adjustments, which are of a normal and recurring nature and necessary for the fair presentation of the results of the interim periods presented. The results of operations for the interim periods are not necessarily indicative of the operating results for the full fiscal year or any future period. These financial statements should be read in conjunction with the audited consolidated financial statements and related notes included in our Annual Report on Form 10-K for the fiscal year ended June 29, 2024.</w:t>
      </w:r>
    </w:p>
    <w:p>
      <w:pPr>
        <w:spacing w:after="0" w:line="8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our financial statements and those of our wholly owned subsidiaries. All significant intercompany balances and transactions have been eliminated upon consolidation. Certain reclassifications have been made to the amounts for prior years in order to conform to the current year’s presentation.</w:t>
      </w:r>
    </w:p>
    <w:p>
      <w:pPr>
        <w:spacing w:after="0" w:line="68"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fiscal year is the 52- or 53-week period ending on the last Saturday in June. Our fiscal 2025 is a 52-week period ending June 28, 2025, and our fiscal 2024 was a 53-week period ending on June 29, 2024. The fiscal periods presented in this report are 13-week and 14-week periods for the three months ended September 28, 2024 and September 30, 2023, respectively. For simplicity, the accompanying condensed consolidated financial statements have been shown as ending on calendar quarter end dates as of and for all periods presented, unless otherwise indicated.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 expenses, and related disclosure of contingent assets and liabilities. On an ongoing basis, we evaluate our estimates including, but not limited to, those estimates related to revenue recognition, allowance for credit losses, cost of revenue, inventories, loss on purchase commitments, product warranty, accrued liabilities, share-based compensation costs, provision for income taxes, deferred tax assets and the associated valuation allowance, uncertain tax positions, goodwill, intangible assets, investments and loss contingencies. We base our estimates on historical experience, current period developments, applicable laws and regulations, and various other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Recently Issued</w:t>
      </w:r>
    </w:p>
    <w:p>
      <w:pPr>
        <w:spacing w:after="0" w:line="11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Improvements to Reportable Segment Disclosures.” This guidance requires disclosure of incremental segment information on an annual and interim basis. This amendment is effective for our fiscal year ending June 2025 and our interim periods within the fiscal year ending June 2026. We are currently assessing the impact of this guidance on our disclosures.</w:t>
      </w:r>
    </w:p>
    <w:p>
      <w:pPr>
        <w:spacing w:after="0" w:line="72" w:lineRule="exact"/>
        <w:rPr>
          <w:sz w:val="20"/>
          <w:szCs w:val="20"/>
          <w:color w:val="auto"/>
        </w:rPr>
      </w:pPr>
    </w:p>
    <w:p>
      <w:pPr>
        <w:ind w:right="480" w:firstLine="648"/>
        <w:spacing w:after="0" w:line="289"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Improvements to Income Tax Disclosures.” This guidance requires consistent categories and greater disaggregation of information in the rate reconciliation and disclosures of income taxes paid by jurisdiction. This amendment is effective for our fiscal year ending June 2026. We are currently assessing the impact of this guidance on our disclosures.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our customers in an amount that reflects the consideration we expect to receive in exchange for those goods or services. Most of our revenue, except an inconsequential amount, is recognized at a point in time, either on shipment or delivery of the product, depending on customer terms and conditions.</w:t>
      </w:r>
    </w:p>
    <w:p>
      <w:pPr>
        <w:spacing w:after="0" w:line="6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Rights to our intellectual property, or IP, are either sold or licensed to customers. Revenue recognition from the licensing of our IP is dependent on the nature and terms of each agreement. We recognize revenue from the licensing of our IP upon delivery of the IP if there are no substantive future obligations to perform under the arrangement. Sales-based or</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balance is from contracts with customers and represents our unconditional right to receive consideration from customers. To date, there have been no material credit loss charges recorded on accounts receivable. As of September 2024 and June 2024, contract assets recorded on our condensed consolidated balance sheets were $1.5 million and $1.2 million, respectively. Contract assets are presented as part of prepaid expenses and other current assets.</w:t>
      </w:r>
    </w:p>
    <w:p>
      <w:pPr>
        <w:spacing w:after="0" w:line="7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Contract liabilities and refund liabilities were $4.4 million and $49.6 million, respectively, as of September 2024, and $14.7 million and $43.5 million, respectively, as of June 2024. Both contract liabilities and refund liabilities are presented as customer obligations in Note 10. Balance Sheet Components. During the three months ended September 2024 and September 2023, we recognized $12.6 million and $2.4 million, respectively, in revenue related to contract liabilities, which was outstanding as of the beginning of each fiscal quarter.</w:t>
      </w:r>
    </w:p>
    <w:p>
      <w:pPr>
        <w:spacing w:after="0" w:line="7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disaggregated by geographic area based on customer location and product category is presented in Note 15. Segment, Customers, and Geographical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computation of basic and diluted net loss per share was as follows (in millions, except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5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Pr>
          <w:p>
            <w:pPr>
              <w:spacing w:after="0"/>
              <w:rPr>
                <w:sz w:val="20"/>
                <w:szCs w:val="20"/>
                <w:color w:val="auto"/>
              </w:rPr>
            </w:pPr>
          </w:p>
        </w:tc>
      </w:tr>
      <w:tr>
        <w:trPr>
          <w:trHeight w:val="263"/>
        </w:trPr>
        <w:tc>
          <w:tcPr>
            <w:tcW w:w="81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w:t>
            </w:r>
          </w:p>
        </w:tc>
        <w:tc>
          <w:tcPr>
            <w:tcW w:w="520" w:type="dxa"/>
            <w:vAlign w:val="bottom"/>
            <w:tcBorders>
              <w:bottom w:val="single" w:sz="8" w:color="auto"/>
            </w:tcBorders>
          </w:tcPr>
          <w:p>
            <w:pPr>
              <w:spacing w:after="0"/>
              <w:rPr>
                <w:sz w:val="22"/>
                <w:szCs w:val="22"/>
                <w:color w:val="auto"/>
              </w:rPr>
            </w:pPr>
          </w:p>
        </w:tc>
      </w:tr>
      <w:tr>
        <w:trPr>
          <w:trHeight w:val="250"/>
        </w:trPr>
        <w:tc>
          <w:tcPr>
            <w:tcW w:w="818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1"/>
                <w:szCs w:val="21"/>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r>
      <w:tr>
        <w:trPr>
          <w:trHeight w:val="257"/>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50"/>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basic</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57"/>
        </w:trPr>
        <w:tc>
          <w:tcPr>
            <w:tcW w:w="8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dilutive share-based awards</w:t>
            </w:r>
          </w:p>
        </w:tc>
        <w:tc>
          <w:tcPr>
            <w:tcW w:w="960" w:type="dxa"/>
            <w:vAlign w:val="bottom"/>
            <w:shd w:val="clear" w:color="auto" w:fill="CFF0FC"/>
          </w:tcPr>
          <w:p>
            <w:pPr>
              <w:spacing w:after="0"/>
              <w:rPr>
                <w:sz w:val="22"/>
                <w:szCs w:val="22"/>
                <w:color w:val="auto"/>
              </w:rPr>
            </w:pPr>
          </w:p>
        </w:tc>
        <w:tc>
          <w:tcPr>
            <w:tcW w:w="6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diluted</w:t>
            </w:r>
          </w:p>
        </w:tc>
        <w:tc>
          <w:tcPr>
            <w:tcW w:w="9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r>
      <w:tr>
        <w:trPr>
          <w:trHeight w:val="257"/>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818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75"/>
        </w:trPr>
        <w:tc>
          <w:tcPr>
            <w:tcW w:w="8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basic net loss per share amounts for each period presented have been computed using the weighted average number of shares of common stock, $0.001 par value, or the common stock, outstanding over the period measured. Our diluted net income per share amounts for each period presented include the weighted average effect of potentially dilutive shares. We use the "treasury stock" method to determine the dilutive effect of our stock options, restricted stock units, or RSUs, market stock units, or MSUs, and performance stock units, or PSUs. Potentially dilutive shares whose effect would have been antidilutive are excluded from the computation of diluted net loss per share.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Prepayment of Intangible Assets</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2024, we paid an aggregate consideration of $130.0 million to Avago Technologies ("Broadcom") to license four developed technology products and to extend the exclusivity period of certain developed technologies that were previously licensed from Broadcom in July 2020. As of September 2024, we have obtained control of three of the four technology products and the three-year extension period to exclusively license previously acquired developed technology intangible assets. The fair value of the remaining technology product of $42.5 million for which we have not yet obtained control is an advance payment on intangible assets and is presented within other long-term assets in our consolidated balance sheets.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are stated at the lower of cost (first-in, first-out method) or net realizable value and consisted of the following (in millions):</w:t>
      </w:r>
    </w:p>
    <w:p>
      <w:pPr>
        <w:spacing w:after="0" w:line="17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September</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June</w:t>
            </w:r>
          </w:p>
        </w:tc>
      </w:tr>
      <w:tr>
        <w:trPr>
          <w:trHeight w:val="263"/>
        </w:trPr>
        <w:tc>
          <w:tcPr>
            <w:tcW w:w="6100" w:type="dxa"/>
            <w:vAlign w:val="bottom"/>
            <w:tcBorders>
              <w:bottom w:val="single" w:sz="8" w:color="CFF0FC"/>
            </w:tcBorders>
          </w:tcPr>
          <w:p>
            <w:pPr>
              <w:spacing w:after="0"/>
              <w:rPr>
                <w:sz w:val="22"/>
                <w:szCs w:val="22"/>
                <w:color w:val="auto"/>
              </w:rPr>
            </w:pPr>
          </w:p>
        </w:tc>
        <w:tc>
          <w:tcPr>
            <w:tcW w:w="16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FF0FC"/>
            </w:tcBorders>
          </w:tcPr>
          <w:p>
            <w:pPr>
              <w:spacing w:after="0"/>
              <w:rPr>
                <w:sz w:val="22"/>
                <w:szCs w:val="22"/>
                <w:color w:val="auto"/>
              </w:rPr>
            </w:pPr>
          </w:p>
        </w:tc>
      </w:tr>
      <w:tr>
        <w:trPr>
          <w:trHeight w:val="25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and work-in-progress</w:t>
            </w:r>
          </w:p>
        </w:tc>
        <w:tc>
          <w:tcPr>
            <w:tcW w:w="1660" w:type="dxa"/>
            <w:vAlign w:val="bottom"/>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FF0FC"/>
          </w:tcPr>
          <w:p>
            <w:pPr>
              <w:spacing w:after="0"/>
              <w:rPr>
                <w:sz w:val="22"/>
                <w:szCs w:val="22"/>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shd w:val="clear" w:color="auto" w:fill="CFF0FC"/>
          </w:tcPr>
          <w:p>
            <w:pPr>
              <w:spacing w:after="0"/>
              <w:rPr>
                <w:sz w:val="22"/>
                <w:szCs w:val="22"/>
                <w:color w:val="auto"/>
              </w:rPr>
            </w:pPr>
          </w:p>
        </w:tc>
      </w:tr>
      <w:tr>
        <w:trPr>
          <w:trHeight w:val="250"/>
        </w:trPr>
        <w:tc>
          <w:tcPr>
            <w:tcW w:w="6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FF0FC"/>
            </w:tcBorders>
          </w:tcPr>
          <w:p>
            <w:pPr>
              <w:spacing w:after="0"/>
              <w:rPr>
                <w:sz w:val="21"/>
                <w:szCs w:val="21"/>
                <w:color w:val="auto"/>
              </w:rPr>
            </w:pPr>
          </w:p>
        </w:tc>
      </w:tr>
      <w:tr>
        <w:trPr>
          <w:trHeight w:val="275"/>
        </w:trPr>
        <w:tc>
          <w:tcPr>
            <w:tcW w:w="610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bottom w:val="single" w:sz="8" w:color="auto"/>
            </w:tcBorders>
            <w:shd w:val="clear" w:color="auto" w:fill="CFF0FC"/>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7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-33655</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-205105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-539750</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Inventories are recorded at standard cost, which approximates actual cost computed on a first-in, first-out basis. We record a write-down, if necessary, to reduce the carrying value of inventory to its net realizable value. The effect of such a write-down is to establish a new cost basis in the related inventory, which we do not subsequently write up. We also record a liability and charge to cost of revenue for estimated losses on inventory we are obligated to purchase from our contract manufacturers when such losses become probable from customer delays, order cancellations, or other factors. The following factors influence our estimates: changes to or cancellations of customer orders, unexpected or sudden decline in demand, rapid product improvements, technological advances, and termination or changes by our original equipment manufacturers, or OEM, customers of any product offerings incorporating our product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and Cash Equivalents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and cash equivalents by category at September 2024 and June 2024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September 2024</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June 2024</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211"/>
        </w:trPr>
        <w:tc>
          <w:tcPr>
            <w:tcW w:w="3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unrealized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Gross unrealized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1"/>
        </w:trPr>
        <w:tc>
          <w:tcPr>
            <w:tcW w:w="3160" w:type="dxa"/>
            <w:vAlign w:val="bottom"/>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Amortized Cost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Amortized Cost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loss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Fair Value</w:t>
            </w:r>
          </w:p>
        </w:tc>
      </w:tr>
      <w:tr>
        <w:trPr>
          <w:trHeight w:val="250"/>
        </w:trPr>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63"/>
        </w:trPr>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equivalents:</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0"/>
        </w:trPr>
        <w:tc>
          <w:tcPr>
            <w:tcW w:w="3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57"/>
        </w:trPr>
        <w:tc>
          <w:tcPr>
            <w:tcW w:w="3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Certificates of deposit</w:t>
            </w: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8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0"/>
        </w:trPr>
        <w:tc>
          <w:tcPr>
            <w:tcW w:w="3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determine fair value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w:t>
      </w:r>
    </w:p>
    <w:p>
      <w:pPr>
        <w:spacing w:after="0" w:line="81"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unadjusted quoted prices for identical assets or liabilities in active markets.</w:t>
      </w:r>
    </w:p>
    <w:p>
      <w:pPr>
        <w:spacing w:after="0" w:line="117"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based upon other unobservable inputs that are significant to the fair value measurements.</w:t>
      </w:r>
    </w:p>
    <w:p>
      <w:pPr>
        <w:spacing w:after="0" w:line="11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Level 1 financial instruments are traded in active markets, and the fair value is based on quoted market prices for identical instruments. The fair value of our Level 2 fixed income securities is obtained from an independent pricing service, which may use quoted market prices for identical or comparable instruments or model driven valuations using observable market data or inputs corroborated by observable market data. Our marketable securities are held by custodians who obtain investment prices from a third-party pricing provider that incorporates standard inputs in various asset price models.</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September 2024 and June 2024, financial assets measured at fair value on a recurring basis are summarized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September 2024</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June 2024</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240" w:type="dxa"/>
            <w:vAlign w:val="bottom"/>
          </w:tcPr>
          <w:p>
            <w:pPr>
              <w:spacing w:after="0"/>
              <w:rPr>
                <w:sz w:val="21"/>
                <w:szCs w:val="21"/>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(1)</w:t>
            </w:r>
          </w:p>
        </w:tc>
        <w:tc>
          <w:tcPr>
            <w:tcW w:w="26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2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Pr>
          <w:p>
            <w:pPr>
              <w:spacing w:after="0"/>
              <w:rPr>
                <w:sz w:val="21"/>
                <w:szCs w:val="21"/>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 (1)</w:t>
            </w:r>
          </w:p>
        </w:tc>
      </w:tr>
      <w:tr>
        <w:trPr>
          <w:trHeight w:val="24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r>
      <w:tr>
        <w:trPr>
          <w:trHeight w:val="25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r>
      <w:tr>
        <w:trPr>
          <w:trHeight w:val="250"/>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8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60" w:right="180" w:hanging="252"/>
        <w:spacing w:after="0" w:line="282" w:lineRule="auto"/>
        <w:tabs>
          <w:tab w:leader="none" w:pos="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Excludes $554.9 million and $238.4 million in cash held in our bank accounts as of September 2024 and June 2024, respectively. </w:t>
      </w:r>
      <w:r>
        <w:rPr>
          <w:rFonts w:ascii="Times New Roman" w:cs="Times New Roman" w:eastAsia="Times New Roman" w:hAnsi="Times New Roman"/>
          <w:sz w:val="18"/>
          <w:szCs w:val="18"/>
          <w:color w:val="252525"/>
        </w:rPr>
        <w:t>We did not have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financial assets requiring Level 3 measurement in the periods presented.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report our financial instruments at fair value with the exception of the Senior Notes and Term Loan Facility, as defined in Note 12. Debt. The estimated fair value of the Senior Notes and Term Loan Facility was determined based on the trading price of the Senior Notes and Term Loan Facility as of the last day of trading for the periods presented. We use Level 2 measurement criteria to determine the fair value of our Senior Notes and Term Loan Facility as they are not actively traded in markets.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carrying amounts and estimated fair values of the Senior Notes and Term Loan Facility are as follows for the periods presented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September 2024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070"/>
              <w:spacing w:after="0"/>
              <w:rPr>
                <w:sz w:val="20"/>
                <w:szCs w:val="20"/>
                <w:color w:val="auto"/>
              </w:rPr>
            </w:pPr>
            <w:r>
              <w:rPr>
                <w:rFonts w:ascii="Times New Roman" w:cs="Times New Roman" w:eastAsia="Times New Roman" w:hAnsi="Times New Roman"/>
                <w:sz w:val="18"/>
                <w:szCs w:val="18"/>
                <w:color w:val="auto"/>
              </w:rPr>
              <w:t>June 2024</w:t>
            </w:r>
          </w:p>
        </w:tc>
        <w:tc>
          <w:tcPr>
            <w:tcW w:w="100" w:type="dxa"/>
            <w:vAlign w:val="bottom"/>
          </w:tcPr>
          <w:p>
            <w:pPr>
              <w:spacing w:after="0"/>
              <w:rPr>
                <w:sz w:val="20"/>
                <w:szCs w:val="20"/>
                <w:color w:val="auto"/>
              </w:rPr>
            </w:pPr>
          </w:p>
        </w:tc>
      </w:tr>
      <w:tr>
        <w:trPr>
          <w:trHeight w:val="211"/>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Estimated Fair</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41"/>
        </w:trPr>
        <w:tc>
          <w:tcPr>
            <w:tcW w:w="4940" w:type="dxa"/>
            <w:vAlign w:val="bottom"/>
          </w:tcPr>
          <w:p>
            <w:pPr>
              <w:spacing w:after="0"/>
              <w:rPr>
                <w:sz w:val="20"/>
                <w:szCs w:val="20"/>
                <w:color w:val="auto"/>
              </w:rPr>
            </w:pPr>
          </w:p>
        </w:tc>
        <w:tc>
          <w:tcPr>
            <w:tcW w:w="15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Carrying Amount</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Carrying Amount</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5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tcPr>
          <w:p>
            <w:pPr>
              <w:spacing w:after="0"/>
              <w:rPr>
                <w:sz w:val="21"/>
                <w:szCs w:val="21"/>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Pr>
          <w:p>
            <w:pPr>
              <w:spacing w:after="0"/>
              <w:rPr>
                <w:sz w:val="21"/>
                <w:szCs w:val="21"/>
                <w:color w:val="auto"/>
              </w:rPr>
            </w:pPr>
          </w:p>
        </w:tc>
      </w:tr>
      <w:tr>
        <w:trPr>
          <w:trHeight w:val="25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 due 2028</w:t>
            </w:r>
          </w:p>
        </w:tc>
        <w:tc>
          <w:tcPr>
            <w:tcW w:w="3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shd w:val="clear" w:color="auto" w:fill="CFF0FC"/>
          </w:tcPr>
          <w:p>
            <w:pPr>
              <w:spacing w:after="0"/>
              <w:rPr>
                <w:sz w:val="22"/>
                <w:szCs w:val="22"/>
                <w:color w:val="auto"/>
              </w:rPr>
            </w:pPr>
          </w:p>
        </w:tc>
      </w:tr>
      <w:tr>
        <w:trPr>
          <w:trHeight w:val="250"/>
        </w:trPr>
        <w:tc>
          <w:tcPr>
            <w:tcW w:w="494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10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898"/>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Acquired Intangibles,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For the three months ended September 2024 and June 2024, the carrying value of goodwill was $816.4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Intangibles, Net</w:t>
      </w:r>
    </w:p>
    <w:p>
      <w:pPr>
        <w:spacing w:after="0" w:line="11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carrying amounts excluding fully amortized intangible assets (in millions, except for weighted-average life in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September 2024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June 2024</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00" w:type="dxa"/>
            <w:vAlign w:val="bottom"/>
          </w:tcPr>
          <w:p>
            <w:pPr>
              <w:spacing w:after="0"/>
              <w:rPr>
                <w:sz w:val="15"/>
                <w:szCs w:val="15"/>
                <w:color w:val="auto"/>
              </w:rPr>
            </w:pPr>
          </w:p>
        </w:tc>
        <w:tc>
          <w:tcPr>
            <w:tcW w:w="13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7"/>
                <w:szCs w:val="17"/>
                <w:color w:val="auto"/>
                <w:w w:val="99"/>
              </w:rPr>
              <w:t>Weighted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13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7"/>
                <w:szCs w:val="17"/>
                <w:color w:val="auto"/>
                <w:w w:val="97"/>
              </w:rPr>
              <w:t>Average</w:t>
            </w:r>
          </w:p>
        </w:tc>
        <w:tc>
          <w:tcPr>
            <w:tcW w:w="1220" w:type="dxa"/>
            <w:vAlign w:val="bottom"/>
            <w:gridSpan w:val="2"/>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rPr>
              <w:t>Gross Carrying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75"/>
              <w:spacing w:after="0" w:line="189" w:lineRule="exact"/>
              <w:rPr>
                <w:sz w:val="20"/>
                <w:szCs w:val="20"/>
                <w:color w:val="auto"/>
              </w:rPr>
            </w:pPr>
            <w:r>
              <w:rPr>
                <w:rFonts w:ascii="Times New Roman" w:cs="Times New Roman" w:eastAsia="Times New Roman" w:hAnsi="Times New Roman"/>
                <w:sz w:val="17"/>
                <w:szCs w:val="17"/>
                <w:color w:val="auto"/>
              </w:rPr>
              <w:t>Accumulated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color w:val="auto"/>
              </w:rPr>
              <w:t>Net Carrying</w:t>
            </w:r>
          </w:p>
        </w:tc>
        <w:tc>
          <w:tcPr>
            <w:tcW w:w="132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7"/>
                <w:szCs w:val="17"/>
                <w:color w:val="auto"/>
              </w:rPr>
              <w:t>Gross Carrying</w:t>
            </w:r>
          </w:p>
        </w:tc>
        <w:tc>
          <w:tcPr>
            <w:tcW w:w="140" w:type="dxa"/>
            <w:vAlign w:val="bottom"/>
          </w:tcPr>
          <w:p>
            <w:pPr>
              <w:spacing w:after="0"/>
              <w:rPr>
                <w:sz w:val="16"/>
                <w:szCs w:val="16"/>
                <w:color w:val="auto"/>
              </w:rPr>
            </w:pPr>
          </w:p>
        </w:tc>
        <w:tc>
          <w:tcPr>
            <w:tcW w:w="12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auto"/>
              </w:rPr>
              <w:t>Accumulated</w:t>
            </w:r>
          </w:p>
        </w:tc>
        <w:tc>
          <w:tcPr>
            <w:tcW w:w="160" w:type="dxa"/>
            <w:vAlign w:val="bottom"/>
          </w:tcPr>
          <w:p>
            <w:pPr>
              <w:spacing w:after="0"/>
              <w:rPr>
                <w:sz w:val="16"/>
                <w:szCs w:val="16"/>
                <w:color w:val="auto"/>
              </w:rPr>
            </w:pPr>
          </w:p>
        </w:tc>
        <w:tc>
          <w:tcPr>
            <w:tcW w:w="1140" w:type="dxa"/>
            <w:vAlign w:val="bottom"/>
          </w:tcPr>
          <w:p>
            <w:pPr>
              <w:jc w:val="right"/>
              <w:ind w:right="115"/>
              <w:spacing w:after="0" w:line="189" w:lineRule="exact"/>
              <w:rPr>
                <w:sz w:val="20"/>
                <w:szCs w:val="20"/>
                <w:color w:val="auto"/>
              </w:rPr>
            </w:pPr>
            <w:r>
              <w:rPr>
                <w:rFonts w:ascii="Times New Roman" w:cs="Times New Roman" w:eastAsia="Times New Roman" w:hAnsi="Times New Roman"/>
                <w:sz w:val="17"/>
                <w:szCs w:val="17"/>
                <w:color w:val="auto"/>
              </w:rPr>
              <w:t>Net Carrying</w:t>
            </w:r>
          </w:p>
        </w:tc>
        <w:tc>
          <w:tcPr>
            <w:tcW w:w="0" w:type="dxa"/>
            <w:vAlign w:val="bottom"/>
          </w:tcPr>
          <w:p>
            <w:pPr>
              <w:spacing w:after="0"/>
              <w:rPr>
                <w:sz w:val="1"/>
                <w:szCs w:val="1"/>
                <w:color w:val="auto"/>
              </w:rPr>
            </w:pPr>
          </w:p>
        </w:tc>
      </w:tr>
      <w:tr>
        <w:trPr>
          <w:trHeight w:val="245"/>
        </w:trPr>
        <w:tc>
          <w:tcPr>
            <w:tcW w:w="20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Life in Years</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Value</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Amortization</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Value</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Amortization</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4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Audio and video technology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r>
        <w:trPr>
          <w:trHeight w:val="235"/>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Wireless connectivity</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w:t>
            </w:r>
          </w:p>
        </w:tc>
        <w:tc>
          <w:tcPr>
            <w:tcW w:w="0" w:type="dxa"/>
            <w:vAlign w:val="bottom"/>
          </w:tcPr>
          <w:p>
            <w:pPr>
              <w:spacing w:after="0"/>
              <w:rPr>
                <w:sz w:val="1"/>
                <w:szCs w:val="1"/>
                <w:color w:val="auto"/>
              </w:rPr>
            </w:pPr>
          </w:p>
        </w:tc>
      </w:tr>
      <w:tr>
        <w:trPr>
          <w:trHeight w:val="235"/>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Video interface technology</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5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74"/>
        </w:trPr>
        <w:tc>
          <w:tcPr>
            <w:tcW w:w="2000" w:type="dxa"/>
            <w:vAlign w:val="bottom"/>
          </w:tcPr>
          <w:p>
            <w:pPr>
              <w:ind w:left="160"/>
              <w:spacing w:after="0" w:line="174" w:lineRule="exact"/>
              <w:rPr>
                <w:sz w:val="20"/>
                <w:szCs w:val="20"/>
                <w:color w:val="auto"/>
              </w:rPr>
            </w:pPr>
            <w:r>
              <w:rPr>
                <w:rFonts w:ascii="Times New Roman" w:cs="Times New Roman" w:eastAsia="Times New Roman" w:hAnsi="Times New Roman"/>
                <w:sz w:val="17"/>
                <w:szCs w:val="17"/>
                <w:color w:val="auto"/>
              </w:rPr>
              <w:t>Acquired intangibles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794.7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(530.9)</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263.8</w:t>
            </w:r>
          </w:p>
        </w:tc>
        <w:tc>
          <w:tcPr>
            <w:tcW w:w="100" w:type="dxa"/>
            <w:vAlign w:val="bottom"/>
          </w:tcPr>
          <w:p>
            <w:pPr>
              <w:spacing w:after="0"/>
              <w:rPr>
                <w:sz w:val="15"/>
                <w:szCs w:val="15"/>
                <w:color w:val="auto"/>
              </w:rPr>
            </w:pPr>
          </w:p>
        </w:tc>
        <w:tc>
          <w:tcPr>
            <w:tcW w:w="2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794.7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(506.3)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288.4</w:t>
            </w:r>
          </w:p>
        </w:tc>
        <w:tc>
          <w:tcPr>
            <w:tcW w:w="0" w:type="dxa"/>
            <w:vAlign w:val="bottom"/>
          </w:tcPr>
          <w:p>
            <w:pPr>
              <w:spacing w:after="0"/>
              <w:rPr>
                <w:sz w:val="1"/>
                <w:szCs w:val="1"/>
                <w:color w:val="auto"/>
              </w:rPr>
            </w:pPr>
          </w:p>
        </w:tc>
      </w:tr>
      <w:tr>
        <w:trPr>
          <w:trHeight w:val="224"/>
        </w:trPr>
        <w:tc>
          <w:tcPr>
            <w:tcW w:w="2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totals</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Certain intangible assets from June 2024 have been reclassified to conform to the current period presentation and are presented in the Other line item in the table above.</w:t>
      </w:r>
    </w:p>
    <w:p>
      <w:pPr>
        <w:spacing w:after="0" w:line="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total amortization expense for the acquired intangible assets was $24.6 million and $23.3 million for the three months ended September 2024 and September 2023, respectively.</w:t>
      </w:r>
    </w:p>
    <w:p>
      <w:pPr>
        <w:spacing w:after="0" w:line="5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2024 and September 2023, $20.8 million and $17.8 million, respectively, of amortization expense was included in our condensed consolidated statements of operations in cost of revenue; the remainder was included in acquired intangibles amortization.</w:t>
      </w:r>
    </w:p>
    <w:p>
      <w:pPr>
        <w:spacing w:after="0" w:line="54"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estimated future amortization expense of acquired amortizable intangible assets as of September 2024 (in millions):</w:t>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Remainder of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jc w:val="right"/>
        <w:ind w:right="7433"/>
        <w:spacing w:after="0"/>
        <w:rPr>
          <w:sz w:val="20"/>
          <w:szCs w:val="20"/>
          <w:color w:val="auto"/>
        </w:rPr>
      </w:pPr>
      <w:r>
        <w:rPr>
          <w:rFonts w:ascii="Times New Roman" w:cs="Times New Roman" w:eastAsia="Times New Roman" w:hAnsi="Times New Roman"/>
          <w:sz w:val="18"/>
          <w:szCs w:val="18"/>
          <w:color w:val="auto"/>
        </w:rPr>
        <w:t>Future amortization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1087" w:hanging="1087"/>
        <w:spacing w:after="0"/>
        <w:tabs>
          <w:tab w:leader="none" w:pos="108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73.3</w:t>
      </w:r>
    </w:p>
    <w:p>
      <w:pPr>
        <w:spacing w:after="0" w:line="61" w:lineRule="exact"/>
        <w:rPr>
          <w:rFonts w:ascii="Times New Roman" w:cs="Times New Roman" w:eastAsia="Times New Roman" w:hAnsi="Times New Roman"/>
          <w:sz w:val="17"/>
          <w:szCs w:val="17"/>
          <w:color w:val="auto"/>
        </w:rPr>
      </w:pPr>
    </w:p>
    <w:p>
      <w:pPr>
        <w:ind w:left="10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84.8</w:t>
      </w:r>
    </w:p>
    <w:p>
      <w:pPr>
        <w:spacing w:after="0" w:line="61" w:lineRule="exact"/>
        <w:rPr>
          <w:rFonts w:ascii="Times New Roman" w:cs="Times New Roman" w:eastAsia="Times New Roman" w:hAnsi="Times New Roman"/>
          <w:sz w:val="17"/>
          <w:szCs w:val="17"/>
          <w:color w:val="auto"/>
        </w:rPr>
      </w:pPr>
    </w:p>
    <w:p>
      <w:pPr>
        <w:ind w:left="10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w:t>
      </w:r>
    </w:p>
    <w:p>
      <w:pPr>
        <w:spacing w:after="0" w:line="61" w:lineRule="exact"/>
        <w:rPr>
          <w:rFonts w:ascii="Times New Roman" w:cs="Times New Roman" w:eastAsia="Times New Roman" w:hAnsi="Times New Roman"/>
          <w:sz w:val="17"/>
          <w:szCs w:val="17"/>
          <w:color w:val="auto"/>
        </w:rPr>
      </w:pPr>
    </w:p>
    <w:p>
      <w:pPr>
        <w:ind w:left="10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33.9</w:t>
      </w:r>
    </w:p>
    <w:p>
      <w:pPr>
        <w:spacing w:after="0" w:line="61" w:lineRule="exact"/>
        <w:rPr>
          <w:rFonts w:ascii="Times New Roman" w:cs="Times New Roman" w:eastAsia="Times New Roman" w:hAnsi="Times New Roman"/>
          <w:sz w:val="17"/>
          <w:szCs w:val="17"/>
          <w:color w:val="auto"/>
        </w:rPr>
      </w:pPr>
    </w:p>
    <w:p>
      <w:pPr>
        <w:ind w:left="10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15.5</w:t>
      </w:r>
    </w:p>
    <w:p>
      <w:pPr>
        <w:spacing w:after="0" w:line="61" w:lineRule="exact"/>
        <w:rPr>
          <w:rFonts w:ascii="Times New Roman" w:cs="Times New Roman" w:eastAsia="Times New Roman" w:hAnsi="Times New Roman"/>
          <w:sz w:val="17"/>
          <w:szCs w:val="17"/>
          <w:color w:val="auto"/>
        </w:rPr>
      </w:pPr>
    </w:p>
    <w:p>
      <w:pPr>
        <w:ind w:left="11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w:t>
      </w:r>
    </w:p>
    <w:p>
      <w:pPr>
        <w:spacing w:after="0" w:line="75" w:lineRule="exact"/>
        <w:rPr>
          <w:sz w:val="20"/>
          <w:szCs w:val="20"/>
          <w:color w:val="auto"/>
        </w:rPr>
      </w:pPr>
    </w:p>
    <w:p>
      <w:pPr>
        <w:ind w:left="987" w:hanging="987"/>
        <w:spacing w:after="0"/>
        <w:tabs>
          <w:tab w:leader="none" w:pos="98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9429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682" w:lineRule="exact"/>
        <w:rPr>
          <w:sz w:val="20"/>
          <w:szCs w:val="20"/>
          <w:color w:val="auto"/>
        </w:rPr>
      </w:pPr>
    </w:p>
    <w:p>
      <w:pPr>
        <w:sectPr>
          <w:pgSz w:w="11900" w:h="16838" w:orient="portrait"/>
          <w:cols w:equalWidth="0" w:num="2">
            <w:col w:w="9053" w:space="720"/>
            <w:col w:w="1467"/>
          </w:cols>
          <w:pgMar w:left="320" w:top="121" w:right="339" w:bottom="1440" w:gutter="0" w:footer="0" w:header="0"/>
          <w:type w:val="continuous"/>
        </w:sect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leases primarily include our worldwide office and research and development facilities which are all classified as operating leases. Certain leases include renewal options at our discretion. The leases expire at various dates through fiscal 2034, some of which include options to extend the lease for up to seven years. For the three months ended September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left="660" w:right="23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2024 and September 2023, we recorded operating lease expense of approximately $3.2 million and $2.9 million, respectively. Our short-term leases are immaterial and we do not have finance leases.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2024 and June 2024, the components of leases are as follows (in millions):</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w:t>
            </w:r>
          </w:p>
        </w:tc>
        <w:tc>
          <w:tcPr>
            <w:tcW w:w="34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June</w:t>
            </w:r>
          </w:p>
        </w:tc>
      </w:tr>
      <w:tr>
        <w:trPr>
          <w:trHeight w:val="263"/>
        </w:trPr>
        <w:tc>
          <w:tcPr>
            <w:tcW w:w="47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82"/>
        </w:trPr>
        <w:tc>
          <w:tcPr>
            <w:tcW w:w="4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r>
      <w:tr>
        <w:trPr>
          <w:trHeight w:val="22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57"/>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including from acquisitions, is as follows (in millions):</w:t>
      </w:r>
    </w:p>
    <w:p>
      <w:pPr>
        <w:spacing w:after="0" w:line="171"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0"/>
                <w:szCs w:val="20"/>
                <w:color w:val="auto"/>
              </w:rPr>
            </w:pPr>
          </w:p>
        </w:tc>
      </w:tr>
      <w:tr>
        <w:trPr>
          <w:trHeight w:val="263"/>
        </w:trPr>
        <w:tc>
          <w:tcPr>
            <w:tcW w:w="474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September</w:t>
            </w:r>
          </w:p>
        </w:tc>
        <w:tc>
          <w:tcPr>
            <w:tcW w:w="440" w:type="dxa"/>
            <w:vAlign w:val="bottom"/>
            <w:tcBorders>
              <w:bottom w:val="single" w:sz="8" w:color="auto"/>
            </w:tcBorders>
          </w:tcPr>
          <w:p>
            <w:pPr>
              <w:spacing w:after="0"/>
              <w:rPr>
                <w:sz w:val="22"/>
                <w:szCs w:val="22"/>
                <w:color w:val="auto"/>
              </w:rPr>
            </w:pPr>
          </w:p>
        </w:tc>
      </w:tr>
      <w:tr>
        <w:trPr>
          <w:trHeight w:val="250"/>
        </w:trPr>
        <w:tc>
          <w:tcPr>
            <w:tcW w:w="474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21"/>
                <w:szCs w:val="21"/>
                <w:color w:val="auto"/>
              </w:rPr>
            </w:pPr>
          </w:p>
        </w:tc>
      </w:tr>
      <w:tr>
        <w:trPr>
          <w:trHeight w:val="25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1"/>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arising from obtaining right-of-use assets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2024, the weighted average remaining lease term is 6.33 years, and the weighted average discount rate is 5.34%.</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for the operating lease liabilities are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Operating</w:t>
            </w:r>
          </w:p>
        </w:tc>
        <w:tc>
          <w:tcPr>
            <w:tcW w:w="0" w:type="dxa"/>
            <w:vAlign w:val="bottom"/>
          </w:tcPr>
          <w:p>
            <w:pPr>
              <w:spacing w:after="0"/>
              <w:rPr>
                <w:sz w:val="1"/>
                <w:szCs w:val="1"/>
                <w:color w:val="auto"/>
              </w:rPr>
            </w:pPr>
          </w:p>
        </w:tc>
      </w:tr>
      <w:tr>
        <w:trPr>
          <w:trHeight w:val="203"/>
        </w:trPr>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right"/>
              <w:ind w:right="560"/>
              <w:spacing w:after="0" w:line="202" w:lineRule="exact"/>
              <w:rPr>
                <w:sz w:val="20"/>
                <w:szCs w:val="20"/>
                <w:color w:val="auto"/>
              </w:rPr>
            </w:pPr>
            <w:r>
              <w:rPr>
                <w:rFonts w:ascii="Times New Roman" w:cs="Times New Roman" w:eastAsia="Times New Roman" w:hAnsi="Times New Roman"/>
                <w:sz w:val="18"/>
                <w:szCs w:val="18"/>
                <w:color w:val="auto"/>
              </w:rPr>
              <w:t>Lease</w:t>
            </w:r>
          </w:p>
        </w:tc>
        <w:tc>
          <w:tcPr>
            <w:tcW w:w="0" w:type="dxa"/>
            <w:vAlign w:val="bottom"/>
          </w:tcPr>
          <w:p>
            <w:pPr>
              <w:spacing w:after="0"/>
              <w:rPr>
                <w:sz w:val="1"/>
                <w:szCs w:val="1"/>
                <w:color w:val="auto"/>
              </w:rPr>
            </w:pPr>
          </w:p>
        </w:tc>
      </w:tr>
      <w:tr>
        <w:trPr>
          <w:trHeight w:val="255"/>
        </w:trPr>
        <w:tc>
          <w:tcPr>
            <w:tcW w:w="1600" w:type="dxa"/>
            <w:vAlign w:val="bottom"/>
          </w:tcPr>
          <w:p>
            <w:pPr>
              <w:spacing w:after="0"/>
              <w:rPr>
                <w:sz w:val="22"/>
                <w:szCs w:val="22"/>
                <w:color w:val="auto"/>
              </w:rPr>
            </w:pP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57"/>
        </w:trPr>
        <w:tc>
          <w:tcPr>
            <w:tcW w:w="1600" w:type="dxa"/>
            <w:vAlign w:val="bottom"/>
          </w:tcPr>
          <w:p>
            <w:pPr>
              <w:spacing w:after="0"/>
              <w:rPr>
                <w:sz w:val="22"/>
                <w:szCs w:val="22"/>
                <w:color w:val="auto"/>
              </w:rPr>
            </w:pPr>
          </w:p>
        </w:tc>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0"/>
        </w:trPr>
        <w:tc>
          <w:tcPr>
            <w:tcW w:w="644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0"/>
        </w:trPr>
        <w:tc>
          <w:tcPr>
            <w:tcW w:w="6440" w:type="dxa"/>
            <w:vAlign w:val="bottom"/>
            <w:gridSpan w:val="3"/>
          </w:tcPr>
          <w:p>
            <w:pPr>
              <w:ind w:left="16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484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57"/>
        </w:trPr>
        <w:tc>
          <w:tcPr>
            <w:tcW w:w="1600" w:type="dxa"/>
            <w:vAlign w:val="bottom"/>
          </w:tcPr>
          <w:p>
            <w:pPr>
              <w:spacing w:after="0"/>
              <w:rPr>
                <w:sz w:val="22"/>
                <w:szCs w:val="22"/>
                <w:color w:val="auto"/>
              </w:rPr>
            </w:pPr>
          </w:p>
        </w:tc>
        <w:tc>
          <w:tcPr>
            <w:tcW w:w="4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24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484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7"/>
        </w:trPr>
        <w:tc>
          <w:tcPr>
            <w:tcW w:w="1600" w:type="dxa"/>
            <w:vAlign w:val="bottom"/>
          </w:tcPr>
          <w:p>
            <w:pPr>
              <w:spacing w:after="0"/>
              <w:rPr>
                <w:sz w:val="24"/>
                <w:szCs w:val="24"/>
                <w:color w:val="auto"/>
              </w:rPr>
            </w:pPr>
          </w:p>
        </w:tc>
        <w:tc>
          <w:tcPr>
            <w:tcW w:w="48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Balance Sheet Components</w:t>
            </w: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millions):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1"/>
                <w:szCs w:val="21"/>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21"/>
                <w:szCs w:val="21"/>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-2990850</wp:posOffset>
            </wp:positionV>
            <wp:extent cx="596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assets consisted of the following (in millions):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September</w:t>
            </w:r>
          </w:p>
        </w:tc>
        <w:tc>
          <w:tcPr>
            <w:tcW w:w="34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63"/>
        </w:trPr>
        <w:tc>
          <w:tcPr>
            <w:tcW w:w="8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Prepayment of intangible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bottom w:val="single" w:sz="8" w:color="CFF0FC"/>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millions):</w:t>
            </w: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September</w:t>
            </w:r>
          </w:p>
        </w:tc>
        <w:tc>
          <w:tcPr>
            <w:tcW w:w="34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obligations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0" w:type="dxa"/>
            <w:vAlign w:val="bottom"/>
          </w:tcPr>
          <w:p>
            <w:pPr>
              <w:spacing w:after="0"/>
              <w:rPr>
                <w:sz w:val="1"/>
                <w:szCs w:val="1"/>
                <w:color w:val="auto"/>
              </w:rPr>
            </w:pPr>
          </w:p>
        </w:tc>
      </w:tr>
      <w:tr>
        <w:trPr>
          <w:trHeight w:val="27"/>
        </w:trPr>
        <w:tc>
          <w:tcPr>
            <w:tcW w:w="818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millions):</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8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September</w:t>
            </w:r>
          </w:p>
        </w:tc>
        <w:tc>
          <w:tcPr>
            <w:tcW w:w="34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w:t>
            </w:r>
          </w:p>
        </w:tc>
        <w:tc>
          <w:tcPr>
            <w:tcW w:w="0" w:type="dxa"/>
            <w:vAlign w:val="bottom"/>
          </w:tcPr>
          <w:p>
            <w:pPr>
              <w:spacing w:after="0"/>
              <w:rPr>
                <w:sz w:val="1"/>
                <w:szCs w:val="1"/>
                <w:color w:val="auto"/>
              </w:rPr>
            </w:pPr>
          </w:p>
        </w:tc>
      </w:tr>
      <w:tr>
        <w:trPr>
          <w:trHeight w:val="263"/>
        </w:trPr>
        <w:tc>
          <w:tcPr>
            <w:tcW w:w="8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56"/>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6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Indemnifications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have entered into indemnification agreements with our officers and directors. In addition, in connection with certain agreements, we are obligated to indemnify the counterparty against third party claims alleging infringement of certain intellectual property rights by us. Maximum potential future payments under these agreements cannot be estimated because these agreements generally do not have a maximum stated liability. Historical costs related to these indemnification provisions have not been significant. However, we will accrue for any losses related to these indemnification agreements when it is both probable that we will incur the loss and we can reasonably estimate the amount of the loss or range of loss. During the three months ended September 2024, we recorded an estimated liability of $2.2 million related to our proportionate share of an indemnity obligation to defend a counterparty against a third party claim alleging infringement of certain intellectual property rights.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1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have in the past, and may in the future, receive notices from third parties that claim our products infringe their intellectual property rights. We cannot be certain that our technologies and products do not, and will not, infringe issued patents or other proprietary rights of third parties.</w:t>
      </w:r>
    </w:p>
    <w:p>
      <w:pPr>
        <w:spacing w:after="0" w:line="54"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Any infringement claims, with or without merit, could result in significant litigation costs and diversion of management and financial resources, including the payment of damages, which could have a material adverse effect on our business, financial condition,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various claims and legal proceedings, either asserted or unasserted, that arise in the ordinary course of business. While we currently believe that resolving claims against us, individually or in the aggregate, will not have a material adverse impact on our business, financial condition, or results of operations, these matters are subject to inherent uncertainties and our view of these matters may change in the future. We accrue for loss contingencies when it is both probable that we will incur the loss and we can reasonably estimate the amount of the loss or range of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1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On March 11, 2021, we completed an offering of $400.0 million aggregate principal amount of 4.0% senior notes due 2029, or the Senior Notes, in a private offering. The Senior Notes were issued pursuant to an indenture, dated as of March 11, 2021, or the Indenture, by and among our company, the guarantors named therein and Wells Fargo Bank, National Association, as trustee.</w:t>
      </w:r>
    </w:p>
    <w:p>
      <w:pPr>
        <w:spacing w:after="0" w:line="68"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Indenture provides that the Senior Notes will bear interest at a rate of 4.0% per annum, payable in cash semi-annually in arrears on December 15 and June 15 of each year, commencing on June 15, 2021. The Senior Notes will mature on June 15, 2029 and are fully and unconditionally guaranteed, jointly and severally, on a senior unsecured basis by each of our current and future domestic restricted subsidiaries that guarantee our obligations under our senior secured credit facilities.</w:t>
      </w:r>
    </w:p>
    <w:p>
      <w:pPr>
        <w:spacing w:after="0" w:line="7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On or after June 15, 2024, we may redeem some or all of the Senior Notes at the redemption prices specified below, plus accrued and unpaid interest, if any, up to, but excluding, the redemption date: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20" w:type="dxa"/>
            <w:vAlign w:val="bottom"/>
            <w:gridSpan w:val="2"/>
          </w:tcPr>
          <w:p>
            <w:pPr>
              <w:ind w:left="4600"/>
              <w:spacing w:after="0"/>
              <w:rPr>
                <w:sz w:val="20"/>
                <w:szCs w:val="20"/>
                <w:color w:val="auto"/>
              </w:rPr>
            </w:pPr>
            <w:r>
              <w:rPr>
                <w:rFonts w:ascii="Times New Roman" w:cs="Times New Roman" w:eastAsia="Times New Roman" w:hAnsi="Times New Roman"/>
                <w:sz w:val="18"/>
                <w:szCs w:val="18"/>
                <w:color w:val="auto"/>
              </w:rPr>
              <w:t>Year</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Price</w:t>
            </w:r>
          </w:p>
        </w:tc>
      </w:tr>
      <w:tr>
        <w:trPr>
          <w:trHeight w:val="256"/>
        </w:trPr>
        <w:tc>
          <w:tcPr>
            <w:tcW w:w="95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CFF0FC"/>
            </w:tcBorders>
            <w:shd w:val="clear" w:color="auto" w:fill="CFF0FC"/>
          </w:tcPr>
          <w:p>
            <w:pPr>
              <w:spacing w:after="0"/>
              <w:rPr>
                <w:sz w:val="22"/>
                <w:szCs w:val="22"/>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5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63"/>
        </w:trPr>
        <w:tc>
          <w:tcPr>
            <w:tcW w:w="9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Senior Notes are the general unsecured obligations of our company. The Senior Note guarantees are the senior unsecured obligations of each guarantor. Under certain circumstances, the guarantors may be released from their Senior Note guarantees without consent of the holders of Senior Notes. Under the terms of the Indenture, the Senior Notes rank equally in right of payment with all of our and the guarantors’ existing and future senior indebtedness, and rank contractually senior in right of payment to our and the guarantors’ future indebtedness and other obligations that are, by their terms, expressly subordinated in right of payment to the Senior Notes. The Senior Notes are effectively subordinated to our and the guarantors’ existing and future secured indebtedness, including secured indebtedness under our senior secured credit facilities, to the extent of the value of the assets securing such indebtedness. The Senior Notes and guarantees are structurally subordinated to all existing and future indebtedness and liabilities (including trade payables) of our subsidiaries that do not guarantee the Senior Notes.</w:t>
      </w:r>
    </w:p>
    <w:p>
      <w:pPr>
        <w:spacing w:after="0" w:line="8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Indenture contains covenants that, subject to exceptions and qualifications, among other things, limit our ability and the ability of our Restricted Subsidiaries (as defined in the Indenture) to (i) incur additional indebtedness and guarantee indebtedness; (ii) pay dividends or make other distributions or repurchase or redeem our company’s or any parent’s capital stock; (iii) prepay, redeem or repurchase certain indebtedness; (iv) issue certain preferred stock or similar equity securities; (v) make loans and investments; (vi) dispose of assets; (vii) incur liens; (viii) enter into transactions with affiliates; (ix) enter into agreements restricting its subsidiaries’ ability to pay dividends; and (x) consolidate, merge or sell all, or substantially all, of its assets.</w:t>
      </w:r>
    </w:p>
    <w:p>
      <w:pPr>
        <w:spacing w:after="0" w:line="7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Indenture contains customary events of default including, without limitation, failure to make required payments, failure to comply with certain agreements or covenants, cross-acceleration to certain other indebtedness in excess of specified amounts, certain events of bankruptcy and insolvency, and failure to pay certain judgments. An event of default under the Indenture will allow either the trustee or the holders of at least 25% in aggregate principal amount of the then outstanding Senior Notes to accelerate, or in certain cases, will automatically cause the acceleration of, the maturity of the principal, and accrued and unpaid interest, if any, on all outstanding Notes.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Debt issuance costs relating to the Senior Notes of $5.7 million, netted against the debt amount on the condensed consolidated balance sheet, </w:t>
      </w:r>
      <w:r>
        <w:rPr>
          <w:rFonts w:ascii="Times New Roman" w:cs="Times New Roman" w:eastAsia="Times New Roman" w:hAnsi="Times New Roman"/>
          <w:sz w:val="18"/>
          <w:szCs w:val="18"/>
          <w:color w:val="252525"/>
        </w:rPr>
        <w:t>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amortized as interest expense through the maturity date</w:t>
      </w:r>
      <w:r>
        <w:rPr>
          <w:rFonts w:ascii="Times New Roman" w:cs="Times New Roman" w:eastAsia="Times New Roman" w:hAnsi="Times New Roman"/>
          <w:sz w:val="18"/>
          <w:szCs w:val="18"/>
          <w:color w:val="000000"/>
        </w:rPr>
        <w:t>. The total interest expense and amortization of the debt issuance costs recorded on the Senior Notes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during the three months ended September 2024 and September 2023 was $4.1 million in each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On March 16, 2023, we entered into a Second Amendment, or the Second Amendment, and on July 28, 2023, we entered into a Third Amendment, or the Third Amendment, to our Second Amended and Restated Credit Agreement, as amended, or the Credit Agreement, with the lenders party thereto and Wells Fargo Bank, National Association, as administrative agent, dated March 11, 2021. The Second Amendment replaces the LIBOR-based interest rate applicable to borrowings under the Credit Agreement with a SOFR-based interest rate, and the Third Amendment provides that the consolidated interest coverage ratio financial covenant only applies if, as of the last day of any fiscal quarter, our aggregate cash and cash equivalents balance is less than $450 million.</w:t>
      </w:r>
    </w:p>
    <w:p>
      <w:pPr>
        <w:spacing w:after="0" w:line="7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revolving credit facility in a principal amount of up to $250 million, which includes a $20 million sublimit for letters of credit and a $25 million sublimit for swingline loans. Under the terms of the Credit Agreement, we may, subject to the satisfaction of certain conditions, request increases in the revolving credit facility commitments in an aggregate principal amount of up to $150 million to the extent existing or new lenders agree to provide such increased or additional commitments, as applicable. Future proceeds under the revolving credit facility are available for working capital and general corporate purposes. As of September 2024, there was no balance outstanding under the revolving credit facility.</w:t>
      </w:r>
    </w:p>
    <w:p>
      <w:pPr>
        <w:spacing w:after="0" w:line="7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Borrowings under the revolving credit facility are required to be repaid in full by March 11, 2026. Debt issuance costs relating to the revolving credit facility of $1.6 million, included in non-current other assets on our consolidated balance sheet, are being amortized over 60 months.</w:t>
      </w:r>
    </w:p>
    <w:p>
      <w:pPr>
        <w:spacing w:after="0" w:line="54"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the material domestic subsidiaries of our company, subject to certain exceptions, who collectively with our company are referred to as the Credit Parties. The obligations of the Credit Parties under the Amended Credit Agreement and the other loan documents delivered in connection therewith are secured by a first priority security interest in substantially all of the existing and future personal property of the Credit Parties, including, without limitation, 65% of the voting capital stock and 100% of the non-voting capital stock of certain of the Credit Parties’ direct foreign subsidiaries, subject to certain exceptions.</w:t>
      </w:r>
    </w:p>
    <w:p>
      <w:pPr>
        <w:spacing w:after="0" w:line="75" w:lineRule="exact"/>
        <w:rPr>
          <w:sz w:val="20"/>
          <w:szCs w:val="20"/>
          <w:color w:val="auto"/>
        </w:rPr>
      </w:pPr>
    </w:p>
    <w:p>
      <w:pPr>
        <w:jc w:val="both"/>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Credit Agreement bears interest, at our election, of a Base Rate plus an Applicable Margin or Adjusted Term SOFR, as defined in the Second Amendment, plus an Applicable Margin. Swingline loans bear interest at a Base Rate plus an Applicable Margin. The Base Rate is a floating rate that is the greater of the Prime Rate, the Federal Funds Rate plus 50 basis points, or Adjusted Term SOFR plus 100 basis points. The Applicable Margin is based on a sliding scale which ranges from 25 to 100 basis points for Base Rate loans and 100 basis points to 175 basis points for Adjusted Term SOFR loans. We are required to pay a commitment fee on any unused commitments under the Credit Agreement which is determined on a leverage-based sliding scale ranging from 0.175% to 0.25% per annum. Interest and fees are payable on a quarterly basis.</w:t>
      </w:r>
    </w:p>
    <w:p>
      <w:pPr>
        <w:spacing w:after="0" w:line="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Under the Credit Agreement, there are various restrictive covenants, including two financial covenants which limit the consolidated total leverage ratio, or leverage ratio, the consolidated interest coverage ratio, or interest coverage ratio, which, after the Third Amendment, only applies if our cash and cash equivalents balance is less than $450 million as of the last day of any fiscal quarter. The leverage ratio is the ratio of net debt as of the measurement date to Consolidated EBITDA, for the four consecutive quarters ending with the quarter of measurement. The current leverage ratio shall not exceed 3.75 to 1.00 provided that for the four fiscal quarters ending after the date of a material acquisition, such maximum leverage ratio shall be adjusted to 4.25 to 1.00, and thereafter 3.75 to 1.0. The interest coverage ratio is Consolidated EBITDA to interest expense for the four consecutive quarters ending with the quarter of measurement. If our quarter-end cash and cash equivalents balance is less than $450.0 million, the interest coverage ratio must not be less than 3.50 to 1.0 as of the date of determination. As of September 2024, we remain in compliance with the restrictive covenants.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December 2, 2021, we entered into that certain First Amendment and Lender Joinder Agreement to the Credit Agreement, to, among other things, establish a new $600.0 million incremental term loan facility, or the Term Loan Facility. The Term Loan Facility was advanced by certain existing and new lenders under the Credit Agreement to finance the DSPG acquisition. The Term Loan Facility matures on December 2, 2028. Principal on the Term Loan Facility is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payable in equal quarterly installments on the last day of each March, June, September and December of each year, beginning December 31, 2021, at a rate of 1.00% per annum.</w:t>
      </w:r>
    </w:p>
    <w:p>
      <w:pPr>
        <w:spacing w:after="0" w:line="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Term Loan Facility accrue interest at the SOFR, plus 2.25%, or at the Base Rate plus 1.25%, subject to a 25 basis point step-down based on total gross leverage, and subject to an Adjusted Term SOFR floor of 50 basis points. The base rate is the highest of (i) the Federal Funds Rate plus 0.50%, (ii) the Prime Rate and (iii) the one-month Adjusted Term SOFR plus 1.00%. The Term Loan Facility contains customary representations and warranties, affirmative and negative covenants and events of default, in each case consistent with the Credit Agreement. The Term Loan Facility does not contain any financial covenants.</w:t>
      </w:r>
    </w:p>
    <w:p>
      <w:pPr>
        <w:spacing w:after="0" w:line="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Term Loan Facility is subject to a 1.00% prepayment premium in the event all or any portion of the Term Loan Facility is prepaid within the first 6 months in connection with a repricing transaction only. The Term Loan Facility is subject to customary mandatory prepayments, including an excess cash flow sweep, subject to customary step-downs and thresholds.</w:t>
      </w:r>
    </w:p>
    <w:p>
      <w:pPr>
        <w:spacing w:after="0" w:line="68"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Debt issuance costs relating to the Term Loan Facility of $11.2 million, netted against the debt amount on the condensed consolidated balance sheet, are amortized as interest expense through the maturity date. The total interest expense and amortization of the debt issuance costs recorded on the Term Loan Facility was $11.7 million and $11.8 million during the three months ended September 2024 and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Plans</w:t>
      </w:r>
    </w:p>
    <w:p>
      <w:pPr>
        <w:spacing w:after="0" w:line="11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October 29, 2019, our stockholders approved: (i) our 2019 Equity and Incentive Compensation Plan, or the 2019 Incentive Plan, to replace our Amended and Restated 2010 Incentive Compensation Plan, or the 2010 Incentive Plan, and (ii) our 2019 Employee Stock Purchase Plan, or the 2019 ESPP, to replace our Amended and Restated 2010 Employee Stock Purchase Plan. Awards outstanding at October 29, 2019 under our prior share-based compensation plans were not impacted by the approval of the 2019 Incentive Plan and continue to remain outstanding and vest by their terms under the applicable share-based compensation plan. Shares underlying certain share-based awards forfeited under the 2010 Incentive Plan subsequent to the approval of the 2019 Incentive Plan automatically transfer to and become available for award issuance from the 2019 Incentive Plan.</w:t>
      </w:r>
    </w:p>
    <w:p>
      <w:pPr>
        <w:spacing w:after="0" w:line="7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2019 Incentive Plan authorizes our Board of Directors to provide equity-based compensation in the form of stock options, stock appreciation rights, restricted stock, RSUs, cash incentive awards, performance shares, PSUs, and other stock-based awards. The 2019 Incentive Plan has been amended and restated, and the cumulative number of shares approved by stockholders is 7,588,000 as of October 29, 2024. The 2019 ESPP authorizes the Company to provide eligible employees with an opportunity to acquire an equity interest in the Company through the purchase of stock at a discount, with an initial authorization of 1,500,000 shares.</w:t>
      </w:r>
    </w:p>
    <w:p>
      <w:pPr>
        <w:spacing w:after="0" w:line="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Effective August 19, 2019, we adopted the 2019 Inducement Equity Plan, and 650,000 shares of our common stock were reserved for issuance under the 2019 Inducement Equity Plan, subject to adjustment for stock dividends, stock splits, or other changes in our common stock or capital structure. The 2019 Inducement Equity Plan was intended to comply with Rule 5635(c)(4) of the Nasdaq Stock Market Listing Rules, which provide an exception to the Nasdaq Stock Market Listing Rules on the shareholder approval requirement for the issuance of securities with regards to grants to employees of the Company or its subsidiaries as an inducement material to such individuals entering into employment with the Company or its subsidiaries. An individual was eligible to receive an award under the 2019 Inducement Equity Plan only if he or she was not previously an employee or director of our Company (or is returning to work after a bona-fide period of non-employment), and an award under the 2019 Inducement Equity Plan is a material inducement for him or her to accept employment with our Company. No new awards may be granted under the 2019 Inducement Equity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Share-based compensation recognized in our condensed consolidated statements of operations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520" w:type="dxa"/>
            <w:vAlign w:val="bottom"/>
          </w:tcPr>
          <w:p>
            <w:pPr>
              <w:spacing w:after="0"/>
              <w:rPr>
                <w:sz w:val="20"/>
                <w:szCs w:val="20"/>
                <w:color w:val="auto"/>
              </w:rPr>
            </w:pPr>
          </w:p>
        </w:tc>
      </w:tr>
      <w:tr>
        <w:trPr>
          <w:trHeight w:val="263"/>
        </w:trPr>
        <w:tc>
          <w:tcPr>
            <w:tcW w:w="6360" w:type="dxa"/>
            <w:vAlign w:val="bottom"/>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September</w:t>
            </w:r>
          </w:p>
        </w:tc>
        <w:tc>
          <w:tcPr>
            <w:tcW w:w="1520" w:type="dxa"/>
            <w:vAlign w:val="bottom"/>
            <w:tcBorders>
              <w:bottom w:val="single" w:sz="8" w:color="auto"/>
            </w:tcBorders>
          </w:tcPr>
          <w:p>
            <w:pPr>
              <w:spacing w:after="0"/>
              <w:rPr>
                <w:sz w:val="22"/>
                <w:szCs w:val="22"/>
                <w:color w:val="auto"/>
              </w:rPr>
            </w:pPr>
          </w:p>
        </w:tc>
      </w:tr>
      <w:tr>
        <w:trPr>
          <w:trHeight w:val="250"/>
        </w:trPr>
        <w:tc>
          <w:tcPr>
            <w:tcW w:w="6360" w:type="dxa"/>
            <w:vAlign w:val="bottom"/>
            <w:tcBorders>
              <w:bottom w:val="single" w:sz="8" w:color="CFF0FC"/>
            </w:tcBorders>
          </w:tcPr>
          <w:p>
            <w:pPr>
              <w:spacing w:after="0"/>
              <w:rPr>
                <w:sz w:val="21"/>
                <w:szCs w:val="21"/>
                <w:color w:val="auto"/>
              </w:rPr>
            </w:pPr>
          </w:p>
        </w:tc>
        <w:tc>
          <w:tcPr>
            <w:tcW w:w="15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2023</w:t>
            </w:r>
          </w:p>
        </w:tc>
      </w:tr>
      <w:tr>
        <w:trPr>
          <w:trHeight w:val="25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540" w:type="dxa"/>
            <w:vAlign w:val="bottom"/>
            <w:shd w:val="clear" w:color="auto" w:fill="CFF0FC"/>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tcPr>
          <w:p>
            <w:pPr>
              <w:spacing w:after="0"/>
              <w:rPr>
                <w:sz w:val="21"/>
                <w:szCs w:val="21"/>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5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57"/>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2"/>
                <w:szCs w:val="22"/>
                <w:color w:val="auto"/>
              </w:rPr>
            </w:pP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63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Historically, we have issued new shares in connection with our equity-settled share-based compensation plans, however, treasury shares are also available for issuance. Any additional shares repurchased under our common stock repurchase program will be available for issuance under our share-based compensation plans.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Plan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RSUs granted generally vest ratably over three to four years from the vesting commencement date. RSU activity was as follows:</w:t>
      </w:r>
    </w:p>
    <w:p>
      <w:pPr>
        <w:spacing w:after="0" w:line="200" w:lineRule="exact"/>
        <w:rPr>
          <w:sz w:val="20"/>
          <w:szCs w:val="20"/>
          <w:color w:val="auto"/>
        </w:rPr>
      </w:pPr>
    </w:p>
    <w:p>
      <w:pPr>
        <w:spacing w:after="0" w:line="241"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5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Aggregate</w:t>
            </w:r>
          </w:p>
        </w:tc>
      </w:tr>
      <w:tr>
        <w:trPr>
          <w:trHeight w:val="229"/>
        </w:trPr>
        <w:tc>
          <w:tcPr>
            <w:tcW w:w="516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RSU</w:t>
            </w: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0"/>
        </w:trPr>
        <w:tc>
          <w:tcPr>
            <w:tcW w:w="516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Awards</w:t>
            </w: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48"/>
        </w:trPr>
        <w:tc>
          <w:tcPr>
            <w:tcW w:w="516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1"/>
                <w:szCs w:val="21"/>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(in millions)</w:t>
            </w:r>
          </w:p>
        </w:tc>
      </w:tr>
      <w:tr>
        <w:trPr>
          <w:trHeight w:val="27"/>
        </w:trPr>
        <w:tc>
          <w:tcPr>
            <w:tcW w:w="516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1,620,006</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5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(436,766)</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51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(117,592)</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r>
      <w:tr>
        <w:trPr>
          <w:trHeight w:val="281"/>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2024</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2,184,184</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w:t>
            </w: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September 27, 2024, of $78.48.</w:t>
      </w:r>
    </w:p>
    <w:p>
      <w:pPr>
        <w:spacing w:after="0" w:line="11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unrecognized share-based compensation cost of our outstanding RSUs was approximately $180.7 million as of September 2024, which will be recognized over a weighted average period of approximately 2.34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Stock Units</w:t>
      </w:r>
    </w:p>
    <w:p>
      <w:pPr>
        <w:spacing w:after="0" w:line="11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An MSU is a promise to deliver shares of our common stock at a future date based on the achievement of market-based performance requirements in accordance with the terms of the MSU grant agreement.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MSU activity was as follows:</w:t>
      </w:r>
    </w:p>
    <w:p>
      <w:pPr>
        <w:spacing w:after="0" w:line="185"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Aggregate</w:t>
            </w:r>
          </w:p>
        </w:tc>
      </w:tr>
      <w:tr>
        <w:trPr>
          <w:trHeight w:val="230"/>
        </w:trPr>
        <w:tc>
          <w:tcPr>
            <w:tcW w:w="514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MSU</w:t>
            </w: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29"/>
        </w:trPr>
        <w:tc>
          <w:tcPr>
            <w:tcW w:w="514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Awards</w:t>
            </w: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48"/>
        </w:trPr>
        <w:tc>
          <w:tcPr>
            <w:tcW w:w="514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millions)</w:t>
            </w:r>
          </w:p>
        </w:tc>
      </w:tr>
      <w:tr>
        <w:trPr>
          <w:trHeight w:val="27"/>
        </w:trPr>
        <w:tc>
          <w:tcPr>
            <w:tcW w:w="514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r>
      <w:tr>
        <w:trPr>
          <w:trHeight w:val="250"/>
        </w:trPr>
        <w:tc>
          <w:tcPr>
            <w:tcW w:w="5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2024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200,513</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Delivered</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(55,603)</w:t>
            </w: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51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(37,473)</w:t>
            </w: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81"/>
        </w:trPr>
        <w:tc>
          <w:tcPr>
            <w:tcW w:w="5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2024</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228,202</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-33655</wp:posOffset>
            </wp:positionV>
            <wp:extent cx="59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September 27, 2024, of $78.48.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ind w:left="340" w:right="266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We value MSUs using the Monte Carlo simulation model on the date of grant and amortize the compensation expense over the three-year performance and service period on a ratable basis by tranche. The unrecognized share-based compensation cost of our outstanding MSUs was approximately $26.7 million as of September 2024, which will be recognized over a weighted average period of approximately 1.78 years .</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A PSU is a promise to deliver shares of our common stock at a future date based on the achievement of performance-based requirements in accordance with the terms of the PSU grant agreement.</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 activity was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87"/>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Aggregate</w:t>
            </w:r>
          </w:p>
        </w:tc>
      </w:tr>
      <w:tr>
        <w:trPr>
          <w:trHeight w:val="230"/>
        </w:trPr>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PSU</w:t>
            </w: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29"/>
        </w:trPr>
        <w:tc>
          <w:tcPr>
            <w:tcW w:w="8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Awards</w:t>
            </w: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48"/>
        </w:trPr>
        <w:tc>
          <w:tcPr>
            <w:tcW w:w="84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1"/>
                <w:szCs w:val="21"/>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(in millions)</w:t>
            </w:r>
          </w:p>
        </w:tc>
      </w:tr>
      <w:tr>
        <w:trPr>
          <w:trHeight w:val="27"/>
        </w:trPr>
        <w:tc>
          <w:tcPr>
            <w:tcW w:w="840" w:type="dxa"/>
            <w:vAlign w:val="bottom"/>
          </w:tcPr>
          <w:p>
            <w:pPr>
              <w:spacing w:after="0"/>
              <w:rPr>
                <w:sz w:val="2"/>
                <w:szCs w:val="2"/>
                <w:color w:val="auto"/>
              </w:rPr>
            </w:pPr>
          </w:p>
        </w:tc>
        <w:tc>
          <w:tcPr>
            <w:tcW w:w="516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40" w:type="dxa"/>
            <w:vAlign w:val="bottom"/>
          </w:tcPr>
          <w:p>
            <w:pPr>
              <w:spacing w:after="0"/>
              <w:rPr>
                <w:sz w:val="21"/>
                <w:szCs w:val="21"/>
                <w:color w:val="auto"/>
              </w:rPr>
            </w:pPr>
          </w:p>
        </w:tc>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265,362</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50"/>
        </w:trPr>
        <w:tc>
          <w:tcPr>
            <w:tcW w:w="840" w:type="dxa"/>
            <w:vAlign w:val="bottom"/>
          </w:tcPr>
          <w:p>
            <w:pPr>
              <w:spacing w:after="0"/>
              <w:rPr>
                <w:sz w:val="21"/>
                <w:szCs w:val="21"/>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840" w:type="dxa"/>
            <w:vAlign w:val="bottom"/>
          </w:tcPr>
          <w:p>
            <w:pPr>
              <w:spacing w:after="0"/>
              <w:rPr>
                <w:sz w:val="22"/>
                <w:szCs w:val="22"/>
                <w:color w:val="auto"/>
              </w:rPr>
            </w:pPr>
          </w:p>
        </w:tc>
        <w:tc>
          <w:tcPr>
            <w:tcW w:w="5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Delivered</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840" w:type="dxa"/>
            <w:vAlign w:val="bottom"/>
          </w:tcPr>
          <w:p>
            <w:pPr>
              <w:spacing w:after="0"/>
              <w:rPr>
                <w:sz w:val="21"/>
                <w:szCs w:val="21"/>
                <w:color w:val="auto"/>
              </w:rPr>
            </w:pPr>
          </w:p>
        </w:tc>
        <w:tc>
          <w:tcPr>
            <w:tcW w:w="51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(87,208)</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r>
      <w:tr>
        <w:trPr>
          <w:trHeight w:val="282"/>
        </w:trPr>
        <w:tc>
          <w:tcPr>
            <w:tcW w:w="840" w:type="dxa"/>
            <w:vAlign w:val="bottom"/>
          </w:tcPr>
          <w:p>
            <w:pPr>
              <w:spacing w:after="0"/>
              <w:rPr>
                <w:sz w:val="24"/>
                <w:szCs w:val="24"/>
                <w:color w:val="auto"/>
              </w:rPr>
            </w:pPr>
          </w:p>
        </w:tc>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2024</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365,377</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84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intrinsic value was determined using the closing price of our common stock on September 27, 2024, of $78.48</w:t>
      </w:r>
    </w:p>
    <w:p>
      <w:pPr>
        <w:spacing w:after="0" w:line="11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value PSUs using the aggregate intrinsic value on the date of grant adjusted for estimated performance achievement during the performance period and amortize the compensation expense over the three-year service period on a ratable basis. The amount of stock-based compensation expense recognized in any period related to PSUs can vary based on the achievement or anticipated achievement of the performance conditions. If the performance conditions are not met, or not expected to be met, no compensation cost would be recognized on the underlying PSUs, and any previously recognized compensation expense related to those PSUs would be reversed. The unrecognized share-based compensation cost of our outstanding PSUs was approximately $19.3 million as of September 2024, which will be recognized over a weighted average period of approximately 1.30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Shares purchased, weighted average purchase price, cash received, and the aggregate intrinsic value for employee stock purchase plan purchases during the three months ended September 2024, were as follows (in millions, except for shares purchased and weighted average price):</w:t>
      </w:r>
    </w:p>
    <w:p>
      <w:pPr>
        <w:spacing w:after="0" w:line="99" w:lineRule="exact"/>
        <w:rPr>
          <w:sz w:val="20"/>
          <w:szCs w:val="20"/>
          <w:color w:val="auto"/>
        </w:rPr>
      </w:pPr>
    </w:p>
    <w:tbl>
      <w:tblPr>
        <w:tblLayout w:type="fixed"/>
        <w:tblInd w:w="2240" w:type="dxa"/>
        <w:tblCellMar>
          <w:top w:w="0" w:type="dxa"/>
          <w:left w:w="0" w:type="dxa"/>
          <w:bottom w:w="0" w:type="dxa"/>
          <w:right w:w="0" w:type="dxa"/>
        </w:tblCellMar>
      </w:tblPr>
      <w:tr>
        <w:trPr>
          <w:trHeight w:val="25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192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122,080</w:t>
            </w:r>
          </w:p>
        </w:tc>
      </w:tr>
      <w:tr>
        <w:trPr>
          <w:trHeight w:val="25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purchase price</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6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received</w:t>
            </w:r>
          </w:p>
        </w:tc>
        <w:tc>
          <w:tcPr>
            <w:tcW w:w="19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3"/>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intrinsic value</w:t>
            </w: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56"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The provision for income taxes recorded in interim periods is based on our estimate of the annual effective tax rate applied to year-to-date income before 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provision and our quarterly estimate of the annual effective tax rate can be subject to volatility due to several factors, including our ability to accurately forecast annual income before provision for income taxes in each of the tax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income tax (benefit)/provision of $(11.2) million and $15.0 million for the three months ended September 2024 and September 2023, respectively, represented estimated federal, foreign, and state income taxes. The effective tax rate for the three months ended September 2024 diverged from the combined U.S. federal and state statutory tax rate primarily due to a one-time deferred tax benefit of $7.7 million on inventory reserves transferred from foreign subsidiaries to the United States, foreign income taxed at lower rates, and research credits. This was partially offset by non-deductible officer compensation and non-deductible share-based compensation.</w:t>
      </w:r>
    </w:p>
    <w:p>
      <w:pPr>
        <w:spacing w:after="0" w:line="69"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2023 diverged from the combined U.S. federal and state statutory tax rate primarily due to non-creditable foreign withholding taxes resulting from the final foreign tax credit regulations published in January 2022 and the research and development capitalization rules increasing our global intangible low-taxed income, or GILTI, resulting from the U.S. Tax Cuts and Jobs Act of 2017, foreign income taxed at higher rates and non-deductible officer compensation. This was partially offset by research credits and a one-time benefit from prior year creditable foreign withholding taxes resulting from U.S. Treasury Notice 2023-55, which was issued in July 2023 and provided us a one-year delay of the effective date of U.S. final foreign tax credit regulations published in January 2022.</w:t>
      </w:r>
    </w:p>
    <w:p>
      <w:pPr>
        <w:spacing w:after="0" w:line="7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total liability for gross unrecognized tax benefits related to uncertain tax positions decreased $1.9 million during the three months ended September 2024, to $44.6 million, and was included in other long-term liabilities on our condensed consolidated balance sheets. If recognized, the total gross unrecognized tax benefits would reduce the effective tax rate on income from continuing operations. Accrued interest and penalties related to unrecognized tax benefits as of September 2024 were $3.8 million; this balance increased by $0.2 million compared to June 2024. We classify interest and penalties as components of income tax expense. Any prospective adjustments to our unrecognized tax benefits will be recorded as an increase or decrease to income tax expense and cause a corresponding change to our effective tax rate. Accordingly, our effective tax rate could fluctuate materially from period to period.</w:t>
      </w:r>
    </w:p>
    <w:p>
      <w:pPr>
        <w:spacing w:after="0" w:line="8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major tax jurisdictions are the United States, Hong Kong SAR, Japan, Israel and the United Kingdom. From fiscal 2017 onward, we remain subject to examination by one or more of these jurisdictions.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Customers, and Geographic Information</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operate in one segment: the development, marketing, and sale of semiconductor products used in electronic devices and products. We generate our revenue from three broad product categories: Core IoT, Enterprise and Automotive, and Mobile product applications. A summary of our products and how they are categorized is as follows:</w:t>
      </w:r>
    </w:p>
    <w:p>
      <w:pPr>
        <w:spacing w:after="0" w:line="68"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IoT: Wireless and Processor Solutions</w:t>
      </w:r>
    </w:p>
    <w:p>
      <w:pPr>
        <w:spacing w:after="0" w:line="11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and Automotive: PC Touch Pad, PC Fingerprint, Video Interface Solutions, Enterprise Audio Solutions, Fax and Printer Solutions, and Automotive Solutions</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Touch and Display Solutions for Mobile phone applications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from our customers for each product category was as follows (in millions):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8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560" w:type="dxa"/>
            <w:vAlign w:val="bottom"/>
          </w:tcPr>
          <w:p>
            <w:pPr>
              <w:spacing w:after="0"/>
              <w:rPr>
                <w:sz w:val="20"/>
                <w:szCs w:val="20"/>
                <w:color w:val="auto"/>
              </w:rPr>
            </w:pPr>
          </w:p>
        </w:tc>
      </w:tr>
      <w:tr>
        <w:trPr>
          <w:trHeight w:val="263"/>
        </w:trPr>
        <w:tc>
          <w:tcPr>
            <w:tcW w:w="78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September</w:t>
            </w:r>
          </w:p>
        </w:tc>
        <w:tc>
          <w:tcPr>
            <w:tcW w:w="560" w:type="dxa"/>
            <w:vAlign w:val="bottom"/>
            <w:tcBorders>
              <w:bottom w:val="single" w:sz="8" w:color="auto"/>
            </w:tcBorders>
          </w:tcPr>
          <w:p>
            <w:pPr>
              <w:spacing w:after="0"/>
              <w:rPr>
                <w:sz w:val="22"/>
                <w:szCs w:val="22"/>
                <w:color w:val="auto"/>
              </w:rPr>
            </w:pPr>
          </w:p>
        </w:tc>
      </w:tr>
      <w:tr>
        <w:trPr>
          <w:trHeight w:val="250"/>
        </w:trPr>
        <w:tc>
          <w:tcPr>
            <w:tcW w:w="788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21"/>
                <w:szCs w:val="21"/>
                <w:color w:val="auto"/>
              </w:rPr>
            </w:pPr>
          </w:p>
        </w:tc>
      </w:tr>
      <w:tr>
        <w:trPr>
          <w:trHeight w:val="25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108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5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08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50"/>
        </w:trPr>
        <w:tc>
          <w:tcPr>
            <w:tcW w:w="7880" w:type="dxa"/>
            <w:vAlign w:val="bottom"/>
          </w:tcPr>
          <w:p>
            <w:pPr>
              <w:spacing w:after="0"/>
              <w:rPr>
                <w:sz w:val="21"/>
                <w:szCs w:val="21"/>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21"/>
                <w:szCs w:val="21"/>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7"/>
        </w:trPr>
        <w:tc>
          <w:tcPr>
            <w:tcW w:w="78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81"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SYNAPTICS INCORPORATED AND SUBSIDIARIES NOTES TO CONDENSED CONSOLIDATED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within geographic areas based on our customers’ locations for the periods presented was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8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560" w:type="dxa"/>
            <w:vAlign w:val="bottom"/>
          </w:tcPr>
          <w:p>
            <w:pPr>
              <w:spacing w:after="0"/>
              <w:rPr>
                <w:sz w:val="20"/>
                <w:szCs w:val="20"/>
                <w:color w:val="auto"/>
              </w:rPr>
            </w:pPr>
          </w:p>
        </w:tc>
      </w:tr>
      <w:tr>
        <w:trPr>
          <w:trHeight w:val="263"/>
        </w:trPr>
        <w:tc>
          <w:tcPr>
            <w:tcW w:w="788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September</w:t>
            </w:r>
          </w:p>
        </w:tc>
        <w:tc>
          <w:tcPr>
            <w:tcW w:w="560" w:type="dxa"/>
            <w:vAlign w:val="bottom"/>
            <w:tcBorders>
              <w:bottom w:val="single" w:sz="8" w:color="auto"/>
            </w:tcBorders>
          </w:tcPr>
          <w:p>
            <w:pPr>
              <w:spacing w:after="0"/>
              <w:rPr>
                <w:sz w:val="22"/>
                <w:szCs w:val="22"/>
                <w:color w:val="auto"/>
              </w:rPr>
            </w:pPr>
          </w:p>
        </w:tc>
      </w:tr>
      <w:tr>
        <w:trPr>
          <w:trHeight w:val="250"/>
        </w:trPr>
        <w:tc>
          <w:tcPr>
            <w:tcW w:w="78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21"/>
                <w:szCs w:val="21"/>
                <w:color w:val="auto"/>
              </w:rPr>
            </w:pPr>
          </w:p>
        </w:tc>
      </w:tr>
      <w:tr>
        <w:trPr>
          <w:trHeight w:val="257"/>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China/Hong Kong</w:t>
            </w: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Borders>
              <w:top w:val="single" w:sz="8" w:color="CFF0FC"/>
            </w:tcBorders>
            <w:shd w:val="clear" w:color="auto" w:fill="CFF0FC"/>
          </w:tcPr>
          <w:p>
            <w:pPr>
              <w:spacing w:after="0"/>
              <w:rPr>
                <w:sz w:val="22"/>
                <w:szCs w:val="22"/>
                <w:color w:val="auto"/>
              </w:rPr>
            </w:pP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6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FF0FC"/>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57"/>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FF0FC"/>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5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10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50"/>
        </w:trPr>
        <w:tc>
          <w:tcPr>
            <w:tcW w:w="7880" w:type="dxa"/>
            <w:vAlign w:val="bottom"/>
          </w:tcPr>
          <w:p>
            <w:pPr>
              <w:spacing w:after="0"/>
              <w:rPr>
                <w:sz w:val="21"/>
                <w:szCs w:val="21"/>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1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7"/>
        </w:trPr>
        <w:tc>
          <w:tcPr>
            <w:tcW w:w="788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from major customers as a percentage of total net revenue for the periods presented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33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63"/>
        </w:trPr>
        <w:tc>
          <w:tcPr>
            <w:tcW w:w="788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3"/>
          </w:tcPr>
          <w:p>
            <w:pPr>
              <w:jc w:val="center"/>
              <w:ind w:right="1050"/>
              <w:spacing w:after="0"/>
              <w:rPr>
                <w:sz w:val="20"/>
                <w:szCs w:val="20"/>
                <w:color w:val="auto"/>
              </w:rPr>
            </w:pPr>
            <w:r>
              <w:rPr>
                <w:rFonts w:ascii="Times New Roman" w:cs="Times New Roman" w:eastAsia="Times New Roman" w:hAnsi="Times New Roman"/>
                <w:sz w:val="18"/>
                <w:szCs w:val="18"/>
                <w:color w:val="auto"/>
                <w:w w:val="98"/>
              </w:rPr>
              <w:t>September</w:t>
            </w:r>
          </w:p>
        </w:tc>
      </w:tr>
      <w:tr>
        <w:trPr>
          <w:trHeight w:val="250"/>
        </w:trPr>
        <w:tc>
          <w:tcPr>
            <w:tcW w:w="7880" w:type="dxa"/>
            <w:vAlign w:val="bottom"/>
            <w:tcBorders>
              <w:bottom w:val="single" w:sz="8" w:color="CFF0FC"/>
            </w:tcBorders>
          </w:tcPr>
          <w:p>
            <w:pPr>
              <w:spacing w:after="0"/>
              <w:rPr>
                <w:sz w:val="21"/>
                <w:szCs w:val="21"/>
                <w:color w:val="auto"/>
              </w:rPr>
            </w:pPr>
          </w:p>
        </w:tc>
        <w:tc>
          <w:tcPr>
            <w:tcW w:w="11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2024</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57"/>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40" w:type="dxa"/>
            <w:vAlign w:val="bottom"/>
            <w:shd w:val="clear" w:color="auto" w:fill="CFF0FC"/>
          </w:tcPr>
          <w:p>
            <w:pPr>
              <w:jc w:val="center"/>
              <w:ind w:left="410"/>
              <w:spacing w:after="0"/>
              <w:rPr>
                <w:sz w:val="20"/>
                <w:szCs w:val="20"/>
                <w:color w:val="auto"/>
              </w:rPr>
            </w:pPr>
            <w:r>
              <w:rPr>
                <w:rFonts w:ascii="Times New Roman" w:cs="Times New Roman" w:eastAsia="Times New Roman" w:hAnsi="Times New Roman"/>
                <w:sz w:val="18"/>
                <w:szCs w:val="18"/>
                <w:color w:val="auto"/>
                <w:w w:val="96"/>
              </w:rPr>
              <w:t>13%</w:t>
            </w:r>
          </w:p>
        </w:tc>
        <w:tc>
          <w:tcPr>
            <w:tcW w:w="222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w w:val="88"/>
              </w:rPr>
              <w:t>*</w:t>
            </w:r>
          </w:p>
        </w:tc>
      </w:tr>
      <w:tr>
        <w:trPr>
          <w:trHeight w:val="25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6"/>
              </w:rPr>
              <w:t>12%</w:t>
            </w:r>
          </w:p>
        </w:tc>
        <w:tc>
          <w:tcPr>
            <w:tcW w:w="22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6"/>
              </w:rPr>
              <w:t>18%</w:t>
            </w:r>
          </w:p>
        </w:tc>
      </w:tr>
      <w:tr>
        <w:trPr>
          <w:trHeight w:val="263"/>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140" w:type="dxa"/>
            <w:vAlign w:val="bottom"/>
            <w:shd w:val="clear" w:color="auto" w:fill="CFF0FC"/>
          </w:tcPr>
          <w:p>
            <w:pPr>
              <w:jc w:val="center"/>
              <w:ind w:left="4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gridSpan w:val="3"/>
            <w:shd w:val="clear" w:color="auto" w:fill="CFF0FC"/>
          </w:tcPr>
          <w:p>
            <w:pPr>
              <w:jc w:val="center"/>
              <w:ind w:left="490"/>
              <w:spacing w:after="0"/>
              <w:rPr>
                <w:sz w:val="20"/>
                <w:szCs w:val="20"/>
                <w:color w:val="auto"/>
              </w:rPr>
            </w:pPr>
            <w:r>
              <w:rPr>
                <w:rFonts w:ascii="Times New Roman" w:cs="Times New Roman" w:eastAsia="Times New Roman" w:hAnsi="Times New Roman"/>
                <w:sz w:val="18"/>
                <w:szCs w:val="18"/>
                <w:color w:val="auto"/>
                <w:w w:val="96"/>
              </w:rPr>
              <w:t>11%</w:t>
            </w:r>
          </w:p>
        </w:tc>
      </w:tr>
      <w:tr>
        <w:trPr>
          <w:trHeight w:val="29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-831215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right="340" w:firstLine="648"/>
        <w:spacing w:after="0" w:line="281" w:lineRule="auto"/>
        <w:rPr>
          <w:sz w:val="20"/>
          <w:szCs w:val="20"/>
          <w:color w:val="auto"/>
        </w:rPr>
      </w:pPr>
      <w:r>
        <w:rPr>
          <w:rFonts w:ascii="Times New Roman" w:cs="Times New Roman" w:eastAsia="Times New Roman" w:hAnsi="Times New Roman"/>
          <w:sz w:val="18"/>
          <w:szCs w:val="18"/>
          <w:color w:val="auto"/>
        </w:rPr>
        <w:t>We extend credit based on evaluation of a customer’s financial condition, and we generally do not require collateral. Major customer accounts receivable as a percentage of total accounts receivable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September</w:t>
            </w:r>
          </w:p>
        </w:tc>
        <w:tc>
          <w:tcPr>
            <w:tcW w:w="14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June</w:t>
            </w:r>
          </w:p>
        </w:tc>
      </w:tr>
      <w:tr>
        <w:trPr>
          <w:trHeight w:val="263"/>
        </w:trPr>
        <w:tc>
          <w:tcPr>
            <w:tcW w:w="818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5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r>
      <w:tr>
        <w:trPr>
          <w:trHeight w:val="279"/>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-822325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Activities</w:t>
      </w:r>
    </w:p>
    <w:p>
      <w:pPr>
        <w:spacing w:after="0" w:line="12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2025, we initiated restructuring actions primarily intended to focus on key growth initiatives, reduce costs and align our business in response to market conditions. As a result of this restructuring, we expect to incur approximately $16.0 million in restructuring charges and expect to complete the restructuring by the end of fiscal 2025. The restructuring costs related to these activities of approximately $13.7 million are recorded in the restructuring costs line item within our condensed consolidated statements of operations.</w:t>
      </w:r>
    </w:p>
    <w:p>
      <w:pPr>
        <w:spacing w:after="0" w:line="7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the first and fourth quarter of fiscal 2024, we initiated restructuring actions to further improve efficiencies in our operational activities, decrease costs and increase profitability. We completed the restructuring action from the first quarter of fiscal 2024 prior to the end of our fiscal year 2024. We completed the restructuring action initiated in the fourth quarter of fiscal 2024 during the three months ended September 2024 and we incurred restructuring charges therefrom of approximately $0.5 million. The restructuring costs related to these activities were recorded to the restructuring costs line item within our condensed consolidated statements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restructuring activity and related charges during the periods presented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26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20"/>
                <w:szCs w:val="20"/>
                <w:color w:val="auto"/>
              </w:rPr>
            </w:pPr>
          </w:p>
        </w:tc>
      </w:tr>
      <w:tr>
        <w:trPr>
          <w:trHeight w:val="263"/>
        </w:trPr>
        <w:tc>
          <w:tcPr>
            <w:tcW w:w="81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September 2024</w:t>
            </w:r>
          </w:p>
        </w:tc>
        <w:tc>
          <w:tcPr>
            <w:tcW w:w="460" w:type="dxa"/>
            <w:vAlign w:val="bottom"/>
            <w:tcBorders>
              <w:bottom w:val="single" w:sz="8" w:color="auto"/>
            </w:tcBorders>
          </w:tcPr>
          <w:p>
            <w:pPr>
              <w:spacing w:after="0"/>
              <w:rPr>
                <w:sz w:val="22"/>
                <w:szCs w:val="22"/>
                <w:color w:val="auto"/>
              </w:rPr>
            </w:pPr>
          </w:p>
        </w:tc>
      </w:tr>
      <w:tr>
        <w:trPr>
          <w:trHeight w:val="250"/>
        </w:trPr>
        <w:tc>
          <w:tcPr>
            <w:tcW w:w="818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1"/>
                <w:szCs w:val="21"/>
                <w:color w:val="auto"/>
              </w:rPr>
            </w:pPr>
          </w:p>
        </w:tc>
      </w:tr>
      <w:tr>
        <w:trPr>
          <w:trHeight w:val="257"/>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22"/>
                <w:szCs w:val="22"/>
                <w:color w:val="auto"/>
              </w:rPr>
            </w:pP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8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920" w:type="dxa"/>
            <w:vAlign w:val="bottom"/>
            <w:tcBorders>
              <w:bottom w:val="single" w:sz="8" w:color="auto"/>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2024, the restructuring and related charges of $14.2 million was primarily attributable to severance and employee-related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2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Forward-Looking Statements and Factors That May Affect Results</w:t>
      </w: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for the quarter ended September 28, 2024 (this “Report”) contains forward-looking statements that are subject to the safe harbors created under the Securities Act of 1933, as amended (the “Securities Act”), and the Securities Exchange Act of 1934, as amended (the “Exchange Act”). Forward-looking statements give our current expectations and projections relating to our financial condition, results of operations, plans, objectives, future performance and business, can be identified by the fact that they do not relate strictly to historical or current facts. Such forward-looking statements may include words such as “expect,” “anticipate,” “intend,” “believe,” “estimate,” “plan,” “target,” “strategy,” “continue,” “may,” “will,” “should,” variations of such words, or other words and terms of similar meaning. All forward-looking statements reflect our best judgment and are based on several factors relating to our operations and business environment, all of which are difficult to predict and many of which are beyond our control. Such factors include, but are not limited to the following: our dependence on our solutions for the Core IoT and Enterprise and Automotive product applications market for a substantial portion of our revenue; risks related to the volatility of our net revenue from our solutions for Core IoT and Enterprise and Automotive product applications; our dependence on one or more large customers; our exposure to industry downturns and cyclicality in our target markets; the risk that our product solutions for new markets will not be successful; risks related to our expectations regarding technology and strategic investments and the anticipated timing or benefits thereof; our ability to execute on our cost reduction initiatives and to achieve expected synergies and expense reductions; our ability to maintain and build relationships with our customers; our dependence on third parties to maintain satisfactory manufacturing yields and deliverable schedule; the risk that our indemnification obligations for third party claims could result in substantial costs; uncertainty surrounding macroeconomic factors in the U.S., and globally, impacting the supply chain environment, inflationary pressure, workforce reductions, regional instabilities and hostilities (including the Israel-Hamas war) and the other risks as identified in the “Risk Factors,” “Management’s Discussion and Analysis of Financial Condition and Results of Operations” and “Business” sections of our Annual Report on Form 10-K for the fiscal year ended June 29, 2024, and other risks as identified from time to time in our SEC reports. Forward-looking statements are based on information available to us on the date hereof, and we do not have, and expressly disclaim, any obligation to publicly release any updates or any changes in our expectations, or any change in events, conditions, or circumstances on which any forward-looking statement is based. Our actual results and the timing of certain events could differ materially from the forward-looking statements. These forward-looking statements do not reflect the potential impact of any mergers, acquisitions, or other business combinations that have not been completed as of the date of this filing.</w:t>
      </w:r>
    </w:p>
    <w:p>
      <w:pPr>
        <w:spacing w:after="0" w:line="98"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Statements made in this Report, unless the context otherwise requires, include the use of the terms “us,” “we,” “our,” the “Company” and “Synaptics” to refer to Synaptics Incorporated and its consolidated subsidiaries.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are a leading worldwide developer and fabless supplier of premium mixed signal semiconductor solutions that enable people to engage with connected devices and data, engineering exceptional experiences throughout the home, at work, in the car and on the go. We provide our customers with sensing, processing, and connecting solutions, which represent the three foundational elements of the Internet of Things, or IoT. We supply connectivity, sensors, and artificial intelligence, or AI, enhanced processor solutions to original equipment manufacturers, or OEMs, that design IoT products and devices for automobiles, enterprise workspace devices, virtual reality, smartphones, tablets, and notebook computers. Our currently served markets include IoT, personal computer, or PC, Enterprise and Automotive, and Mobile. Our solutions either contain or consist of our wireless, voice and speech, video processing, fingerprint, authentication, display driver, or touch semiconductor solutions, which include our hardware, and, where applicable, firmware and software.</w:t>
      </w:r>
    </w:p>
    <w:p>
      <w:pPr>
        <w:spacing w:after="0" w:line="8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when control of the promised goods or services is transferred to our customers in an amount that reflects the consideration we expect to receive in exchange for those goods or services. Nearly all of our revenue, except an inconsequential amount, is recognized at a point in time, either on shipment or delivery of the product, depending on customer terms and conditions.</w:t>
      </w:r>
    </w:p>
    <w:p>
      <w:pPr>
        <w:spacing w:after="0" w:line="6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Revenue recognition from the licensing of our IP is dependent on the nature and terms of each agreement. We recognize revenue from the licensing of our IP upon delivery of the IP if there are no substantive future obligations to perform under the arrangement. Sales-based or usage-based royalties from the license of IP are recognized at the later of the period the sale or usage occurs, or the satisfaction of the performance obligation to which some or all of the sales-based or usage-based royalties have been allocated.</w:t>
      </w:r>
    </w:p>
    <w:p>
      <w:pPr>
        <w:spacing w:after="0" w:line="7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Many of our customers have manufacturing operations in China, and many of our OEM customers have established design centers in Asia. With our global presence, including offices in China, France, Germany, Hong Kong,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India, Israel, Japan, Korea, Poland, Switzerland, Taiwan, the U.K., and the U.S., we are well positioned to provide local sales, operational, and engineering support services to our existing customers, as well as potential new customers, on a global basis.</w:t>
      </w:r>
    </w:p>
    <w:p>
      <w:pPr>
        <w:spacing w:after="0" w:line="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manufacturing operations are based on a variable cost model in which we outsource all of our production requirements and generally drop ship our products directly to our customers from our contract manufacturers’ facilities, eliminating the need for significant capital expenditures and allowing us to minimize our investment in inventories. This approach requires us to work closely with our contract manufacturers and semiconductor fabricators to ensure adequate production capacity to meet our forecasted volume requirements. We use third-party wafer manufacturers to supply wafers and third-party packaging manufacturers to package our proprietary ASICs. In certain cases, we rely on a single source, or a limited number of suppliers, to provide other key components of our products. Our cost of revenue includes all costs associated with the production of our products, including materials; logistics; amortization of intangibles related to acquired developed technology; backlog; supplier arrangements; manufacturing, assembly, royalties paid to third-party intellectual property providers and test costs paid to third-party manufacturers; and related overhead costs associated with our indirect manufacturing operations personnel. Additionally, we charge all warranty costs, losses on inventory purchase obligations, and the provision for excess and obsolete inventories to cost of revenue.</w:t>
      </w:r>
    </w:p>
    <w:p>
      <w:pPr>
        <w:spacing w:after="0" w:line="8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Our gross margin generally reflects the combination of the added value we bring to our OEM customers’ products by meeting their custom design requirements and the impact of our ongoing cost-improvement programs. These cost-improvement programs include reducing materials and component costs and implementing design and process improvements.</w:t>
      </w:r>
    </w:p>
    <w:p>
      <w:pPr>
        <w:spacing w:after="0" w:line="6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include costs for supplies and materials related to product development, as well as the engineering costs incurred to design ASICs and human experience solutions for OEM customers prior to and after our OEMs’ commitment to incorporate those solutions into their products. In addition, we expense in-process research and development projects acquired as part of a business acquisition, which have not yet reached technological feasibility, and which have no foreseeable alternative future use. We continue to commit to the technological and design innovation required to maintain our position in our existing markets, and to adapt our existing technologies or develop new technologies for new markets.</w:t>
      </w:r>
    </w:p>
    <w:p>
      <w:pPr>
        <w:spacing w:after="0" w:line="75" w:lineRule="exact"/>
        <w:rPr>
          <w:sz w:val="20"/>
          <w:szCs w:val="20"/>
          <w:color w:val="auto"/>
        </w:rPr>
      </w:pPr>
    </w:p>
    <w:p>
      <w:pPr>
        <w:jc w:val="both"/>
        <w:ind w:right="60" w:firstLine="648"/>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include expenses related to sales, marketing, and administrative personnel; internal sales and outside sales representatives’ commissions; market and usability research; outside legal, accounting, and consulting costs; and other marketing and sales activities.</w:t>
      </w:r>
    </w:p>
    <w:p>
      <w:pPr>
        <w:spacing w:after="0" w:line="3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Acquired intangibles amortization included in operating expenses consists primarily of amortization of customer relationship and tradename intangible assets recognized under the purchase method for business combinations.</w:t>
      </w:r>
    </w:p>
    <w:p>
      <w:pPr>
        <w:spacing w:after="0" w:line="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Restructuring costs primarily reflect severance costs related to the restructuring of our operations to reduce operating expenses and gain</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efficiencies from our recent acquisitions. See Note 16. Restructuring Activities to the consolidated financial statements contained elsewhere in this Report.</w:t>
      </w:r>
    </w:p>
    <w:p>
      <w:pPr>
        <w:spacing w:after="0" w:line="11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expense, net, primarily reflects interest expense on our Senior Notes (as defined herein), Term Loan Facility (as defined herein) and revolving line of credit as well as the amortization of debt issuance costs and discount on our debt, partially offset by interest income earned on our cash and cash equivalents.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September 2024, compared with our critical accounting policies and estimates disclosed in Management’s Discussion and Analysis of Financial Condition and Results of Operations included in our Annual Report on Form 10-K for the fiscal year ended June 29,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Current Economic Conditions</w:t>
      </w:r>
    </w:p>
    <w:p>
      <w:pPr>
        <w:spacing w:after="0" w:line="11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a majority of our sales and manufacturing occurs outside of the United States, we are exposed to and impacted by global macroeconomic factors, U.S. and foreign government policies and foreign exchange fluctuations. There is uncertainty surrounding macroeconomic factors in the U.S., and globally, characterized by the supply chain environment, inflationary pressure, higher interest rates, and workforce reductions. We believe these macroeconomic conditions, including conservative corporate spending on information technology hardware, coupled with the global political climate and unrest, including the ongoing Israel-Hamas war, continue to be the primary drivers for the overall slowdown in orders from our customer base. We continue to believe a rebound in demand is likely to extend into late calendar 2024. In addition, although we currently do not believe inflation in the costs of goods will have a material impact on our results of</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operations, it is possible that elevated inflation could increase our cost of goods sold and/or operating expenses and reduce our gross profit and net income. Further, despite the recent downward trend in interest rates, they remain elevated and may fluctuate, continuing to impact our borrowing costs on our variable rate Term Loan Facility and could potentially limit our borrowing capacity if a future acquisition opportunity requiring financing presents itself.</w:t>
      </w:r>
    </w:p>
    <w:p>
      <w:pPr>
        <w:spacing w:after="0" w:line="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Israel-Hamas War</w:t>
      </w:r>
    </w:p>
    <w:p>
      <w:pPr>
        <w:spacing w:after="0" w:line="119"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Although our employees in our Israel office have the ability to work remotely and business continuity plans are in place to address any medium-or long-term disruptions that could result from the closure of this office, the office closure and general effects of employees operating in a region at war could have a negative impact on our operations. Further, a number of our employees in Israel are members of the military reserves who have been subject to activation in response to the war, and it is possible that these employees may be re-activated if the Israel-Hamas war continues or expands further throughout the Middle East region. While we also have business continuity plans in place to address the safety of our employees and continue product development in the event of reduced employee availability in the region during the war, it could affect the timing of projects in the short-term as work is shifted to other team members where necessary. If these conditions continue or worsen, they could adversely impact our future financial and operating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18"/>
          <w:szCs w:val="18"/>
          <w:color w:val="auto"/>
        </w:rPr>
        <w:t>Certain of the data used in our condensed consolidated statements of operations for the periods indicated, together with comparative absolute and percentage changes in these amounts, were as follows (in millions,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440" w:type="dxa"/>
            <w:vAlign w:val="bottom"/>
            <w:tcBorders>
              <w:bottom w:val="single" w:sz="8" w:color="CFF0FC"/>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FF0FC"/>
            </w:tcBorders>
          </w:tcPr>
          <w:p>
            <w:pPr>
              <w:spacing w:after="0"/>
              <w:rPr>
                <w:sz w:val="21"/>
                <w:szCs w:val="21"/>
                <w:color w:val="auto"/>
              </w:rPr>
            </w:pPr>
          </w:p>
        </w:tc>
        <w:tc>
          <w:tcPr>
            <w:tcW w:w="1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1"/>
                <w:szCs w:val="21"/>
                <w:color w:val="auto"/>
              </w:rPr>
            </w:pPr>
          </w:p>
        </w:tc>
      </w:tr>
      <w:tr>
        <w:trPr>
          <w:trHeight w:val="25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102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1"/>
                <w:szCs w:val="21"/>
                <w:color w:val="auto"/>
              </w:rPr>
            </w:pP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21"/>
                <w:szCs w:val="21"/>
                <w:color w:val="auto"/>
              </w:rPr>
            </w:pPr>
          </w:p>
        </w:tc>
      </w:tr>
      <w:tr>
        <w:trPr>
          <w:trHeight w:val="257"/>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102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22"/>
                <w:szCs w:val="22"/>
                <w:color w:val="auto"/>
              </w:rPr>
            </w:pPr>
          </w:p>
        </w:tc>
      </w:tr>
      <w:tr>
        <w:trPr>
          <w:trHeight w:val="250"/>
        </w:trPr>
        <w:tc>
          <w:tcPr>
            <w:tcW w:w="44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1"/>
                <w:szCs w:val="21"/>
                <w:color w:val="auto"/>
              </w:rPr>
            </w:pPr>
          </w:p>
        </w:tc>
      </w:tr>
      <w:tr>
        <w:trPr>
          <w:trHeight w:val="25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02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2"/>
                <w:szCs w:val="22"/>
                <w:color w:val="auto"/>
              </w:rPr>
            </w:pP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22"/>
                <w:szCs w:val="22"/>
                <w:color w:val="auto"/>
              </w:rPr>
            </w:pPr>
          </w:p>
        </w:tc>
      </w:tr>
      <w:tr>
        <w:trPr>
          <w:trHeight w:val="250"/>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21"/>
                <w:szCs w:val="21"/>
                <w:color w:val="auto"/>
              </w:rPr>
            </w:pPr>
          </w:p>
        </w:tc>
      </w:tr>
      <w:tr>
        <w:trPr>
          <w:trHeight w:val="263"/>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10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100" w:type="dxa"/>
            <w:vAlign w:val="bottom"/>
          </w:tcPr>
          <w:p>
            <w:pPr>
              <w:spacing w:after="0"/>
              <w:rPr>
                <w:sz w:val="22"/>
                <w:szCs w:val="22"/>
                <w:color w:val="auto"/>
              </w:rPr>
            </w:pPr>
          </w:p>
        </w:tc>
      </w:tr>
      <w:tr>
        <w:trPr>
          <w:trHeight w:val="250"/>
        </w:trPr>
        <w:tc>
          <w:tcPr>
            <w:tcW w:w="444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tcPr>
          <w:p>
            <w:pPr>
              <w:spacing w:after="0"/>
              <w:rPr>
                <w:sz w:val="21"/>
                <w:szCs w:val="21"/>
                <w:color w:val="auto"/>
              </w:rPr>
            </w:pPr>
          </w:p>
        </w:tc>
      </w:tr>
      <w:tr>
        <w:trPr>
          <w:trHeight w:val="256"/>
        </w:trPr>
        <w:tc>
          <w:tcPr>
            <w:tcW w:w="44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loss</w:t>
            </w:r>
          </w:p>
        </w:tc>
        <w:tc>
          <w:tcPr>
            <w:tcW w:w="10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22"/>
                <w:szCs w:val="22"/>
                <w:color w:val="auto"/>
              </w:rPr>
            </w:pPr>
          </w:p>
        </w:tc>
      </w:tr>
      <w:tr>
        <w:trPr>
          <w:trHeight w:val="250"/>
        </w:trPr>
        <w:tc>
          <w:tcPr>
            <w:tcW w:w="4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1"/>
                <w:szCs w:val="21"/>
                <w:color w:val="auto"/>
              </w:rPr>
            </w:pPr>
          </w:p>
        </w:tc>
      </w:tr>
      <w:tr>
        <w:trPr>
          <w:trHeight w:val="257"/>
        </w:trPr>
        <w:tc>
          <w:tcPr>
            <w:tcW w:w="44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2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2"/>
                <w:szCs w:val="22"/>
                <w:color w:val="auto"/>
              </w:rPr>
            </w:pPr>
          </w:p>
        </w:tc>
      </w:tr>
      <w:tr>
        <w:trPr>
          <w:trHeight w:val="250"/>
        </w:trPr>
        <w:tc>
          <w:tcPr>
            <w:tcW w:w="444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(174.7 %)</w:t>
            </w:r>
          </w:p>
        </w:tc>
        <w:tc>
          <w:tcPr>
            <w:tcW w:w="100" w:type="dxa"/>
            <w:vAlign w:val="bottom"/>
          </w:tcPr>
          <w:p>
            <w:pPr>
              <w:spacing w:after="0"/>
              <w:rPr>
                <w:sz w:val="21"/>
                <w:szCs w:val="21"/>
                <w:color w:val="auto"/>
              </w:rPr>
            </w:pPr>
          </w:p>
        </w:tc>
      </w:tr>
      <w:tr>
        <w:trPr>
          <w:trHeight w:val="281"/>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tcPr>
          <w:p>
            <w:pPr>
              <w:spacing w:after="0"/>
              <w:rPr>
                <w:sz w:val="24"/>
                <w:szCs w:val="24"/>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79"/>
        </w:trPr>
        <w:tc>
          <w:tcPr>
            <w:tcW w:w="4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Certain of the data used in our condensed consolidated statements of operations presented here as a percentage of net revenue for the periods indicated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80" w:type="dxa"/>
            <w:vAlign w:val="bottom"/>
          </w:tcPr>
          <w:p>
            <w:pPr>
              <w:spacing w:after="0"/>
              <w:rPr>
                <w:sz w:val="19"/>
                <w:szCs w:val="19"/>
                <w:color w:val="auto"/>
              </w:rPr>
            </w:pPr>
          </w:p>
        </w:tc>
        <w:tc>
          <w:tcPr>
            <w:tcW w:w="2900" w:type="dxa"/>
            <w:vAlign w:val="bottom"/>
            <w:gridSpan w:val="4"/>
            <w:vMerge w:val="restart"/>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2900" w:type="dxa"/>
            <w:vAlign w:val="bottom"/>
            <w:gridSpan w:val="4"/>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Point</w:t>
            </w: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September</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57"/>
        </w:trPr>
        <w:tc>
          <w:tcPr>
            <w:tcW w:w="6820" w:type="dxa"/>
            <w:vAlign w:val="bottom"/>
            <w:gridSpan w:val="2"/>
          </w:tcPr>
          <w:p>
            <w:pPr>
              <w:ind w:left="646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57"/>
        </w:trPr>
        <w:tc>
          <w:tcPr>
            <w:tcW w:w="578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Enterprise and Automotive product applications</w:t>
            </w:r>
          </w:p>
        </w:tc>
        <w:tc>
          <w:tcPr>
            <w:tcW w:w="104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80" w:type="dxa"/>
            <w:vAlign w:val="bottom"/>
            <w:tcBorders>
              <w:top w:val="single" w:sz="8" w:color="CFF0FC"/>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00" w:type="dxa"/>
            <w:vAlign w:val="bottom"/>
            <w:tcBorders>
              <w:top w:val="single" w:sz="8" w:color="CFF0FC"/>
            </w:tcBorders>
            <w:shd w:val="clear" w:color="auto" w:fill="CFF0FC"/>
          </w:tcPr>
          <w:p>
            <w:pPr>
              <w:spacing w:after="0"/>
              <w:rPr>
                <w:sz w:val="22"/>
                <w:szCs w:val="22"/>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5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Core IoT product applications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63"/>
        </w:trPr>
        <w:tc>
          <w:tcPr>
            <w:tcW w:w="68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product applications</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10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8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100" w:type="dxa"/>
            <w:vAlign w:val="bottom"/>
            <w:tcBorders>
              <w:bottom w:val="single" w:sz="8" w:color="CFF0FC"/>
            </w:tcBorders>
          </w:tcPr>
          <w:p>
            <w:pPr>
              <w:spacing w:after="0"/>
              <w:rPr>
                <w:sz w:val="21"/>
                <w:szCs w:val="21"/>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5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040" w:type="dxa"/>
            <w:vAlign w:val="bottom"/>
            <w:shd w:val="clear" w:color="auto" w:fill="CFF0FC"/>
          </w:tcPr>
          <w:p>
            <w:pPr>
              <w:spacing w:after="0"/>
              <w:rPr>
                <w:sz w:val="22"/>
                <w:szCs w:val="22"/>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5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0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50"/>
        </w:trPr>
        <w:tc>
          <w:tcPr>
            <w:tcW w:w="6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63"/>
        </w:trPr>
        <w:tc>
          <w:tcPr>
            <w:tcW w:w="68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intangibles amortization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50"/>
        </w:trPr>
        <w:tc>
          <w:tcPr>
            <w:tcW w:w="6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57"/>
        </w:trPr>
        <w:tc>
          <w:tcPr>
            <w:tcW w:w="5780" w:type="dxa"/>
            <w:vAlign w:val="bottom"/>
            <w:tcBorders>
              <w:top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80" w:type="dxa"/>
            <w:vAlign w:val="bottom"/>
            <w:tcBorders>
              <w:top w:val="single" w:sz="8" w:color="CFF0FC"/>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Borders>
              <w:top w:val="single" w:sz="8" w:color="CFF0FC"/>
            </w:tcBorders>
            <w:shd w:val="clear" w:color="auto" w:fill="CFF0FC"/>
          </w:tcPr>
          <w:p>
            <w:pPr>
              <w:spacing w:after="0"/>
              <w:rPr>
                <w:sz w:val="22"/>
                <w:szCs w:val="22"/>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5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5780" w:type="dxa"/>
            <w:vAlign w:val="bottom"/>
            <w:tcBorders>
              <w:top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40" w:type="dxa"/>
            <w:vAlign w:val="bottom"/>
            <w:tcBorders>
              <w:top w:val="single" w:sz="8" w:color="auto"/>
            </w:tcBorders>
            <w:shd w:val="clear" w:color="auto" w:fill="CFF0FC"/>
          </w:tcPr>
          <w:p>
            <w:pPr>
              <w:spacing w:after="0"/>
              <w:rPr>
                <w:sz w:val="22"/>
                <w:szCs w:val="22"/>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Borders>
              <w:top w:val="single" w:sz="8" w:color="CFF0FC"/>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top w:val="single" w:sz="8" w:color="CFF0FC"/>
            </w:tcBorders>
            <w:shd w:val="clear" w:color="auto" w:fill="CFF0FC"/>
          </w:tcPr>
          <w:p>
            <w:pPr>
              <w:spacing w:after="0"/>
              <w:rPr>
                <w:sz w:val="22"/>
                <w:szCs w:val="22"/>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5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(Benefit)/Provision for income taxes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75"/>
        </w:trPr>
        <w:tc>
          <w:tcPr>
            <w:tcW w:w="578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auto"/>
              <w:bottom w:val="single" w:sz="8" w:color="auto"/>
            </w:tcBorders>
            <w:shd w:val="clear" w:color="auto" w:fill="CFF0FC"/>
          </w:tcPr>
          <w:p>
            <w:pPr>
              <w:spacing w:after="0"/>
              <w:rPr>
                <w:sz w:val="23"/>
                <w:szCs w:val="2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Borders>
              <w:top w:val="single" w:sz="8" w:color="CFF0FC"/>
              <w:bottom w:val="single" w:sz="8" w:color="CFF0FC"/>
            </w:tcBorders>
            <w:shd w:val="clear" w:color="auto" w:fill="CFF0FC"/>
          </w:tcPr>
          <w:p>
            <w:pPr>
              <w:spacing w:after="0"/>
              <w:rPr>
                <w:sz w:val="23"/>
                <w:szCs w:val="23"/>
                <w:color w:val="auto"/>
              </w:rPr>
            </w:pPr>
          </w:p>
        </w:tc>
        <w:tc>
          <w:tcPr>
            <w:tcW w:w="1080" w:type="dxa"/>
            <w:vAlign w:val="bottom"/>
            <w:tcBorders>
              <w:top w:val="single" w:sz="8" w:color="auto"/>
              <w:bottom w:val="single" w:sz="8" w:color="auto"/>
            </w:tcBorders>
            <w:shd w:val="clear" w:color="auto" w:fill="CFF0FC"/>
          </w:tcPr>
          <w:p>
            <w:pPr>
              <w:spacing w:after="0"/>
              <w:rPr>
                <w:sz w:val="23"/>
                <w:szCs w:val="23"/>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00" w:type="dxa"/>
            <w:vAlign w:val="bottom"/>
            <w:tcBorders>
              <w:top w:val="single" w:sz="8" w:color="CFF0FC"/>
              <w:bottom w:val="single" w:sz="8" w:color="CFF0FC"/>
            </w:tcBorders>
            <w:shd w:val="clear" w:color="auto" w:fill="CFF0FC"/>
          </w:tcPr>
          <w:p>
            <w:pPr>
              <w:spacing w:after="0"/>
              <w:rPr>
                <w:sz w:val="23"/>
                <w:szCs w:val="23"/>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6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revenue was $257.7 million for the three months ended September 2024, compared with $237.7 million for the three months ended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 increase of $20.0 million, or 8.4%. Of this net revenue, $147.6 million, or 57.3%, was from Enterprise and Automotive product applications,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 million, or 19.6%, was from Mobile product applications, and $59.6 million, or 23.1%, was from Core IoT product applications. Revenue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most of our product applications for the three months ended September 2024. Net revenue from Mobile product applications increased due to an increase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units sold (which increased 1.5%) and $10.5 million in revenue from a license of certain of our IP, or the IP license, partially offset by a decrease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selling prices (which decreased 11.3%), as overall demand increased for our products in the mobile market. Net revenue from Core IoT product</w:t>
      </w:r>
    </w:p>
    <w:p>
      <w:pPr>
        <w:spacing w:after="0" w:line="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applications increased due to an increase in units sold (which increased 90.2%), partially offset by a decrease in average selling prices (which decreased 18.6%) due to our product sales mix compared to the same period a year ago. Net revenue from Enterprise and Automotive product applications decreased as a result of a decrease in units sold (which decreased 1.5%), partially offset by an increase in average selling prices (which increased 17.3%) due to our product sales mix compared to the same period a year ago and a decrease of $27.0 million in revenue from a license of certain of our IP.</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11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Gross margin as a percentage of net revenue was 46.9%, or $120.9 million, for the three months ended September 2024, compared with 45.1%, or $107.1 million, for the three months ended September 2023. The net 180 basis point increase in gross margin for the three months ended September 2024 was primarily due to favorable changes in product mix and lower costs related to excess obsolescence reserve charges and share-based compensation charges partially offset by a net decrease in revenue from our IP licenses.</w:t>
      </w:r>
    </w:p>
    <w:p>
      <w:pPr>
        <w:spacing w:after="0" w:line="7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Because we sell our technology solutions in designs that are generally unique or specific to an OEM customer’s application, gross margin varies on a product-by-product basis, making our cumulative gross margin a blend of our product specific designs. As a fabless manufacturer, our gross margin percentage is generally not materially impacted by our shipment volume. Under most circumstances, revenue from license-based arrangements are accretive to our gross margin.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17"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decreased $5.2 million to $81.3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2024, compared with $86.5 million for the three months ended September 2023. The decrease in research and development expenses was primarily driven by a $4.9 million decrease in wages and related costs as a result of the restructuring action initiated during the first quarter of fiscal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$7.7 million to $50.0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2024, compared with $42.3 million for the three months ended September 2023. The increase in selling, general, and administrative expenses was primarily driven by a $3.8 million increase in professional fees related to certain corporate projects and a $3.2 million unfavorable impact from exchange rates on foreign currencies.</w:t>
      </w:r>
    </w:p>
    <w:p>
      <w:pPr>
        <w:spacing w:after="0" w:line="72"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Acquired Intangibles Amortization</w:t>
      </w:r>
      <w:r>
        <w:rPr>
          <w:rFonts w:ascii="Times New Roman" w:cs="Times New Roman" w:eastAsia="Times New Roman" w:hAnsi="Times New Roman"/>
          <w:sz w:val="18"/>
          <w:szCs w:val="18"/>
          <w:color w:val="auto"/>
        </w:rPr>
        <w:t>. Amortization of acquisition-related intangibles of $24.6 million for the three months ended September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$1.3 million, or 5.6%, compared to $23.3 million for the same period a year ago. The increase is primarily related to the amortization of certain intangible assets we received from Broadcom and placed into service during the fourth quarter of fiscal 2024.</w:t>
      </w:r>
    </w:p>
    <w:p>
      <w:pPr>
        <w:spacing w:after="0" w:line="65"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Costs</w:t>
      </w:r>
      <w:r>
        <w:rPr>
          <w:rFonts w:ascii="Times New Roman" w:cs="Times New Roman" w:eastAsia="Times New Roman" w:hAnsi="Times New Roman"/>
          <w:sz w:val="18"/>
          <w:szCs w:val="18"/>
          <w:color w:val="auto"/>
        </w:rPr>
        <w:t>. Restructuring costs primarily reflect employee severance costs related to the restructuring of operations and to improve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efficiencies in our operational activities. These headcount-related costs included personnel in operations, research and development, and selling, general and administrative functions. See Note 16. Restructuring Activities in the notes to the consolidated financial statements for additional information on restructuring costs.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Income</w:t>
      </w:r>
    </w:p>
    <w:p>
      <w:pPr>
        <w:spacing w:after="0" w:line="117"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Interest and Other Income</w:t>
      </w:r>
      <w:r>
        <w:rPr>
          <w:rFonts w:ascii="Times New Roman" w:cs="Times New Roman" w:eastAsia="Times New Roman" w:hAnsi="Times New Roman"/>
          <w:sz w:val="18"/>
          <w:szCs w:val="18"/>
          <w:color w:val="auto"/>
        </w:rPr>
        <w:t>. Interest income of $10.2 million for the three months ended September 2024 decreased by $0.7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$10.9 for the same period a year ago and is due to the slight decrease in interest rates on our cash and cash equivalents during the three months ended September 2024 compared to the same period a year ago.</w:t>
      </w:r>
    </w:p>
    <w:p>
      <w:pPr>
        <w:spacing w:after="0" w:line="6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primarily includes interest on our debt and amortization of debt discount and issuance costs.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by $0.2 million to $16.1 million for three months ended September 2024 as compared to $16.3 million for the same period a year ago. The decrease in interest expense is primarily driven by a slight decrease in interest rates on our $600 million incremental Term Loan Facility in the first quarter of fiscal 2025 compared to the same period a year ago.</w:t>
      </w:r>
    </w:p>
    <w:p>
      <w:pPr>
        <w:spacing w:after="0" w:line="7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(Benefit)/Provision for Income Taxes</w:t>
      </w:r>
      <w:r>
        <w:rPr>
          <w:rFonts w:ascii="Times New Roman" w:cs="Times New Roman" w:eastAsia="Times New Roman" w:hAnsi="Times New Roman"/>
          <w:sz w:val="18"/>
          <w:szCs w:val="18"/>
          <w:color w:val="auto"/>
        </w:rPr>
        <w:t>. We account for income taxes under the asset and liability method. The (benefit)/provision for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interim periods is based on our estimate of the annual effective tax rate applied to year-to-date (loss)/income before (benefit)/provision for income taxes, adjusted for discrete items required to be recognized in the period in which they are incurred. In each quarter, we update our estimate of the annual effective tax rate, and if the estimated annual tax rate changes, we make a cumulative adjustment in that quarter. Our quarterly tax (benefit)/provision for income taxes and our quarterly estimate of the annual effective tax rate can be subject to volatility due to several factors, including our ability to accurately forecast annual (loss)/income before (benefit)/provision for income taxes in each of the tax jurisdictions in which we operate.</w:t>
      </w:r>
    </w:p>
    <w:p>
      <w:pPr>
        <w:spacing w:after="0" w:line="76"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introduced Pillar Two Model Rules for a global minimum tax of 15% applicable to large multinational corporations. Many countries in which we have business operations, including the United Kingdom, Switzerland, and Japan, have implemented certain aspects of Pillar Two, which become effective to our company in fiscal 2025. The OECD and the implementing countries are expected to keep refining their laws and issue more guidance. Based on the current legislation, Pillar Two did not affect our effective tax rate or cash flows for the first three months of fiscal 2025. We will continue to evaluate the potential impact of these tax law changes on future reporting periods.</w:t>
      </w:r>
    </w:p>
    <w:p>
      <w:pPr>
        <w:spacing w:after="0" w:line="60"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See Note 14. Income Taxes in the Notes to the Unaudited Condensed Consolidated Financial Statements for additional information on our (benefit)/provision for income taxes.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cash and cash equivalents were $853.6 million and $876.9 million as of September 2024 and June 2024, respectively, representing a decrease of $23.3 million. The decrease in cash and cash equivalents during three months ended September 2024 was due to cash used in operating activities of $11.4 million, cash used in investing activities of $9.1 million and cash used in financing activities of $3.5 million.</w:t>
      </w:r>
    </w:p>
    <w:p>
      <w:pPr>
        <w:spacing w:after="0" w:line="6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consider almost all of the earnings of our foreign subsidiaries as not indefinitely invested overseas and have made appropriate provisions for income or withholding taxes that may result from a future repatriation of those earnings. As of September 2024, $405.7 million of cash and cash equivalents was held by our foreign subsidiaries. If these funds are needed for our operations in the United States, we would be able to repatriate substantially all of these funds without a material impact on our provision for income taxes.</w:t>
      </w:r>
    </w:p>
    <w:p>
      <w:pPr>
        <w:spacing w:after="0" w:line="70"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Cash Flows from Operating Activities</w:t>
      </w:r>
      <w:r>
        <w:rPr>
          <w:rFonts w:ascii="Times New Roman" w:cs="Times New Roman" w:eastAsia="Times New Roman" w:hAnsi="Times New Roman"/>
          <w:sz w:val="18"/>
          <w:szCs w:val="18"/>
          <w:color w:val="auto"/>
        </w:rPr>
        <w:t>. Cash used by operating activities during the three months ended September 2024 was $11.4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cash provided by operating activities of $45.4 million during same period a year ago. For the three months ended September 2024, the primary operating activities were adjustments for non-cash charges</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of $47.5 million and a net change in operating assets and liabilities of $35.8 million. The net change in operating assets and liabilities was attributable to a decrease in income taxes payable primarily related to tax payments of approximately $31.2 million made to various tax jurisdictions, the payment of our annual bonus of approximately $11.5 million and payments of approximately $10.6 million related to the restructuring actions we initiated during the first quarter of fiscal 2025 and in the fourth quarter of fiscal 2024.</w:t>
      </w:r>
    </w:p>
    <w:p>
      <w:pPr>
        <w:spacing w:after="0" w:line="7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2024, our days sales outstanding was 47 days compared to 42 days at the same period a year ago. Our annual inventory turns was four compared to three during the same period a year ago.</w:t>
      </w:r>
    </w:p>
    <w:p>
      <w:pPr>
        <w:spacing w:after="0" w:line="52"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 Cash used by investing activities during the three months ended September 2024 and September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$9.1 million and $150.1 million, respectively. Net cash used in investing activities for the three months ended September 2024 consisted of $9.1 million for purchases of property and equipment.</w:t>
      </w:r>
    </w:p>
    <w:p>
      <w:pPr>
        <w:spacing w:after="0" w:line="6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 Cash used by financing activities for the three months ended September 2024 and September 2023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 million and $18.1 million, respectively. Net cash used by financing activities for the three months ended September 2024 consisted of $11.3 million used for payroll taxes on the delivery of the underlying shares for share-based awards, partially offset by $7.7 million proceeds from issuance of shares primarily under the employee stock purchase plan.</w:t>
      </w:r>
    </w:p>
    <w:p>
      <w:pPr>
        <w:spacing w:after="0" w:line="7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Common Stock Repurchase Program</w:t>
      </w:r>
      <w:r>
        <w:rPr>
          <w:rFonts w:ascii="Times New Roman" w:cs="Times New Roman" w:eastAsia="Times New Roman" w:hAnsi="Times New Roman"/>
          <w:sz w:val="18"/>
          <w:szCs w:val="18"/>
          <w:color w:val="auto"/>
        </w:rPr>
        <w:t>. As of April 2023, our board had cumulatively authorized $2.3 billion for our common stock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will expire in July 2025. The program authorizes us to purchase our common stock in the open market or in privately negotiated transactions, depending upon market conditions and other factors. The number of shares purchased, and the timing of purchases, are based on the level of our cash balances, general business and market conditions, and other factors. Common stock purchased under this program is held as treasury stock. From April 2005 through September 2024, we purchased, net of issuances for settlement of our convertible notes, 30,116,439 shares of our common stock in the open market for an aggregate cost of $878.0 million. During the nine months ended September 2024, we did not repurchase shares of our common stock. As of September 2024, the remaining available authorization under our common stock repurchase program was $893.9 million.</w:t>
      </w:r>
    </w:p>
    <w:p>
      <w:pPr>
        <w:spacing w:after="0" w:line="7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In March 2021, we completed an offering of $400.0 million aggregate principal amount of 4.0% senior notes due 2029, or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in a private offering. The Senior Notes were issued pursuant to an Indenture, dated as of March 11, 2021, by and among our company, the guarantors named therein and Wells Fargo Bank, National Association, as trustee. The Senior Notes requires bi-annual interest only payments in June and December of each year. For the three months ended September 2024, we did not pay any interest on the Senior Notes.</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Bank Credit Facility</w:t>
      </w:r>
      <w:r>
        <w:rPr>
          <w:rFonts w:ascii="Times New Roman" w:cs="Times New Roman" w:eastAsia="Times New Roman" w:hAnsi="Times New Roman"/>
          <w:sz w:val="18"/>
          <w:szCs w:val="18"/>
          <w:color w:val="auto"/>
        </w:rPr>
        <w:t>. On March 16, 2023, we entered into the Second Amendment, and on July 28, 2023, we entered into the Third Amendment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Credit Agreement, dated March 11, 2021. The Second Amendment replaces the LIBOR-based interest rate applicable to borrowings under the Credit Agreement with SOFR-based interest rate. The Third Amendment provides that the consolidated interest coverage ratio financial covenant only applies if, as of the last day of any fiscal quarter, our aggregate cash and cash equivalents balance is less than $450.0 million. The Credit Agreement provides for a revolving credit facility in a principal amount of up to $250.0 million, which includes a $20.0 million sublimit for letters of credit and a $25.0 million sublimit for swingline loans. Under the terms of the Credit Agreement, we may, subject to the satisfaction of certain conditions, request increases in the revolving credit facility commitments in an aggregate principal amount of up to $150.0 million to the extent existing or new lenders agree to provide such increased or additional commitments, as applicable. Future proceeds under the revolving credit facility are available for working capital and general corporate purposes. As of September 2024, there was no balance outstanding under the revolving credit facility.</w:t>
      </w:r>
    </w:p>
    <w:p>
      <w:pPr>
        <w:spacing w:after="0" w:line="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Term Loan Facility</w:t>
      </w:r>
      <w:r>
        <w:rPr>
          <w:rFonts w:ascii="Times New Roman" w:cs="Times New Roman" w:eastAsia="Times New Roman" w:hAnsi="Times New Roman"/>
          <w:sz w:val="18"/>
          <w:szCs w:val="18"/>
          <w:color w:val="auto"/>
        </w:rPr>
        <w:t>. In December 2021, we entered into that certain First Amendment and Lender Joinder Agreement to the Credit Agreement,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other things, establish a new $600.0 incremental term loan facility, or the Term Loan Facility. The Term Loan Facility was advanced under the Credit Agreement to finance our DSPG acquisition. The Term Loan Facility matures on December 2, 2028. Principal on the Term Loan Facility is payable in equal quarterly installments on the last day of each March, June, September and December of each year, beginning December 31, 2001, at a rate of 1.00% per annum. For three months ended September 2024, we repaid $1.5 million of the principal outstanding on the Term Loan Facility.</w:t>
      </w:r>
    </w:p>
    <w:p>
      <w:pPr>
        <w:spacing w:after="0" w:line="7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See Note 12. Debt in the Notes to the Unaudited Condensed Consolidated Financial Statements for additional information on our outstanding debt obligations.</w:t>
      </w:r>
    </w:p>
    <w:p>
      <w:pPr>
        <w:spacing w:after="0" w:line="52"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$100 Million Shelf Registration</w:t>
      </w:r>
      <w:r>
        <w:rPr>
          <w:rFonts w:ascii="Times New Roman" w:cs="Times New Roman" w:eastAsia="Times New Roman" w:hAnsi="Times New Roman"/>
          <w:sz w:val="18"/>
          <w:szCs w:val="18"/>
          <w:color w:val="auto"/>
        </w:rPr>
        <w:t>. We have registered an aggregate of $100.0 million of common stock and preferred stock for issuance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acquisitions, which shares will generally be freely tradeable after their issuance under the Securities Act unless held by an affiliate of us, in which case such shares will be subject to the volume and manner of sale restrictions of Rule 144 of the Securities Act.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Working Capital Needs</w:t>
      </w:r>
      <w:r>
        <w:rPr>
          <w:rFonts w:ascii="Times New Roman" w:cs="Times New Roman" w:eastAsia="Times New Roman" w:hAnsi="Times New Roman"/>
          <w:sz w:val="18"/>
          <w:szCs w:val="18"/>
          <w:color w:val="auto"/>
        </w:rPr>
        <w:t>. We believe our existing cash and cash equivalents, anticipated cash flows from operating activities, anticipated cash flows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financing activities, and available credit under our revolving credit facility, will be sufficient to meet our working capital and other cash requirements, including small tuck-in acquisitions, and our debt service obligations for at least the next 12 months. Our future capital requirements will depend on many factors, including our revenue, the timing and extent of spending to support product development efforts, costs associated with restructuring activities net of projected savings from those activities, costs related to protecting our intellectual property, the expansion of sales and marketing activities, timing of introduction of new products and enhancements to existing products, costs to ensure access to adequate manufacturing, costs of maintaining sufficient space for our workforce, the continuing market acceptance of our product solutions, our common stock repurchase program, and the amount and timing of our investments in, or acquisitions of, other technologies or companies. Further equity or debt financing may not be available to us on acceptable terms. If sufficient funds are not available or are not available on acceptable terms, our ability to fund our future long-term working capital needs, take advantage of business opportunities or to respond to competitive pressures could be limited or severely constrained.</w:t>
      </w:r>
    </w:p>
    <w:p>
      <w:pPr>
        <w:spacing w:after="0" w:line="7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undistributed earnings of our foreign subsidiaries are not currently required to meet our United States working capital and other cash requirements, but should we repatriate a portion of these earnings, we may be required to pay certain previously accrued state and foreign taxes, which would impact our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material contractual obligations and commercial commitments as of September 2024 were as follows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8"/>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96"/>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center"/>
              <w:ind w:right="236"/>
              <w:spacing w:after="0" w:line="158" w:lineRule="exact"/>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96"/>
              <w:spacing w:after="0" w:line="158" w:lineRule="exact"/>
              <w:rPr>
                <w:sz w:val="20"/>
                <w:szCs w:val="20"/>
                <w:color w:val="auto"/>
              </w:rPr>
            </w:pPr>
            <w:r>
              <w:rPr>
                <w:rFonts w:ascii="Times New Roman" w:cs="Times New Roman" w:eastAsia="Times New Roman" w:hAnsi="Times New Roman"/>
                <w:sz w:val="14"/>
                <w:szCs w:val="14"/>
                <w:b w:val="1"/>
                <w:bCs w:val="1"/>
                <w:color w:val="auto"/>
              </w:rPr>
              <w:t>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4"/>
        </w:trPr>
        <w:tc>
          <w:tcPr>
            <w:tcW w:w="41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2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0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7"/>
                <w:szCs w:val="17"/>
                <w:color w:val="auto"/>
              </w:rPr>
            </w:pP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3"/>
        </w:trPr>
        <w:tc>
          <w:tcPr>
            <w:tcW w:w="4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1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63"/>
        </w:trPr>
        <w:tc>
          <w:tcPr>
            <w:tcW w:w="410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 xml:space="preserve">Purchase obligations and other commitments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4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360" w:lineRule="exact"/>
        <w:rPr>
          <w:sz w:val="20"/>
          <w:szCs w:val="20"/>
          <w:color w:val="auto"/>
        </w:rPr>
      </w:pPr>
    </w:p>
    <w:p>
      <w:pPr>
        <w:ind w:left="1860" w:hanging="718"/>
        <w:spacing w:after="0"/>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principal and interest payable through the maturity date of the underlying contractual obligation.</w:t>
      </w:r>
    </w:p>
    <w:p>
      <w:pPr>
        <w:spacing w:after="0" w:line="117" w:lineRule="exact"/>
        <w:rPr>
          <w:rFonts w:ascii="Times New Roman" w:cs="Times New Roman" w:eastAsia="Times New Roman" w:hAnsi="Times New Roman"/>
          <w:sz w:val="18"/>
          <w:szCs w:val="18"/>
          <w:color w:val="auto"/>
        </w:rPr>
      </w:pPr>
    </w:p>
    <w:p>
      <w:pPr>
        <w:ind w:left="1880" w:right="1020" w:hanging="738"/>
        <w:spacing w:after="0" w:line="282" w:lineRule="auto"/>
        <w:tabs>
          <w:tab w:leader="none" w:pos="18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and other commitments include payments due for inventory purchase obligations with contract manufacturers, long-term software tool licenses, and other licenses.</w:t>
      </w:r>
    </w:p>
    <w:p>
      <w:pPr>
        <w:spacing w:after="0" w:line="5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amounts in the table above exclude gross unrecognized tax benefits related to uncertain tax positions of $44.6 million. As of September 2024, we were unable to make a reasonably reliable estimate of when cash settlement with a taxing authority may occur in connection with our gross unrecognized tax benefit.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below, as of September 28, 2024, our market risk related to interest rates on our cash and cash equivalents, and foreign currency exchange risks has not changed materially from the risks disclosed in Item 7A of our Annual Report on Form 10-K for the fiscal year ended June 29,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on Debt</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With our outstanding debt, we are exposed to various forms of market risk, including the potential losses arising from adverse changes in interest rates on our outstanding Term Loan Facility. See Note 12. Debt for further information.</w:t>
      </w:r>
    </w:p>
    <w:p>
      <w:pPr>
        <w:spacing w:after="0" w:line="54"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ultimate realized gain or loss with respect to interest rate fluctuations will depend on interest rates and the exposures that arise during the period. As an example, a hypothetical increase or decrease in the interest rate by 1% or 100 basis points, the quarterly interest expense would have increased or decreased by approximately $1.5 million based on the outstanding balance of our Term Loan as of September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Principal Financial Officer, we conducted an evaluation of the effectiveness of the design and operation of our disclosure controls and procedures (as defined in Rules 13a-15(e) and 15d-15(e) under the Exchange Act). Based on this evaluation, our Chief Executive Officer and Principal Financial Officer, as of September 28, 2024, concluded that our disclosure controls and procedures (as defined in Rules 13a-15(e) and 15d-15(e) under the Exchange Act) were effective to ensure that information required to be disclosed by us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Principal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We assessed, with the participation of our Chief Executive Officer and Principal Financial Officer, any change in our internal control over financial reporting as of the end of the fiscal quarter covered by this Report.</w:t>
      </w:r>
    </w:p>
    <w:p>
      <w:pPr>
        <w:spacing w:after="0" w:line="5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period ended September 2024,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252525"/>
        </w:rPr>
        <w:t>We are party to various litigation matters and claims arising from time to time in the ordinary course of business. While the results of such matters cannot be predicted with certainty, we believe that the final outcome of such matters will not have a material adverse effect on our business, financial condition, results of operations or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252525"/>
        </w:rPr>
        <w:t>We refer you to the Company’s risk factors set forth in Part I, Item 1A, “Risk Factors,” of our Annual Report on Form 10-K for the fiscal year ended June 29, 2024 for material risks that may affect our business. There have been no material changes from the risk factors previously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60"/>
        <w:spacing w:after="0" w:line="377"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p>
      <w:pPr>
        <w:spacing w:after="0" w:line="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April 2005 through April 2023, our Board of Directors cumulatively authorized the repurchase of up to $2.3 billion of our common stock under our stock repurchase program, which will expire at the end of July 2025. As of September 2024, the remaining amount authorized for the repurchase of our common stock was $893.9 million. During the three months ended September 2024, we did not repurchase any shares under our common stock repurchase program.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121"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quarter ended September 28, 2024,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260" w:type="dxa"/>
            <w:vAlign w:val="bottom"/>
            <w:gridSpan w:val="8"/>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Synaptics Incorporated Amended and Restated Certificate of Incorporation (incorporated by reference to the</w:t>
              </w:r>
            </w:hyperlink>
          </w:p>
        </w:tc>
      </w:tr>
      <w:tr>
        <w:trPr>
          <w:trHeight w:val="196"/>
        </w:trPr>
        <w:tc>
          <w:tcPr>
            <w:tcW w:w="1420" w:type="dxa"/>
            <w:vAlign w:val="bottom"/>
          </w:tcPr>
          <w:p>
            <w:pPr>
              <w:spacing w:after="0"/>
              <w:rPr>
                <w:sz w:val="17"/>
                <w:szCs w:val="17"/>
                <w:color w:val="auto"/>
              </w:rPr>
            </w:pPr>
          </w:p>
        </w:tc>
        <w:tc>
          <w:tcPr>
            <w:tcW w:w="60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registrant's Current Report on Form 8-K as filed with the SEC on October 26, 2023)</w:t>
              </w:r>
            </w:hyperlink>
          </w:p>
        </w:tc>
        <w:tc>
          <w:tcPr>
            <w:tcW w:w="17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r>
      <w:tr>
        <w:trPr>
          <w:trHeight w:val="39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26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Third Amended and Restated Bylaws (incorporated by reference to the registrant’s Current Report on Form 8-K as</w:t>
              </w:r>
            </w:hyperlink>
          </w:p>
        </w:tc>
      </w:tr>
      <w:tr>
        <w:trPr>
          <w:trHeight w:val="196"/>
        </w:trPr>
        <w:tc>
          <w:tcPr>
            <w:tcW w:w="1420" w:type="dxa"/>
            <w:vAlign w:val="bottom"/>
          </w:tcPr>
          <w:p>
            <w:pPr>
              <w:spacing w:after="0"/>
              <w:rPr>
                <w:sz w:val="17"/>
                <w:szCs w:val="17"/>
                <w:color w:val="auto"/>
              </w:rPr>
            </w:pPr>
          </w:p>
        </w:tc>
        <w:tc>
          <w:tcPr>
            <w:tcW w:w="27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filed with the SEC on August 2, 2010)</w:t>
              </w:r>
            </w:hyperlink>
          </w:p>
        </w:tc>
        <w:tc>
          <w:tcPr>
            <w:tcW w:w="5480" w:type="dxa"/>
            <w:vAlign w:val="bottom"/>
            <w:gridSpan w:val="7"/>
          </w:tcPr>
          <w:p>
            <w:pPr>
              <w:spacing w:after="0"/>
              <w:rPr>
                <w:sz w:val="17"/>
                <w:szCs w:val="17"/>
                <w:color w:val="auto"/>
              </w:rPr>
            </w:pPr>
          </w:p>
        </w:tc>
      </w:tr>
      <w:tr>
        <w:trPr>
          <w:trHeight w:val="39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w:t>
            </w:r>
          </w:p>
        </w:tc>
        <w:tc>
          <w:tcPr>
            <w:tcW w:w="5380" w:type="dxa"/>
            <w:vAlign w:val="bottom"/>
            <w:gridSpan w:val="5"/>
          </w:tcPr>
          <w:p>
            <w:pPr>
              <w:spacing w:after="0"/>
              <w:rPr>
                <w:sz w:val="24"/>
                <w:szCs w:val="24"/>
                <w:color w:val="auto"/>
              </w:rPr>
            </w:pPr>
          </w:p>
        </w:tc>
      </w:tr>
      <w:tr>
        <w:trPr>
          <w:trHeight w:val="39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w:t>
            </w:r>
          </w:p>
        </w:tc>
      </w:tr>
      <w:tr>
        <w:trPr>
          <w:trHeight w:val="20"/>
        </w:trPr>
        <w:tc>
          <w:tcPr>
            <w:tcW w:w="142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r>
      <w:tr>
        <w:trPr>
          <w:trHeight w:val="398"/>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1350 Certification of Chief Executive Officer</w:t>
            </w:r>
          </w:p>
        </w:tc>
      </w:tr>
      <w:tr>
        <w:trPr>
          <w:trHeight w:val="399"/>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8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Financial Officer</w:t>
            </w:r>
          </w:p>
        </w:tc>
        <w:tc>
          <w:tcPr>
            <w:tcW w:w="40" w:type="dxa"/>
            <w:vAlign w:val="bottom"/>
            <w:tcBorders>
              <w:top w:val="single" w:sz="8" w:color="0000FF"/>
            </w:tcBorders>
          </w:tcPr>
          <w:p>
            <w:pPr>
              <w:spacing w:after="0"/>
              <w:rPr>
                <w:sz w:val="24"/>
                <w:szCs w:val="24"/>
                <w:color w:val="auto"/>
              </w:rPr>
            </w:pPr>
          </w:p>
        </w:tc>
        <w:tc>
          <w:tcPr>
            <w:tcW w:w="4400" w:type="dxa"/>
            <w:vAlign w:val="bottom"/>
            <w:gridSpan w:val="3"/>
          </w:tcPr>
          <w:p>
            <w:pPr>
              <w:spacing w:after="0"/>
              <w:rPr>
                <w:sz w:val="24"/>
                <w:szCs w:val="24"/>
                <w:color w:val="auto"/>
              </w:rPr>
            </w:pPr>
          </w:p>
        </w:tc>
      </w:tr>
      <w:tr>
        <w:trPr>
          <w:trHeight w:val="529"/>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101.INS Inline</w:t>
            </w:r>
          </w:p>
        </w:tc>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w:t>
            </w:r>
          </w:p>
        </w:tc>
      </w:tr>
      <w:tr>
        <w:trPr>
          <w:trHeight w:val="234"/>
        </w:trPr>
        <w:tc>
          <w:tcPr>
            <w:tcW w:w="1420" w:type="dxa"/>
            <w:vAlign w:val="bottom"/>
          </w:tcPr>
          <w:p>
            <w:pPr>
              <w:spacing w:after="0"/>
              <w:rPr>
                <w:sz w:val="20"/>
                <w:szCs w:val="20"/>
                <w:color w:val="auto"/>
              </w:rPr>
            </w:pPr>
          </w:p>
        </w:tc>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05"/>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101.SCH Inline</w:t>
            </w:r>
          </w:p>
        </w:tc>
        <w:tc>
          <w:tcPr>
            <w:tcW w:w="8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184" w:lineRule="exact"/>
        <w:rPr>
          <w:sz w:val="20"/>
          <w:szCs w:val="20"/>
          <w:color w:val="auto"/>
        </w:rPr>
      </w:pPr>
    </w:p>
    <w:p>
      <w:pPr>
        <w:ind w:left="1440" w:right="1320" w:hanging="1414"/>
        <w:spacing w:after="0" w:line="282" w:lineRule="auto"/>
        <w:tabs>
          <w:tab w:leader="none" w:pos="1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______________________________________________________________________________________</w:t>
      </w:r>
    </w:p>
    <w:p>
      <w:pPr>
        <w:spacing w:after="0" w:line="279" w:lineRule="exact"/>
        <w:rPr>
          <w:sz w:val="20"/>
          <w:szCs w:val="20"/>
          <w:color w:val="auto"/>
        </w:rPr>
      </w:pPr>
    </w:p>
    <w:p>
      <w:pPr>
        <w:ind w:firstLine="8"/>
        <w:spacing w:after="0" w:line="282" w:lineRule="auto"/>
        <w:tabs>
          <w:tab w:leader="none" w:pos="1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furnished and not filed for purposes of Sections 11 and 12 of the Securities Act of 1933 and Section 18 of the Securities Exchange Act of 1934.</w:t>
      </w:r>
    </w:p>
    <w:p>
      <w:pPr>
        <w:spacing w:after="0" w:line="200" w:lineRule="exact"/>
        <w:rPr>
          <w:sz w:val="20"/>
          <w:szCs w:val="20"/>
          <w:color w:val="auto"/>
        </w:rPr>
      </w:pPr>
    </w:p>
    <w:p>
      <w:pPr>
        <w:spacing w:after="0" w:line="3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4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SYNAPTICS INCORPORATED</w:t>
            </w:r>
          </w:p>
        </w:tc>
      </w:tr>
      <w:tr>
        <w:trPr>
          <w:trHeight w:val="53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8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Michael E. Hurlston</w:t>
            </w:r>
          </w:p>
        </w:tc>
      </w:tr>
      <w:tr>
        <w:trPr>
          <w:trHeight w:val="243"/>
        </w:trPr>
        <w:tc>
          <w:tcPr>
            <w:tcW w:w="3580" w:type="dxa"/>
            <w:vAlign w:val="bottom"/>
          </w:tcPr>
          <w:p>
            <w:pPr>
              <w:spacing w:after="0"/>
              <w:rPr>
                <w:sz w:val="21"/>
                <w:szCs w:val="21"/>
                <w:color w:val="auto"/>
              </w:rPr>
            </w:pPr>
          </w:p>
        </w:tc>
        <w:tc>
          <w:tcPr>
            <w:tcW w:w="28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E. Hurlston</w:t>
            </w:r>
          </w:p>
        </w:tc>
      </w:tr>
      <w:tr>
        <w:trPr>
          <w:trHeight w:val="252"/>
        </w:trPr>
        <w:tc>
          <w:tcPr>
            <w:tcW w:w="35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8"/>
        </w:trPr>
        <w:tc>
          <w:tcPr>
            <w:tcW w:w="3580" w:type="dxa"/>
            <w:vAlign w:val="bottom"/>
          </w:tcPr>
          <w:p>
            <w:pPr>
              <w:spacing w:after="0"/>
              <w:rPr>
                <w:sz w:val="21"/>
                <w:szCs w:val="21"/>
                <w:color w:val="auto"/>
              </w:rPr>
            </w:pPr>
          </w:p>
        </w:tc>
        <w:tc>
          <w:tcPr>
            <w:tcW w:w="28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8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Ken Rizvi</w:t>
            </w:r>
          </w:p>
        </w:tc>
      </w:tr>
      <w:tr>
        <w:trPr>
          <w:trHeight w:val="243"/>
        </w:trPr>
        <w:tc>
          <w:tcPr>
            <w:tcW w:w="3580" w:type="dxa"/>
            <w:vAlign w:val="bottom"/>
          </w:tcPr>
          <w:p>
            <w:pPr>
              <w:spacing w:after="0"/>
              <w:rPr>
                <w:sz w:val="21"/>
                <w:szCs w:val="21"/>
                <w:color w:val="auto"/>
              </w:rPr>
            </w:pPr>
          </w:p>
        </w:tc>
        <w:tc>
          <w:tcPr>
            <w:tcW w:w="28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 Rizvi</w:t>
            </w:r>
          </w:p>
        </w:tc>
      </w:tr>
      <w:tr>
        <w:trPr>
          <w:trHeight w:val="252"/>
        </w:trPr>
        <w:tc>
          <w:tcPr>
            <w:tcW w:w="3580" w:type="dxa"/>
            <w:vAlign w:val="bottom"/>
          </w:tcPr>
          <w:p>
            <w:pPr>
              <w:spacing w:after="0"/>
              <w:rPr>
                <w:sz w:val="21"/>
                <w:szCs w:val="21"/>
                <w:color w:val="auto"/>
              </w:rPr>
            </w:pPr>
          </w:p>
        </w:tc>
        <w:tc>
          <w:tcPr>
            <w:tcW w:w="28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3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32"/>
        </w:trPr>
        <w:tc>
          <w:tcPr>
            <w:tcW w:w="3580" w:type="dxa"/>
            <w:vAlign w:val="bottom"/>
          </w:tcPr>
          <w:p>
            <w:pPr>
              <w:spacing w:after="0"/>
              <w:rPr>
                <w:sz w:val="24"/>
                <w:szCs w:val="24"/>
                <w:color w:val="auto"/>
              </w:rPr>
            </w:pPr>
          </w:p>
        </w:tc>
        <w:tc>
          <w:tcPr>
            <w:tcW w:w="28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35</w:t>
            </w:r>
          </w:p>
        </w:tc>
        <w:tc>
          <w:tcPr>
            <w:tcW w:w="47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Hurlston, certify that:</w:t>
      </w:r>
    </w:p>
    <w:p>
      <w:pPr>
        <w:spacing w:after="0" w:line="252"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right="200" w:firstLine="656"/>
        <w:spacing w:after="0" w:line="266" w:lineRule="auto"/>
        <w:tabs>
          <w:tab w:leader="none" w:pos="83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right="40" w:firstLine="656"/>
        <w:spacing w:after="0" w:line="266" w:lineRule="auto"/>
        <w:tabs>
          <w:tab w:leader="none" w:pos="8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700" w:firstLine="656"/>
        <w:spacing w:after="0" w:line="282" w:lineRule="auto"/>
        <w:tabs>
          <w:tab w:leader="none" w:pos="83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right="180" w:firstLine="656"/>
        <w:spacing w:after="0" w:line="266" w:lineRule="auto"/>
        <w:tabs>
          <w:tab w:leader="none" w:pos="8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right="100" w:firstLine="656"/>
        <w:spacing w:after="0" w:line="282" w:lineRule="auto"/>
        <w:tabs>
          <w:tab w:leader="none" w:pos="83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40" w:firstLine="656"/>
        <w:spacing w:after="0" w:line="282" w:lineRule="auto"/>
        <w:tabs>
          <w:tab w:leader="none" w:pos="8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4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i w:val="1"/>
          <w:iCs w:val="1"/>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27305</wp:posOffset>
            </wp:positionV>
            <wp:extent cx="27686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4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 Rizvi, certify that:</w:t>
      </w:r>
    </w:p>
    <w:p>
      <w:pPr>
        <w:spacing w:after="0" w:line="252"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Synaptics Incorporated;</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right="200" w:firstLine="656"/>
        <w:spacing w:after="0" w:line="266" w:lineRule="auto"/>
        <w:tabs>
          <w:tab w:leader="none" w:pos="8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right="40" w:firstLine="656"/>
        <w:spacing w:after="0" w:line="266" w:lineRule="auto"/>
        <w:tabs>
          <w:tab w:leader="none" w:pos="84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700" w:firstLine="656"/>
        <w:spacing w:after="0" w:line="282" w:lineRule="auto"/>
        <w:tabs>
          <w:tab w:leader="none" w:pos="8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right="180" w:firstLine="656"/>
        <w:spacing w:after="0" w:line="266" w:lineRule="auto"/>
        <w:tabs>
          <w:tab w:leader="none" w:pos="84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right="100" w:firstLine="656"/>
        <w:spacing w:after="0" w:line="282" w:lineRule="auto"/>
        <w:tabs>
          <w:tab w:leader="none" w:pos="83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40" w:firstLine="656"/>
        <w:spacing w:after="0" w:line="282" w:lineRule="auto"/>
        <w:tabs>
          <w:tab w:leader="none" w:pos="84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4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/s/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27305</wp:posOffset>
            </wp:positionV>
            <wp:extent cx="29660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4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Ken Rizvi</w:t>
      </w:r>
    </w:p>
    <w:p>
      <w:pPr>
        <w:spacing w:after="0" w:line="6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56" w:lineRule="exact"/>
        <w:rPr>
          <w:sz w:val="20"/>
          <w:szCs w:val="20"/>
          <w:color w:val="auto"/>
        </w:rPr>
      </w:pPr>
    </w:p>
    <w:p>
      <w:pPr>
        <w:jc w:val="both"/>
        <w:ind w:right="140" w:firstLine="1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Synaptics Incorporated (the “Company”) for the quarterly period ended September 28, 2024, as filed with the Securities and Exchange Commission on the date hereof (the “Report”), I, Michael E. Hurlston, Chief Executive Officer of the Company, certify, to the best of my knowledge and belief, pursuant to 18 U.S.C. § 1350, as adopted pursuant to § 906 of the Sarbanes-Oxley Act of 2002, that:</w:t>
      </w:r>
    </w:p>
    <w:p>
      <w:pPr>
        <w:spacing w:after="0" w:line="185" w:lineRule="exact"/>
        <w:rPr>
          <w:sz w:val="20"/>
          <w:szCs w:val="20"/>
          <w:color w:val="auto"/>
        </w:rPr>
      </w:pPr>
    </w:p>
    <w:p>
      <w:pPr>
        <w:ind w:left="440" w:hanging="432"/>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25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Michael E.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8315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E. Hurlston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2024</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Synaptics Incorporated (the “Company”) for the quarterly period ended September 28, 2024, as filed with the Securities and Exchange Commission on the date hereof (the “Report”), I, Ken Rizvi, Chief Financial Officer of the Company, certify, to the best of my knowledge and belief, pursuant to 18 U.S.C. § 1350, as adopted pursuant to § 906 of the Sarbanes-Oxley Act of 2002, that:</w:t>
      </w:r>
    </w:p>
    <w:p>
      <w:pPr>
        <w:spacing w:after="0" w:line="203"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252"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8315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 Rizvi</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7, 2024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9" Type="http://schemas.openxmlformats.org/officeDocument/2006/relationships/hyperlink" Target="https://www.sec.gov/Archives/edgar/data/817720/000119312523264071/d511153dex31.htm" TargetMode="External"/><Relationship Id="rId70" Type="http://schemas.openxmlformats.org/officeDocument/2006/relationships/hyperlink" Target="https://www.sec.gov/Archives/edgar/data/817720/000095012310070616/c04076exv3w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2024-11-07T16:12:45Z</dcterms:created>
  <dcterms:modified xsi:type="dcterms:W3CDTF">2024-11-07T16:12:45Z</dcterms:modified>
</cp:coreProperties>
</file>