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3"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pacing w:after="0" w:line="127" w:lineRule="exact"/>
        <w:rPr>
          <w:sz w:val="24"/>
          <w:szCs w:val="24"/>
          <w:color w:val="auto"/>
        </w:rPr>
      </w:pPr>
    </w:p>
    <w:p>
      <w:pPr>
        <w:ind w:left="360" w:right="280" w:hanging="334"/>
        <w:spacing w:after="0" w:line="272" w:lineRule="auto"/>
        <w:tabs>
          <w:tab w:leader="none" w:pos="3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27, 2025</w:t>
      </w:r>
    </w:p>
    <w:p>
      <w:pPr>
        <w:spacing w:after="0" w:line="107" w:lineRule="exact"/>
        <w:rPr>
          <w:sz w:val="24"/>
          <w:szCs w:val="24"/>
          <w:color w:val="auto"/>
        </w:rPr>
      </w:pPr>
    </w:p>
    <w:p>
      <w:pPr>
        <w:ind w:left="360" w:right="280" w:hanging="334"/>
        <w:spacing w:after="0" w:line="272" w:lineRule="auto"/>
        <w:tabs>
          <w:tab w:leader="none" w:pos="3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84" w:lineRule="exact"/>
        <w:rPr>
          <w:sz w:val="24"/>
          <w:szCs w:val="24"/>
          <w:color w:val="auto"/>
        </w:rPr>
      </w:pPr>
    </w:p>
    <w:p>
      <w:pPr>
        <w:ind w:left="3500"/>
        <w:spacing w:after="0"/>
        <w:tabs>
          <w:tab w:leader="none" w:pos="6760" w:val="left"/>
          <w:tab w:leader="none" w:pos="7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114"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SYNAPTICS INCORPORATED</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ind w:left="308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w:t>
      </w:r>
    </w:p>
    <w:p>
      <w:pPr>
        <w:sectPr>
          <w:pgSz w:w="11900" w:h="16838" w:orient="portrait"/>
          <w:cols w:equalWidth="0" w:num="1">
            <w:col w:w="11180"/>
          </w:cols>
          <w:pgMar w:left="320" w:top="215" w:right="399" w:bottom="1440" w:gutter="0" w:footer="0" w:header="0"/>
        </w:sectPr>
      </w:pPr>
    </w:p>
    <w:p>
      <w:pPr>
        <w:spacing w:after="0" w:line="13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77-0118518</w:t>
      </w:r>
    </w:p>
    <w:p>
      <w:pPr>
        <w:spacing w:after="0" w:line="84" w:lineRule="exact"/>
        <w:rPr>
          <w:sz w:val="24"/>
          <w:szCs w:val="24"/>
          <w:color w:val="auto"/>
        </w:rPr>
      </w:pPr>
    </w:p>
    <w:p>
      <w:pPr>
        <w:sectPr>
          <w:pgSz w:w="11900" w:h="16838" w:orient="portrait"/>
          <w:cols w:equalWidth="0" w:num="2">
            <w:col w:w="8160" w:space="720"/>
            <w:col w:w="2300"/>
          </w:cols>
          <w:pgMar w:left="320" w:top="215" w:right="399" w:bottom="1440" w:gutter="0" w:footer="0" w:header="0"/>
          <w:type w:val="continuous"/>
        </w:sectPr>
      </w:pPr>
    </w:p>
    <w:p>
      <w:pPr>
        <w:ind w:left="900"/>
        <w:spacing w:after="0"/>
        <w:rPr>
          <w:sz w:val="20"/>
          <w:szCs w:val="20"/>
          <w:color w:val="auto"/>
        </w:rPr>
      </w:pPr>
      <w:r>
        <w:rPr>
          <w:rFonts w:ascii="Arial" w:cs="Arial" w:eastAsia="Arial" w:hAnsi="Arial"/>
          <w:sz w:val="14"/>
          <w:szCs w:val="14"/>
          <w:b w:val="1"/>
          <w:bCs w:val="1"/>
          <w:color w:val="auto"/>
        </w:rPr>
        <w:t>(State or other jurisdiction of</w:t>
      </w:r>
    </w:p>
    <w:p>
      <w:pPr>
        <w:spacing w:after="0" w:line="29"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Identification No.)</w:t>
      </w:r>
    </w:p>
    <w:p>
      <w:pPr>
        <w:spacing w:after="0" w:line="99" w:lineRule="exact"/>
        <w:rPr>
          <w:sz w:val="24"/>
          <w:szCs w:val="24"/>
          <w:color w:val="auto"/>
        </w:rPr>
      </w:pPr>
    </w:p>
    <w:p>
      <w:pPr>
        <w:sectPr>
          <w:pgSz w:w="11900" w:h="16838" w:orient="portrait"/>
          <w:cols w:equalWidth="0" w:num="2">
            <w:col w:w="8040" w:space="720"/>
            <w:col w:w="2420"/>
          </w:cols>
          <w:pgMar w:left="320" w:top="215" w:right="3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1109 McKay Drive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Jose, California 95131</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(408) 904-1100</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080"/>
        <w:spacing w:after="0"/>
        <w:rPr>
          <w:sz w:val="20"/>
          <w:szCs w:val="20"/>
          <w:color w:val="auto"/>
        </w:rPr>
      </w:pPr>
      <w:r>
        <w:rPr>
          <w:rFonts w:ascii="Arial" w:cs="Arial" w:eastAsia="Arial" w:hAnsi="Arial"/>
          <w:sz w:val="8"/>
          <w:szCs w:val="8"/>
          <w:color w:val="auto"/>
        </w:rPr>
        <w:t>______________________________________________________________________________________________________</w:t>
      </w:r>
    </w:p>
    <w:p>
      <w:pPr>
        <w:sectPr>
          <w:pgSz w:w="11900" w:h="16838" w:orient="portrait"/>
          <w:cols w:equalWidth="0" w:num="1">
            <w:col w:w="11180"/>
          </w:cols>
          <w:pgMar w:left="320" w:top="215" w:right="399" w:bottom="1440" w:gutter="0" w:footer="0" w:header="0"/>
          <w:type w:val="continuous"/>
        </w:sectPr>
      </w:pP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5"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2200" w:type="dxa"/>
            <w:vAlign w:val="bottom"/>
          </w:tcPr>
          <w:p>
            <w:pPr>
              <w:spacing w:after="0"/>
              <w:rPr>
                <w:sz w:val="18"/>
                <w:szCs w:val="18"/>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Trading Symbol(s)</w:t>
            </w:r>
          </w:p>
        </w:tc>
        <w:tc>
          <w:tcPr>
            <w:tcW w:w="4120" w:type="dxa"/>
            <w:vAlign w:val="bottom"/>
            <w:gridSpan w:val="2"/>
          </w:tcPr>
          <w:p>
            <w:pPr>
              <w:jc w:val="center"/>
              <w:ind w:left="47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81"/>
        </w:trPr>
        <w:tc>
          <w:tcPr>
            <w:tcW w:w="4620" w:type="dxa"/>
            <w:vAlign w:val="bottom"/>
            <w:gridSpan w:val="3"/>
          </w:tcPr>
          <w:p>
            <w:pPr>
              <w:jc w:val="center"/>
              <w:ind w:right="1240"/>
              <w:spacing w:after="0"/>
              <w:rPr>
                <w:sz w:val="20"/>
                <w:szCs w:val="20"/>
                <w:color w:val="auto"/>
              </w:rPr>
            </w:pPr>
            <w:r>
              <w:rPr>
                <w:rFonts w:ascii="Arial" w:cs="Arial" w:eastAsia="Arial" w:hAnsi="Arial"/>
                <w:sz w:val="18"/>
                <w:szCs w:val="18"/>
                <w:color w:val="auto"/>
                <w:w w:val="99"/>
              </w:rPr>
              <w:t>Common Stock, par value $.001 per share</w:t>
            </w:r>
          </w:p>
        </w:tc>
        <w:tc>
          <w:tcPr>
            <w:tcW w:w="2040" w:type="dxa"/>
            <w:vAlign w:val="bottom"/>
            <w:gridSpan w:val="2"/>
          </w:tcPr>
          <w:p>
            <w:pPr>
              <w:jc w:val="center"/>
              <w:ind w:right="580"/>
              <w:spacing w:after="0"/>
              <w:rPr>
                <w:sz w:val="20"/>
                <w:szCs w:val="20"/>
                <w:color w:val="auto"/>
              </w:rPr>
            </w:pPr>
            <w:r>
              <w:rPr>
                <w:rFonts w:ascii="Arial" w:cs="Arial" w:eastAsia="Arial" w:hAnsi="Arial"/>
                <w:sz w:val="18"/>
                <w:szCs w:val="18"/>
                <w:color w:val="auto"/>
              </w:rPr>
              <w:t>SYNA</w:t>
            </w:r>
          </w:p>
        </w:tc>
        <w:tc>
          <w:tcPr>
            <w:tcW w:w="56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32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2" w:lineRule="exact"/>
        <w:rPr>
          <w:sz w:val="24"/>
          <w:szCs w:val="24"/>
          <w:color w:val="auto"/>
        </w:rPr>
      </w:pPr>
    </w:p>
    <w:p>
      <w:pPr>
        <w:ind w:right="1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tabs>
          <w:tab w:leader="none" w:pos="9180" w:val="left"/>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As of January 29, 2026, the Company had 38,729,741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15"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4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5"/>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gridSpan w:val="12"/>
          </w:tcPr>
          <w:p>
            <w:pPr>
              <w:jc w:val="center"/>
              <w:ind w:right="3660"/>
              <w:spacing w:after="0"/>
              <w:rPr>
                <w:sz w:val="20"/>
                <w:szCs w:val="20"/>
                <w:color w:val="auto"/>
              </w:rPr>
            </w:pPr>
            <w:r>
              <w:rPr>
                <w:rFonts w:ascii="Arial" w:cs="Arial" w:eastAsia="Arial" w:hAnsi="Arial"/>
                <w:sz w:val="18"/>
                <w:szCs w:val="18"/>
                <w:b w:val="1"/>
                <w:bCs w:val="1"/>
                <w:color w:val="auto"/>
                <w:w w:val="99"/>
              </w:rPr>
              <w:t>SYNAPTICS INCORPORATED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60" w:type="dxa"/>
            <w:vAlign w:val="bottom"/>
            <w:gridSpan w:val="14"/>
          </w:tcPr>
          <w:p>
            <w:pPr>
              <w:jc w:val="center"/>
              <w:ind w:right="308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80" w:type="dxa"/>
            <w:vAlign w:val="bottom"/>
            <w:gridSpan w:val="16"/>
          </w:tcPr>
          <w:p>
            <w:pPr>
              <w:jc w:val="center"/>
              <w:ind w:right="2680"/>
              <w:spacing w:after="0"/>
              <w:rPr>
                <w:sz w:val="20"/>
                <w:szCs w:val="20"/>
                <w:color w:val="auto"/>
              </w:rPr>
            </w:pPr>
            <w:r>
              <w:rPr>
                <w:rFonts w:ascii="Arial" w:cs="Arial" w:eastAsia="Arial" w:hAnsi="Arial"/>
                <w:sz w:val="18"/>
                <w:szCs w:val="18"/>
                <w:b w:val="1"/>
                <w:bCs w:val="1"/>
                <w:color w:val="auto"/>
                <w:w w:val="99"/>
              </w:rPr>
              <w:t>FOR THE QUARTER ENDED DECEMBER 27, 2025</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gridSpan w:val="12"/>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580" w:type="dxa"/>
            <w:vAlign w:val="bottom"/>
            <w:gridSpan w:val="26"/>
          </w:tcPr>
          <w:p>
            <w:pPr>
              <w:spacing w:after="0" w:line="184" w:lineRule="exact"/>
              <w:rPr>
                <w:sz w:val="20"/>
                <w:szCs w:val="20"/>
                <w:color w:val="auto"/>
              </w:rPr>
            </w:pPr>
            <w:r>
              <w:rPr>
                <w:rFonts w:ascii="Arial" w:cs="Arial" w:eastAsia="Arial" w:hAnsi="Arial"/>
                <w:sz w:val="18"/>
                <w:szCs w:val="18"/>
                <w:color w:val="0000FF"/>
              </w:rPr>
              <w:t>Part I. Financial Information</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1.</w:t>
            </w:r>
          </w:p>
        </w:tc>
        <w:tc>
          <w:tcPr>
            <w:tcW w:w="48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406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Balance Sheets—December 27, 2025 and June 28, 2025</w:t>
            </w:r>
          </w:p>
        </w:tc>
        <w:tc>
          <w:tcPr>
            <w:tcW w:w="222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Operations—Three and Six Months Ended December 27, 2025 and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December 28, 2024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Stockholders’ Equity—Three and Six Months Ended December 27,</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56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2025 and December 28, 2024</w:t>
            </w:r>
          </w:p>
        </w:tc>
        <w:tc>
          <w:tcPr>
            <w:tcW w:w="1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Condensed Consolidated Statements of Cash Flows—Three and Six Months Ended December 27, 2025 and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420" w:type="dxa"/>
            <w:vAlign w:val="bottom"/>
            <w:tcBorders>
              <w:top w:val="single" w:sz="8" w:color="0000FF"/>
            </w:tcBorders>
            <w:gridSpan w:val="16"/>
          </w:tcPr>
          <w:p>
            <w:pPr>
              <w:spacing w:after="0" w:line="149" w:lineRule="exact"/>
              <w:rPr>
                <w:sz w:val="20"/>
                <w:szCs w:val="20"/>
                <w:color w:val="auto"/>
              </w:rPr>
            </w:pPr>
            <w:r>
              <w:rPr>
                <w:rFonts w:ascii="Arial" w:cs="Arial" w:eastAsia="Arial" w:hAnsi="Arial"/>
                <w:sz w:val="17"/>
                <w:szCs w:val="17"/>
                <w:color w:val="0000FF"/>
              </w:rPr>
              <w:t>December 28, 2024</w:t>
            </w:r>
          </w:p>
        </w:tc>
        <w:tc>
          <w:tcPr>
            <w:tcW w:w="60" w:type="dxa"/>
            <w:vAlign w:val="bottom"/>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38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14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86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580" w:type="dxa"/>
            <w:vAlign w:val="bottom"/>
            <w:gridSpan w:val="26"/>
          </w:tcPr>
          <w:p>
            <w:pPr>
              <w:spacing w:after="0"/>
              <w:rPr>
                <w:sz w:val="20"/>
                <w:szCs w:val="20"/>
                <w:color w:val="auto"/>
              </w:rPr>
            </w:pPr>
            <w:r>
              <w:rPr>
                <w:rFonts w:ascii="Arial" w:cs="Arial" w:eastAsia="Arial" w:hAnsi="Arial"/>
                <w:sz w:val="18"/>
                <w:szCs w:val="18"/>
                <w:color w:val="0000FF"/>
              </w:rPr>
              <w:t>Part II. Other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736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1A.</w:t>
            </w:r>
          </w:p>
        </w:tc>
        <w:tc>
          <w:tcPr>
            <w:tcW w:w="886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00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630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5.</w:t>
            </w:r>
          </w:p>
        </w:tc>
        <w:tc>
          <w:tcPr>
            <w:tcW w:w="886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gridSpan w:val="3"/>
          </w:tcPr>
          <w:p>
            <w:pPr>
              <w:ind w:left="560"/>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460" w:type="dxa"/>
            <w:vAlign w:val="bottom"/>
            <w:gridSpan w:val="1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14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PART I—FINANCIAL INFORMATION</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814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14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jc w:val="center"/>
              <w:ind w:left="3010"/>
              <w:spacing w:after="0"/>
              <w:rPr>
                <w:sz w:val="20"/>
                <w:szCs w:val="20"/>
                <w:color w:val="auto"/>
              </w:rPr>
            </w:pPr>
            <w:r>
              <w:rPr>
                <w:rFonts w:ascii="Arial" w:cs="Arial" w:eastAsia="Arial" w:hAnsi="Arial"/>
                <w:sz w:val="18"/>
                <w:szCs w:val="18"/>
                <w:color w:val="auto"/>
                <w:w w:val="99"/>
              </w:rPr>
              <w:t>(in millions, except par value and share amounts)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140" w:type="dxa"/>
            <w:vAlign w:val="bottom"/>
          </w:tcPr>
          <w:p>
            <w:pPr>
              <w:jc w:val="center"/>
              <w:ind w:left="3010"/>
              <w:spacing w:after="0"/>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140" w:type="dxa"/>
            <w:vAlign w:val="bottom"/>
          </w:tcPr>
          <w:p>
            <w:pPr>
              <w:spacing w:after="0"/>
              <w:rPr>
                <w:sz w:val="24"/>
                <w:szCs w:val="24"/>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2025</w:t>
            </w:r>
          </w:p>
        </w:tc>
        <w:tc>
          <w:tcPr>
            <w:tcW w:w="22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2025</w:t>
            </w:r>
          </w:p>
        </w:tc>
        <w:tc>
          <w:tcPr>
            <w:tcW w:w="0" w:type="dxa"/>
            <w:vAlign w:val="bottom"/>
          </w:tcPr>
          <w:p>
            <w:pPr>
              <w:spacing w:after="0"/>
              <w:rPr>
                <w:sz w:val="1"/>
                <w:szCs w:val="1"/>
                <w:color w:val="auto"/>
              </w:rPr>
            </w:pPr>
          </w:p>
        </w:tc>
      </w:tr>
      <w:tr>
        <w:trPr>
          <w:trHeight w:val="237"/>
        </w:trPr>
        <w:tc>
          <w:tcPr>
            <w:tcW w:w="8140" w:type="dxa"/>
            <w:vAlign w:val="bottom"/>
            <w:tcBorders>
              <w:top w:val="single" w:sz="8" w:color="CCEEFF"/>
            </w:tcBorders>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52"/>
        </w:trPr>
        <w:tc>
          <w:tcPr>
            <w:tcW w:w="81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5"/>
        </w:trPr>
        <w:tc>
          <w:tcPr>
            <w:tcW w:w="814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assets</w:t>
            </w: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5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other assets</w:t>
            </w:r>
          </w:p>
        </w:tc>
        <w:tc>
          <w:tcPr>
            <w:tcW w:w="4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55"/>
        </w:trPr>
        <w:tc>
          <w:tcPr>
            <w:tcW w:w="81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52"/>
        </w:trPr>
        <w:tc>
          <w:tcPr>
            <w:tcW w:w="8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55"/>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5"/>
        </w:trPr>
        <w:tc>
          <w:tcPr>
            <w:tcW w:w="8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4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$0.001 par value; 10,000,000 shares authorized; no shares issued and outstanding</w:t>
            </w:r>
          </w:p>
        </w:tc>
        <w:tc>
          <w:tcPr>
            <w:tcW w:w="4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1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$0.001 par value; 120,000,000 shares authorized, 71,333,767 and 70,611,845 shares issued,</w:t>
            </w:r>
          </w:p>
        </w:tc>
        <w:tc>
          <w:tcPr>
            <w:tcW w:w="4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5"/>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38,711,065 and 38,642,761 shares outstanding, at December 2025 and June 2025, respectively</w:t>
            </w:r>
          </w:p>
        </w:tc>
        <w:tc>
          <w:tcPr>
            <w:tcW w:w="4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32,622,702 and 31,969,084 common shares at December 2025 and June 2025,</w:t>
            </w:r>
          </w:p>
        </w:tc>
        <w:tc>
          <w:tcPr>
            <w:tcW w:w="4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35"/>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at cost</w:t>
            </w:r>
          </w:p>
        </w:tc>
        <w:tc>
          <w:tcPr>
            <w:tcW w:w="4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Retained earnings</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55"/>
        </w:trPr>
        <w:tc>
          <w:tcPr>
            <w:tcW w:w="814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191260" cy="299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40" w:type="dxa"/>
            <w:vAlign w:val="bottom"/>
          </w:tcPr>
          <w:p>
            <w:pPr>
              <w:spacing w:after="0"/>
              <w:rPr>
                <w:sz w:val="21"/>
                <w:szCs w:val="21"/>
                <w:color w:val="auto"/>
              </w:rPr>
            </w:pPr>
          </w:p>
        </w:tc>
        <w:tc>
          <w:tcPr>
            <w:tcW w:w="25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8"/>
        </w:trPr>
        <w:tc>
          <w:tcPr>
            <w:tcW w:w="48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December</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5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302.5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170.8</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145.0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131.7</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32"/>
        </w:trPr>
        <w:tc>
          <w:tcPr>
            <w:tcW w:w="4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57"/>
        </w:trPr>
        <w:tc>
          <w:tcPr>
            <w:tcW w:w="484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intangibles amortization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Restructuring costs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5"/>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146.8</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55"/>
        </w:trPr>
        <w:tc>
          <w:tcPr>
            <w:tcW w:w="48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and other, net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96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from income taxes</w:t>
            </w:r>
          </w:p>
        </w:tc>
        <w:tc>
          <w:tcPr>
            <w:tcW w:w="9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5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8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4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840" w:type="dxa"/>
            <w:vAlign w:val="bottom"/>
          </w:tcPr>
          <w:p>
            <w:pPr>
              <w:ind w:left="10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(loss) per share: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40" w:type="dxa"/>
            <w:vAlign w:val="bottom"/>
          </w:tcPr>
          <w:p>
            <w:pPr>
              <w:ind w:left="10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6"/>
              </w:rPr>
              <w:t>38.9</w:t>
            </w:r>
          </w:p>
        </w:tc>
        <w:tc>
          <w:tcPr>
            <w:tcW w:w="10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6"/>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119126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80" w:type="dxa"/>
            <w:vAlign w:val="bottom"/>
          </w:tcPr>
          <w:p>
            <w:pPr>
              <w:spacing w:after="0"/>
              <w:rPr>
                <w:sz w:val="21"/>
                <w:szCs w:val="21"/>
                <w:color w:val="auto"/>
              </w:rPr>
            </w:pPr>
          </w:p>
        </w:tc>
        <w:tc>
          <w:tcPr>
            <w:tcW w:w="250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line="206" w:lineRule="exact"/>
              <w:rPr>
                <w:sz w:val="20"/>
                <w:szCs w:val="20"/>
                <w:color w:val="auto"/>
              </w:rPr>
            </w:pPr>
            <w:r>
              <w:rPr>
                <w:rFonts w:ascii="Arial" w:cs="Arial" w:eastAsia="Arial" w:hAnsi="Arial"/>
                <w:sz w:val="18"/>
                <w:szCs w:val="18"/>
                <w:b w:val="1"/>
                <w:bCs w:val="1"/>
                <w:color w:val="auto"/>
                <w:w w:val="99"/>
              </w:rPr>
              <w:t>Additional</w:t>
            </w:r>
          </w:p>
        </w:tc>
        <w:tc>
          <w:tcPr>
            <w:tcW w:w="160" w:type="dxa"/>
            <w:vAlign w:val="bottom"/>
          </w:tcPr>
          <w:p>
            <w:pPr>
              <w:spacing w:after="0"/>
              <w:rPr>
                <w:sz w:val="17"/>
                <w:szCs w:val="1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Treasury</w:t>
            </w:r>
          </w:p>
        </w:tc>
        <w:tc>
          <w:tcPr>
            <w:tcW w:w="160" w:type="dxa"/>
            <w:vAlign w:val="bottom"/>
          </w:tcPr>
          <w:p>
            <w:pPr>
              <w:spacing w:after="0"/>
              <w:rPr>
                <w:sz w:val="17"/>
                <w:szCs w:val="1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7"/>
                <w:szCs w:val="17"/>
                <w:color w:val="auto"/>
              </w:rPr>
            </w:pPr>
          </w:p>
        </w:tc>
        <w:tc>
          <w:tcPr>
            <w:tcW w:w="1360" w:type="dxa"/>
            <w:vAlign w:val="bottom"/>
          </w:tcPr>
          <w:p>
            <w:pPr>
              <w:jc w:val="center"/>
              <w:ind w:right="50"/>
              <w:spacing w:after="0" w:line="206"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Paid-In</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1"/>
                <w:szCs w:val="21"/>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16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5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70,611,845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0" w:type="dxa"/>
            <w:vAlign w:val="bottom"/>
          </w:tcPr>
          <w:p>
            <w:pPr>
              <w:spacing w:after="0"/>
              <w:rPr>
                <w:sz w:val="1"/>
                <w:szCs w:val="1"/>
                <w:color w:val="auto"/>
              </w:rPr>
            </w:pPr>
          </w:p>
        </w:tc>
      </w:tr>
      <w:tr>
        <w:trPr>
          <w:trHeight w:val="252"/>
        </w:trPr>
        <w:tc>
          <w:tcPr>
            <w:tcW w:w="34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 for share-</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based award compensation plans</w:t>
            </w: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140"/>
              <w:spacing w:after="0"/>
              <w:rPr>
                <w:sz w:val="20"/>
                <w:szCs w:val="20"/>
                <w:color w:val="auto"/>
              </w:rPr>
            </w:pPr>
            <w:r>
              <w:rPr>
                <w:rFonts w:ascii="Arial" w:cs="Arial" w:eastAsia="Arial" w:hAnsi="Arial"/>
                <w:sz w:val="18"/>
                <w:szCs w:val="18"/>
                <w:color w:val="auto"/>
              </w:rPr>
              <w:t>Payroll taxes related to net share</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5"/>
        </w:trPr>
        <w:tc>
          <w:tcPr>
            <w:tcW w:w="3480" w:type="dxa"/>
            <w:vAlign w:val="bottom"/>
          </w:tcPr>
          <w:p>
            <w:pPr>
              <w:ind w:left="140"/>
              <w:spacing w:after="0"/>
              <w:rPr>
                <w:sz w:val="20"/>
                <w:szCs w:val="20"/>
                <w:color w:val="auto"/>
              </w:rPr>
            </w:pPr>
            <w:r>
              <w:rPr>
                <w:rFonts w:ascii="Arial" w:cs="Arial" w:eastAsia="Arial" w:hAnsi="Arial"/>
                <w:sz w:val="18"/>
                <w:szCs w:val="18"/>
                <w:color w:val="auto"/>
              </w:rPr>
              <w:t>settlement of share-based awards</w:t>
            </w:r>
          </w:p>
        </w:tc>
        <w:tc>
          <w:tcPr>
            <w:tcW w:w="12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repurchased, inclusive of</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excise taxes</w:t>
            </w:r>
          </w:p>
        </w:tc>
        <w:tc>
          <w:tcPr>
            <w:tcW w:w="12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5"/>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71,167,167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52"/>
        </w:trPr>
        <w:tc>
          <w:tcPr>
            <w:tcW w:w="34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 for share-</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based award compensation plans</w:t>
            </w: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120"/>
              <w:spacing w:after="0"/>
              <w:rPr>
                <w:sz w:val="20"/>
                <w:szCs w:val="20"/>
                <w:color w:val="auto"/>
              </w:rPr>
            </w:pPr>
            <w:r>
              <w:rPr>
                <w:rFonts w:ascii="Arial" w:cs="Arial" w:eastAsia="Arial" w:hAnsi="Arial"/>
                <w:sz w:val="18"/>
                <w:szCs w:val="18"/>
                <w:color w:val="auto"/>
              </w:rPr>
              <w:t>Payroll taxes related to net share</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5"/>
        </w:trPr>
        <w:tc>
          <w:tcPr>
            <w:tcW w:w="3480" w:type="dxa"/>
            <w:vAlign w:val="bottom"/>
          </w:tcPr>
          <w:p>
            <w:pPr>
              <w:ind w:left="120"/>
              <w:spacing w:after="0"/>
              <w:rPr>
                <w:sz w:val="20"/>
                <w:szCs w:val="20"/>
                <w:color w:val="auto"/>
              </w:rPr>
            </w:pPr>
            <w:r>
              <w:rPr>
                <w:rFonts w:ascii="Arial" w:cs="Arial" w:eastAsia="Arial" w:hAnsi="Arial"/>
                <w:sz w:val="18"/>
                <w:szCs w:val="18"/>
                <w:color w:val="auto"/>
              </w:rPr>
              <w:t>settlement of share-based awards</w:t>
            </w:r>
          </w:p>
        </w:tc>
        <w:tc>
          <w:tcPr>
            <w:tcW w:w="12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repurchased, inclusive of</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5"/>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excise taxes</w:t>
            </w:r>
          </w:p>
        </w:tc>
        <w:tc>
          <w:tcPr>
            <w:tcW w:w="12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48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80"/>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71,333,767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-205105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-205105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-1576705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-1576705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-2948305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-2948305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342265</wp:posOffset>
            </wp:positionV>
            <wp:extent cx="119126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26035</wp:posOffset>
            </wp:positionV>
            <wp:extent cx="1465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280" w:type="dxa"/>
            <w:vAlign w:val="bottom"/>
          </w:tcPr>
          <w:p>
            <w:pPr>
              <w:spacing w:after="0"/>
              <w:rPr>
                <w:sz w:val="21"/>
                <w:szCs w:val="21"/>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0"/>
                <w:szCs w:val="20"/>
                <w:color w:val="auto"/>
              </w:rPr>
            </w:pPr>
            <w:r>
              <w:rPr>
                <w:rFonts w:ascii="Arial" w:cs="Arial" w:eastAsia="Arial" w:hAnsi="Arial"/>
                <w:sz w:val="18"/>
                <w:szCs w:val="18"/>
                <w:color w:val="auto"/>
              </w:rPr>
              <w:t>Balance at June 2024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69,683,991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2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tcPr>
          <w:p>
            <w:pPr>
              <w:ind w:left="120"/>
              <w:spacing w:after="0"/>
              <w:rPr>
                <w:sz w:val="20"/>
                <w:szCs w:val="20"/>
                <w:color w:val="auto"/>
              </w:rPr>
            </w:pPr>
            <w:r>
              <w:rPr>
                <w:rFonts w:ascii="Arial" w:cs="Arial" w:eastAsia="Arial" w:hAnsi="Arial"/>
                <w:sz w:val="18"/>
                <w:szCs w:val="18"/>
                <w:color w:val="auto"/>
              </w:rPr>
              <w:t>Issuance of common stock for share-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481,580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ind w:left="120"/>
              <w:spacing w:after="0"/>
              <w:rPr>
                <w:sz w:val="20"/>
                <w:szCs w:val="20"/>
                <w:color w:val="auto"/>
              </w:rPr>
            </w:pPr>
            <w:r>
              <w:rPr>
                <w:rFonts w:ascii="Arial" w:cs="Arial" w:eastAsia="Arial" w:hAnsi="Arial"/>
                <w:sz w:val="18"/>
                <w:szCs w:val="18"/>
                <w:color w:val="auto"/>
              </w:rPr>
              <w:t>based award compensation plans</w:t>
            </w: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20"/>
              <w:spacing w:after="0"/>
              <w:rPr>
                <w:sz w:val="20"/>
                <w:szCs w:val="20"/>
                <w:color w:val="auto"/>
              </w:rPr>
            </w:pPr>
            <w:r>
              <w:rPr>
                <w:rFonts w:ascii="Arial" w:cs="Arial" w:eastAsia="Arial" w:hAnsi="Arial"/>
                <w:sz w:val="18"/>
                <w:szCs w:val="18"/>
                <w:color w:val="auto"/>
              </w:rPr>
              <w:t>Payroll taxes related to net share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ind w:left="120"/>
              <w:spacing w:after="0"/>
              <w:rPr>
                <w:sz w:val="20"/>
                <w:szCs w:val="20"/>
                <w:color w:val="auto"/>
              </w:rPr>
            </w:pPr>
            <w:r>
              <w:rPr>
                <w:rFonts w:ascii="Arial" w:cs="Arial" w:eastAsia="Arial" w:hAnsi="Arial"/>
                <w:sz w:val="18"/>
                <w:szCs w:val="18"/>
                <w:color w:val="auto"/>
              </w:rPr>
              <w:t>settlement of share-based awards</w:t>
            </w: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28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Arial" w:cs="Arial" w:eastAsia="Arial" w:hAnsi="Arial"/>
                <w:sz w:val="18"/>
                <w:szCs w:val="18"/>
                <w:color w:val="auto"/>
              </w:rPr>
              <w:t>Balance at September 2024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70,165,571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tcPr>
          <w:p>
            <w:pPr>
              <w:ind w:left="40"/>
              <w:spacing w:after="0"/>
              <w:rPr>
                <w:sz w:val="20"/>
                <w:szCs w:val="20"/>
                <w:color w:val="auto"/>
              </w:rPr>
            </w:pPr>
            <w:r>
              <w:rPr>
                <w:rFonts w:ascii="Arial" w:cs="Arial" w:eastAsia="Arial" w:hAnsi="Arial"/>
                <w:sz w:val="18"/>
                <w:szCs w:val="18"/>
                <w:color w:val="auto"/>
              </w:rPr>
              <w:t>Issuance of common stock for share-</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115,729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color w:val="auto"/>
              </w:rPr>
              <w:t>based award compensation plans</w:t>
            </w: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8"/>
                <w:szCs w:val="18"/>
                <w:color w:val="auto"/>
              </w:rPr>
              <w:t>Payroll taxes related to net share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color w:val="auto"/>
              </w:rPr>
              <w:t>settlement of share-based awards</w:t>
            </w: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8"/>
                <w:szCs w:val="18"/>
                <w:color w:val="auto"/>
              </w:rPr>
              <w:t>Common stock repurchased, inclusive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color w:val="auto"/>
              </w:rPr>
              <w:t>of excise taxes</w:t>
            </w: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80" w:type="dxa"/>
            <w:vAlign w:val="bottom"/>
          </w:tcPr>
          <w:p>
            <w:pPr>
              <w:ind w:left="100"/>
              <w:spacing w:after="0"/>
              <w:rPr>
                <w:sz w:val="20"/>
                <w:szCs w:val="20"/>
                <w:color w:val="auto"/>
              </w:rPr>
            </w:pPr>
            <w:r>
              <w:rPr>
                <w:rFonts w:ascii="Arial" w:cs="Arial" w:eastAsia="Arial" w:hAnsi="Arial"/>
                <w:sz w:val="18"/>
                <w:szCs w:val="18"/>
                <w:color w:val="auto"/>
              </w:rPr>
              <w:t>Purchase of capped calls related to the</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ind w:left="100"/>
              <w:spacing w:after="0"/>
              <w:rPr>
                <w:sz w:val="20"/>
                <w:szCs w:val="20"/>
                <w:color w:val="auto"/>
              </w:rPr>
            </w:pPr>
            <w:r>
              <w:rPr>
                <w:rFonts w:ascii="Arial" w:cs="Arial" w:eastAsia="Arial" w:hAnsi="Arial"/>
                <w:sz w:val="18"/>
                <w:szCs w:val="18"/>
                <w:color w:val="auto"/>
              </w:rPr>
              <w:t>convertible senior notes</w:t>
            </w: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2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0"/>
                <w:szCs w:val="20"/>
                <w:color w:val="auto"/>
              </w:rPr>
            </w:pPr>
            <w:r>
              <w:rPr>
                <w:rFonts w:ascii="Arial" w:cs="Arial" w:eastAsia="Arial" w:hAnsi="Arial"/>
                <w:sz w:val="18"/>
                <w:szCs w:val="18"/>
                <w:color w:val="auto"/>
              </w:rPr>
              <w:t>Balance at December 2024</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70,281,300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-2613660</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-2031365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-1242060</wp:posOffset>
            </wp:positionV>
            <wp:extent cx="71323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Additional</w:t>
            </w:r>
          </w:p>
        </w:tc>
        <w:tc>
          <w:tcPr>
            <w:tcW w:w="140" w:type="dxa"/>
            <w:vAlign w:val="bottom"/>
          </w:tcPr>
          <w:p>
            <w:pPr>
              <w:spacing w:after="0"/>
              <w:rPr>
                <w:sz w:val="18"/>
                <w:szCs w:val="18"/>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Treasury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Paid-In</w:t>
            </w: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Retained</w:t>
            </w:r>
          </w:p>
        </w:tc>
        <w:tc>
          <w:tcPr>
            <w:tcW w:w="180" w:type="dxa"/>
            <w:vAlign w:val="bottom"/>
          </w:tcPr>
          <w:p>
            <w:pPr>
              <w:spacing w:after="0"/>
              <w:rPr>
                <w:sz w:val="17"/>
                <w:szCs w:val="17"/>
                <w:color w:val="auto"/>
              </w:rPr>
            </w:pPr>
          </w:p>
        </w:tc>
        <w:tc>
          <w:tcPr>
            <w:tcW w:w="14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21"/>
                <w:szCs w:val="21"/>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4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1,466.8</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5"/>
        </w:trPr>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1,214.6</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1,467.3</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61"/>
        </w:trPr>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5"/>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80"/>
            <w:col w:w="5540"/>
          </w:cols>
          <w:pgMar w:left="320" w:top="108" w:right="339"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67945</wp:posOffset>
            </wp:positionV>
            <wp:extent cx="119126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325"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19"/>
                <w:szCs w:val="19"/>
                <w:color w:val="auto"/>
              </w:rPr>
            </w:pPr>
          </w:p>
        </w:tc>
        <w:tc>
          <w:tcPr>
            <w:tcW w:w="31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8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w:t>
            </w:r>
          </w:p>
        </w:tc>
        <w:tc>
          <w:tcPr>
            <w:tcW w:w="1040" w:type="dxa"/>
            <w:vAlign w:val="bottom"/>
            <w:tcBorders>
              <w:bottom w:val="single" w:sz="8" w:color="auto"/>
            </w:tcBorders>
          </w:tcPr>
          <w:p>
            <w:pPr>
              <w:spacing w:after="0"/>
              <w:rPr>
                <w:sz w:val="20"/>
                <w:szCs w:val="20"/>
                <w:color w:val="auto"/>
              </w:rPr>
            </w:pPr>
          </w:p>
        </w:tc>
      </w:tr>
      <w:tr>
        <w:trPr>
          <w:trHeight w:val="249"/>
        </w:trPr>
        <w:tc>
          <w:tcPr>
            <w:tcW w:w="8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3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2"/>
        </w:trPr>
        <w:tc>
          <w:tcPr>
            <w:tcW w:w="81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61"/>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81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61"/>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52"/>
        </w:trPr>
        <w:tc>
          <w:tcPr>
            <w:tcW w:w="8140" w:type="dxa"/>
            <w:vAlign w:val="bottom"/>
          </w:tcPr>
          <w:p>
            <w:pPr>
              <w:ind w:left="260"/>
              <w:spacing w:after="0"/>
              <w:rPr>
                <w:sz w:val="20"/>
                <w:szCs w:val="20"/>
                <w:color w:val="auto"/>
              </w:rPr>
            </w:pPr>
            <w:r>
              <w:rPr>
                <w:rFonts w:ascii="Arial" w:cs="Arial" w:eastAsia="Arial" w:hAnsi="Arial"/>
                <w:sz w:val="18"/>
                <w:szCs w:val="18"/>
                <w:color w:val="auto"/>
              </w:rPr>
              <w:t>Acquired intangible assets amortization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61"/>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taxes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52"/>
        </w:trPr>
        <w:tc>
          <w:tcPr>
            <w:tcW w:w="8140" w:type="dxa"/>
            <w:vAlign w:val="bottom"/>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61"/>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operating assets and liabilities, net of acquisitions: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81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1"/>
        </w:trPr>
        <w:tc>
          <w:tcPr>
            <w:tcW w:w="8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2"/>
        </w:trPr>
        <w:tc>
          <w:tcPr>
            <w:tcW w:w="8140" w:type="dxa"/>
            <w:vAlign w:val="bottom"/>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61"/>
        </w:trPr>
        <w:tc>
          <w:tcPr>
            <w:tcW w:w="8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2"/>
        </w:trPr>
        <w:tc>
          <w:tcPr>
            <w:tcW w:w="8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Accrued liabilities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5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8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 of business, net of cash and cash equivalents acquired</w:t>
            </w:r>
          </w:p>
        </w:tc>
        <w:tc>
          <w:tcPr>
            <w:tcW w:w="9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52"/>
        </w:trPr>
        <w:tc>
          <w:tcPr>
            <w:tcW w:w="8140" w:type="dxa"/>
            <w:vAlign w:val="bottom"/>
          </w:tcPr>
          <w:p>
            <w:pPr>
              <w:ind w:left="120"/>
              <w:spacing w:after="0"/>
              <w:rPr>
                <w:sz w:val="20"/>
                <w:szCs w:val="20"/>
                <w:color w:val="auto"/>
              </w:rPr>
            </w:pPr>
            <w:r>
              <w:rPr>
                <w:rFonts w:ascii="Arial" w:cs="Arial" w:eastAsia="Arial" w:hAnsi="Arial"/>
                <w:sz w:val="18"/>
                <w:szCs w:val="18"/>
                <w:color w:val="auto"/>
              </w:rPr>
              <w:t>Proceeds from maturity of investments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8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4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2"/>
        </w:trPr>
        <w:tc>
          <w:tcPr>
            <w:tcW w:w="8140" w:type="dxa"/>
            <w:vAlign w:val="bottom"/>
          </w:tcPr>
          <w:p>
            <w:pPr>
              <w:ind w:left="140"/>
              <w:spacing w:after="0"/>
              <w:rPr>
                <w:sz w:val="20"/>
                <w:szCs w:val="20"/>
                <w:color w:val="auto"/>
              </w:rPr>
            </w:pPr>
            <w:r>
              <w:rPr>
                <w:rFonts w:ascii="Arial" w:cs="Arial" w:eastAsia="Arial" w:hAnsi="Arial"/>
                <w:sz w:val="18"/>
                <w:szCs w:val="18"/>
                <w:color w:val="auto"/>
              </w:rPr>
              <w:t>Proceeds from issuance of convertible senior notes, net of issuance costs</w:t>
            </w: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439.5</w:t>
            </w:r>
          </w:p>
        </w:tc>
      </w:tr>
      <w:tr>
        <w:trPr>
          <w:trHeight w:val="261"/>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debt issuance costs on convertible senior notes and revolving credit facility</w:t>
            </w:r>
          </w:p>
        </w:tc>
        <w:tc>
          <w:tcPr>
            <w:tcW w:w="9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52"/>
        </w:trPr>
        <w:tc>
          <w:tcPr>
            <w:tcW w:w="8140" w:type="dxa"/>
            <w:vAlign w:val="bottom"/>
          </w:tcPr>
          <w:p>
            <w:pPr>
              <w:ind w:left="140"/>
              <w:spacing w:after="0"/>
              <w:rPr>
                <w:sz w:val="20"/>
                <w:szCs w:val="20"/>
                <w:color w:val="auto"/>
              </w:rPr>
            </w:pPr>
            <w:r>
              <w:rPr>
                <w:rFonts w:ascii="Arial" w:cs="Arial" w:eastAsia="Arial" w:hAnsi="Arial"/>
                <w:sz w:val="18"/>
                <w:szCs w:val="18"/>
                <w:color w:val="auto"/>
              </w:rPr>
              <w:t>Payments for capped call transactions related to the convertible senior notes</w:t>
            </w: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61"/>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 excluding excise taxes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52"/>
        </w:trPr>
        <w:tc>
          <w:tcPr>
            <w:tcW w:w="8140" w:type="dxa"/>
            <w:vAlign w:val="bottom"/>
          </w:tcPr>
          <w:p>
            <w:pPr>
              <w:ind w:left="140"/>
              <w:spacing w:after="0"/>
              <w:rPr>
                <w:sz w:val="20"/>
                <w:szCs w:val="20"/>
                <w:color w:val="auto"/>
              </w:rPr>
            </w:pPr>
            <w:r>
              <w:rPr>
                <w:rFonts w:ascii="Arial" w:cs="Arial" w:eastAsia="Arial" w:hAnsi="Arial"/>
                <w:sz w:val="18"/>
                <w:szCs w:val="18"/>
                <w:color w:val="auto"/>
              </w:rPr>
              <w:t>Proceeds from issuance of shares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61"/>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Payroll taxes related to net share settlement of share-based awards</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52"/>
        </w:trPr>
        <w:tc>
          <w:tcPr>
            <w:tcW w:w="8140" w:type="dxa"/>
            <w:vAlign w:val="bottom"/>
          </w:tcPr>
          <w:p>
            <w:pPr>
              <w:ind w:left="140"/>
              <w:spacing w:after="0"/>
              <w:rPr>
                <w:sz w:val="20"/>
                <w:szCs w:val="20"/>
                <w:color w:val="auto"/>
              </w:rPr>
            </w:pPr>
            <w:r>
              <w:rPr>
                <w:rFonts w:ascii="Arial" w:cs="Arial" w:eastAsia="Arial" w:hAnsi="Arial"/>
                <w:sz w:val="18"/>
                <w:szCs w:val="18"/>
                <w:color w:val="auto"/>
              </w:rPr>
              <w:t>Repayment of debt</w:t>
            </w: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(583.5)</w:t>
            </w:r>
          </w:p>
        </w:tc>
      </w:tr>
      <w:tr>
        <w:trPr>
          <w:trHeight w:val="261"/>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r>
      <w:tr>
        <w:trPr>
          <w:trHeight w:val="25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5"/>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(280.8)</w:t>
            </w:r>
          </w:p>
        </w:tc>
      </w:tr>
      <w:tr>
        <w:trPr>
          <w:trHeight w:val="25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r>
      <w:tr>
        <w:trPr>
          <w:trHeight w:val="255"/>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8140" w:type="dxa"/>
            <w:vAlign w:val="bottom"/>
          </w:tcPr>
          <w:p>
            <w:pPr>
              <w:ind w:left="20"/>
              <w:spacing w:after="0"/>
              <w:rPr>
                <w:sz w:val="20"/>
                <w:szCs w:val="20"/>
                <w:color w:val="auto"/>
              </w:rPr>
            </w:pPr>
            <w:r>
              <w:rPr>
                <w:rFonts w:ascii="Arial" w:cs="Arial" w:eastAsia="Arial" w:hAnsi="Arial"/>
                <w:sz w:val="18"/>
                <w:szCs w:val="18"/>
                <w:color w:val="auto"/>
              </w:rPr>
              <w:t>Receipt of intangible assets from advance payments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179070</wp:posOffset>
            </wp:positionV>
            <wp:extent cx="119126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designed to enable people to engage with connected devices and data, and create exceptional experiences throughout the home, at work, in the car and on the go. We provide our customers with sensing, processing and connecting solutions, which represent the three foundational elements of the Internet of Things (“IoT”). We supply connectivity, sensors and AI-enhanced processor solutions to original equipment manufacturers (“OEMs”) that design IoT products and devices for automobiles, enterprise workspace devices, virtual reality, smartphones, tablets and notebook computers.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 and Principles of Consolidation</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pursuant to the rules and regulations of the Securities and Exchange Commission, the "SEC", and United States generally accepted accounting principles,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28, 2025.</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fiscal year is the 52- or 53-week period ending on the last Saturday in June. Our fiscal 2026 and 2025 are 52-week periods ending June 27, 2026 and June 28, 2025, respectively. The fiscal periods presented in this report are 13-week periods and 26-week periods for the three and six months periods ended December 27, 2025 and December 28, 2024, respectively. For simplicity, the accompanying condensed consolidated financial statements have been shown as ending on calendar quarter end dates as of and for all periods presented, unless otherwise indicated.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but not limited to, those estimates related to revenue recognition, allowance for credit losses, cost of revenue, inventories, loss on purchase commitments, product warranty, accrued liabilities, share-based compensation costs, provision for income taxes, deferred tax assets and the associated valuation allowance, uncertain tax positions, goodwill, intangible assets, investments and loss contingencies. We base our estimates on historical experience, current period developments,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144145</wp:posOffset>
            </wp:positionV>
            <wp:extent cx="119126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our significant accounting policies in Note 2 - Basis of Presentation and Significant Accounting Policies, of the Notes to Consolidated Financial Statements included in our Annual Report on Form 10-K for the fiscal year ended June 28,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Issued</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2023, the FASB issued ASU No. 2023-09, “Income Taxes: Improvements to Income Tax Disclosures.” This guidance requires consistent categories and greater disaggregation of information in the rate reconciliation and disclosures of income taxes paid by jurisdiction. We are currently assessing the impact of this guidance on our disclosures and will adopt this standard for our fiscal year ended June 27, 2026.</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 Disaggregation of Income Statement Expenses.” This guidance requires disclosures about specific types of expenses included in the expense captions presented on the face of the income statement as well as disclosures about selling expenses. This amendment is effective for our fiscal year ending June 2028 and our interim periods within the fiscal year ending June 2029. We are currently assessing the impact of this guidance on our disclosures.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Supplemental Financial Statement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color w:val="auto"/>
              </w:rPr>
              <w:t>December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720" w:type="dxa"/>
            <w:vAlign w:val="bottom"/>
            <w:tcBorders>
              <w:bottom w:val="single" w:sz="8" w:color="CCEEFF"/>
            </w:tcBorders>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6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4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Inventories</w:t>
            </w: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740" w:type="dxa"/>
            <w:vAlign w:val="bottom"/>
            <w:gridSpan w:val="2"/>
            <w:vMerge w:val="continue"/>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December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61"/>
        </w:trPr>
        <w:tc>
          <w:tcPr>
            <w:tcW w:w="20" w:type="dxa"/>
            <w:vAlign w:val="bottom"/>
            <w:tcBorders>
              <w:bottom w:val="single" w:sz="8" w:color="CFF0FC"/>
            </w:tcBorders>
          </w:tcPr>
          <w:p>
            <w:pPr>
              <w:spacing w:after="0"/>
              <w:rPr>
                <w:sz w:val="22"/>
                <w:szCs w:val="22"/>
                <w:color w:val="auto"/>
              </w:rPr>
            </w:pPr>
          </w:p>
        </w:tc>
        <w:tc>
          <w:tcPr>
            <w:tcW w:w="3720" w:type="dxa"/>
            <w:vAlign w:val="bottom"/>
            <w:tcBorders>
              <w:bottom w:val="single" w:sz="8" w:color="CFF0FC"/>
            </w:tcBorders>
          </w:tcPr>
          <w:p>
            <w:pPr>
              <w:spacing w:after="0"/>
              <w:rPr>
                <w:sz w:val="22"/>
                <w:szCs w:val="22"/>
                <w:color w:val="auto"/>
              </w:rPr>
            </w:pPr>
          </w:p>
        </w:tc>
        <w:tc>
          <w:tcPr>
            <w:tcW w:w="43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2025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FF0FC"/>
          </w:tcPr>
          <w:p>
            <w:pPr>
              <w:spacing w:after="0"/>
              <w:rPr>
                <w:sz w:val="22"/>
                <w:szCs w:val="22"/>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46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FF0FC"/>
            </w:tcBorders>
          </w:tcPr>
          <w:p>
            <w:pPr>
              <w:spacing w:after="0"/>
              <w:rPr>
                <w:sz w:val="21"/>
                <w:szCs w:val="21"/>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43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3720" w:type="dxa"/>
            <w:vAlign w:val="bottom"/>
            <w:shd w:val="clear" w:color="auto" w:fill="CFF0FC"/>
          </w:tcPr>
          <w:p>
            <w:pPr>
              <w:spacing w:after="0"/>
              <w:rPr>
                <w:sz w:val="23"/>
                <w:szCs w:val="23"/>
                <w:color w:val="auto"/>
              </w:rPr>
            </w:pPr>
          </w:p>
        </w:tc>
        <w:tc>
          <w:tcPr>
            <w:tcW w:w="46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i w:val="1"/>
                <w:iCs w:val="1"/>
                <w:color w:val="auto"/>
              </w:rPr>
              <w:t>Non-current other assets</w:t>
            </w:r>
          </w:p>
        </w:tc>
        <w:tc>
          <w:tcPr>
            <w:tcW w:w="43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740" w:type="dxa"/>
            <w:vAlign w:val="bottom"/>
            <w:gridSpan w:val="2"/>
            <w:vMerge w:val="continue"/>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8"/>
                <w:szCs w:val="18"/>
                <w:color w:val="auto"/>
                <w:w w:val="98"/>
              </w:rPr>
              <w:t>December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tcPr>
          <w:p>
            <w:pPr>
              <w:spacing w:after="0"/>
              <w:rPr>
                <w:sz w:val="22"/>
                <w:szCs w:val="22"/>
                <w:color w:val="auto"/>
              </w:rPr>
            </w:pPr>
          </w:p>
        </w:tc>
        <w:tc>
          <w:tcPr>
            <w:tcW w:w="3720" w:type="dxa"/>
            <w:vAlign w:val="bottom"/>
            <w:tcBorders>
              <w:bottom w:val="single" w:sz="8" w:color="CCEEFF"/>
            </w:tcBorders>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intangible assets</w:t>
            </w:r>
          </w:p>
        </w:tc>
        <w:tc>
          <w:tcPr>
            <w:tcW w:w="46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4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43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46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380" w:type="dxa"/>
            <w:vAlign w:val="bottom"/>
            <w:vMerge w:val="restart"/>
          </w:tcPr>
          <w:p>
            <w:pPr>
              <w:jc w:val="right"/>
              <w:ind w:right="3350"/>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0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9A9A9A"/>
            </w:tcBorders>
          </w:tcPr>
          <w:p>
            <w:pPr>
              <w:spacing w:after="0"/>
              <w:rPr>
                <w:sz w:val="17"/>
                <w:szCs w:val="17"/>
                <w:color w:val="auto"/>
              </w:rPr>
            </w:pPr>
          </w:p>
        </w:tc>
        <w:tc>
          <w:tcPr>
            <w:tcW w:w="372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December</w:t>
            </w:r>
          </w:p>
        </w:tc>
        <w:tc>
          <w:tcPr>
            <w:tcW w:w="320" w:type="dxa"/>
            <w:vAlign w:val="bottom"/>
          </w:tcPr>
          <w:p>
            <w:pPr>
              <w:spacing w:after="0"/>
              <w:rPr>
                <w:sz w:val="24"/>
                <w:szCs w:val="24"/>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June</w:t>
            </w:r>
          </w:p>
        </w:tc>
      </w:tr>
      <w:tr>
        <w:trPr>
          <w:trHeight w:val="261"/>
        </w:trPr>
        <w:tc>
          <w:tcPr>
            <w:tcW w:w="8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2025</w:t>
            </w:r>
          </w:p>
        </w:tc>
      </w:tr>
      <w:tr>
        <w:trPr>
          <w:trHeight w:val="255"/>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rebate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52"/>
        </w:trPr>
        <w:tc>
          <w:tcPr>
            <w:tcW w:w="8120" w:type="dxa"/>
            <w:vAlign w:val="bottom"/>
          </w:tcPr>
          <w:p>
            <w:pPr>
              <w:ind w:left="20"/>
              <w:spacing w:after="0"/>
              <w:rPr>
                <w:sz w:val="20"/>
                <w:szCs w:val="20"/>
                <w:color w:val="auto"/>
              </w:rPr>
            </w:pPr>
            <w:r>
              <w:rPr>
                <w:rFonts w:ascii="Arial" w:cs="Arial" w:eastAsia="Arial" w:hAnsi="Arial"/>
                <w:sz w:val="18"/>
                <w:szCs w:val="18"/>
                <w:color w:val="auto"/>
              </w:rPr>
              <w:t>Other customer-related obligations (1)</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61"/>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52"/>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(2)</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275"/>
        </w:trPr>
        <w:tc>
          <w:tcPr>
            <w:tcW w:w="8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 deferred revenue, price discounts and stock rotation rights.</w:t>
      </w:r>
    </w:p>
    <w:p>
      <w:pPr>
        <w:spacing w:after="0" w:line="117" w:lineRule="exact"/>
        <w:rPr>
          <w:rFonts w:ascii="Arial" w:cs="Arial" w:eastAsia="Arial" w:hAnsi="Arial"/>
          <w:sz w:val="18"/>
          <w:szCs w:val="18"/>
          <w:color w:val="auto"/>
        </w:rPr>
      </w:pPr>
    </w:p>
    <w:p>
      <w:pPr>
        <w:ind w:firstLine="8"/>
        <w:spacing w:after="0" w:line="287"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2025, other accrued liabilities include a $25.0 million license fee payable to a third party. No such amount was payable at June 2025.</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Net Income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net income (loss) per share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2580" w:type="dxa"/>
            <w:vAlign w:val="bottom"/>
            <w:gridSpan w:val="4"/>
          </w:tcPr>
          <w:p>
            <w:pPr>
              <w:jc w:val="right"/>
              <w:ind w:right="20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930"/>
              <w:spacing w:after="0"/>
              <w:rPr>
                <w:sz w:val="20"/>
                <w:szCs w:val="20"/>
                <w:color w:val="auto"/>
              </w:rPr>
            </w:pPr>
            <w:r>
              <w:rPr>
                <w:rFonts w:ascii="Arial" w:cs="Arial" w:eastAsia="Arial" w:hAnsi="Arial"/>
                <w:sz w:val="18"/>
                <w:szCs w:val="18"/>
                <w:color w:val="auto"/>
              </w:rPr>
              <w:t>Six Months Ended</w:t>
            </w:r>
          </w:p>
        </w:tc>
      </w:tr>
      <w:tr>
        <w:trPr>
          <w:trHeight w:val="261"/>
        </w:trPr>
        <w:tc>
          <w:tcPr>
            <w:tcW w:w="45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color w:val="auto"/>
              </w:rPr>
              <w:t>December</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December</w:t>
            </w:r>
          </w:p>
        </w:tc>
        <w:tc>
          <w:tcPr>
            <w:tcW w:w="1200" w:type="dxa"/>
            <w:vAlign w:val="bottom"/>
            <w:tcBorders>
              <w:bottom w:val="single" w:sz="8" w:color="auto"/>
            </w:tcBorders>
          </w:tcPr>
          <w:p>
            <w:pPr>
              <w:spacing w:after="0"/>
              <w:rPr>
                <w:sz w:val="22"/>
                <w:szCs w:val="22"/>
                <w:color w:val="auto"/>
              </w:rPr>
            </w:pPr>
          </w:p>
        </w:tc>
      </w:tr>
      <w:tr>
        <w:trPr>
          <w:trHeight w:val="250"/>
        </w:trPr>
        <w:tc>
          <w:tcPr>
            <w:tcW w:w="4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2024</w:t>
            </w:r>
          </w:p>
        </w:tc>
      </w:tr>
      <w:tr>
        <w:trPr>
          <w:trHeight w:val="241"/>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6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r>
      <w:tr>
        <w:trPr>
          <w:trHeight w:val="257"/>
        </w:trPr>
        <w:tc>
          <w:tcPr>
            <w:tcW w:w="45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w:t>
            </w: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(35.4)</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2"/>
        </w:trPr>
        <w:tc>
          <w:tcPr>
            <w:tcW w:w="4580" w:type="dxa"/>
            <w:vAlign w:val="bottom"/>
          </w:tcPr>
          <w:p>
            <w:pPr>
              <w:ind w:left="200"/>
              <w:spacing w:after="0"/>
              <w:rPr>
                <w:sz w:val="20"/>
                <w:szCs w:val="20"/>
                <w:color w:val="auto"/>
              </w:rPr>
            </w:pPr>
            <w:r>
              <w:rPr>
                <w:rFonts w:ascii="Arial" w:cs="Arial" w:eastAsia="Arial" w:hAnsi="Arial"/>
                <w:sz w:val="18"/>
                <w:szCs w:val="18"/>
                <w:color w:val="auto"/>
              </w:rPr>
              <w:t>Weighted-average shares - basic</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57"/>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share-based awards</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4580" w:type="dxa"/>
            <w:vAlign w:val="bottom"/>
          </w:tcPr>
          <w:p>
            <w:pPr>
              <w:ind w:left="200"/>
              <w:spacing w:after="0"/>
              <w:rPr>
                <w:sz w:val="20"/>
                <w:szCs w:val="20"/>
                <w:color w:val="auto"/>
              </w:rPr>
            </w:pPr>
            <w:r>
              <w:rPr>
                <w:rFonts w:ascii="Arial" w:cs="Arial" w:eastAsia="Arial" w:hAnsi="Arial"/>
                <w:sz w:val="18"/>
                <w:szCs w:val="18"/>
                <w:color w:val="auto"/>
              </w:rPr>
              <w:t>Weighted-average shares - diluted</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580" w:type="dxa"/>
            <w:vAlign w:val="bottom"/>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(0.38)</w:t>
            </w: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(0.91)</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1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potentially dilutive securities were excluded from the computation of diluted net income (loss) per share as their effect would have been antidilutive: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2640" w:type="dxa"/>
            <w:vAlign w:val="bottom"/>
            <w:gridSpan w:val="4"/>
          </w:tcPr>
          <w:p>
            <w:pPr>
              <w:jc w:val="center"/>
              <w:ind w:left="310"/>
              <w:spacing w:after="0"/>
              <w:rPr>
                <w:sz w:val="20"/>
                <w:szCs w:val="20"/>
                <w:color w:val="auto"/>
              </w:rPr>
            </w:pPr>
            <w:r>
              <w:rPr>
                <w:rFonts w:ascii="Arial" w:cs="Arial" w:eastAsia="Arial" w:hAnsi="Arial"/>
                <w:sz w:val="18"/>
                <w:szCs w:val="18"/>
                <w:color w:val="auto"/>
                <w:w w:val="99"/>
              </w:rPr>
              <w:t>Three Months Ended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ind w:left="900"/>
              <w:spacing w:after="0"/>
              <w:rPr>
                <w:sz w:val="20"/>
                <w:szCs w:val="20"/>
                <w:color w:val="auto"/>
              </w:rPr>
            </w:pPr>
            <w:r>
              <w:rPr>
                <w:rFonts w:ascii="Arial" w:cs="Arial" w:eastAsia="Arial" w:hAnsi="Arial"/>
                <w:sz w:val="18"/>
                <w:szCs w:val="18"/>
                <w:color w:val="auto"/>
              </w:rPr>
              <w:t>Six Months Ended</w:t>
            </w:r>
          </w:p>
        </w:tc>
      </w:tr>
      <w:tr>
        <w:trPr>
          <w:trHeight w:val="261"/>
        </w:trPr>
        <w:tc>
          <w:tcPr>
            <w:tcW w:w="48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color w:val="auto"/>
                <w:w w:val="98"/>
              </w:rPr>
              <w:t>December</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color w:val="auto"/>
              </w:rPr>
              <w:t>December</w:t>
            </w:r>
          </w:p>
        </w:tc>
        <w:tc>
          <w:tcPr>
            <w:tcW w:w="1140" w:type="dxa"/>
            <w:vAlign w:val="bottom"/>
            <w:tcBorders>
              <w:bottom w:val="single" w:sz="8" w:color="auto"/>
            </w:tcBorders>
          </w:tcPr>
          <w:p>
            <w:pPr>
              <w:spacing w:after="0"/>
              <w:rPr>
                <w:sz w:val="22"/>
                <w:szCs w:val="22"/>
                <w:color w:val="auto"/>
              </w:rPr>
            </w:pPr>
          </w:p>
        </w:tc>
      </w:tr>
      <w:tr>
        <w:trPr>
          <w:trHeight w:val="250"/>
        </w:trPr>
        <w:tc>
          <w:tcPr>
            <w:tcW w:w="48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r>
      <w:tr>
        <w:trPr>
          <w:trHeight w:val="255"/>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awards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1.1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2.7</w:t>
            </w:r>
          </w:p>
        </w:tc>
      </w:tr>
      <w:tr>
        <w:trPr>
          <w:trHeight w:val="25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senior notes</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5"/>
              </w:rPr>
              <w:t>4.5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1.1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5"/>
              </w:rPr>
              <w:t>8.8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2.7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Prepayment of Intangible Assets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fiscal 2025, we entered into definitive asset purchase agreements with Broadcom to acquire certain assets and obtain non-exclusive licenses relating to Broadcom’s Wi-Fi Business in the IoT market for an aggregate consideration of $200.3 million. As of December 2025, we have not received six roadmap technology intangible assets, which are expected to be delivered at various dates through September 2027. Accordingly, the balance of $96.8 million, which represents the value of those technology intangible assets not yet received, is presented within non-current assets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Cash and Cash Equivalents and Short-Term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and cash equivalents by category at December 2025 and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154940</wp:posOffset>
            </wp:positionV>
            <wp:extent cx="59690" cy="608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60833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December 2025</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June 2025</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Gross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Gross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Unrealized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Unrealized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Amortized Cost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(Gain) Loss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Fair Value</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Amortized Cost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(Gain) Loss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55"/>
        </w:trPr>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52"/>
        </w:trPr>
        <w:tc>
          <w:tcPr>
            <w:tcW w:w="310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2"/>
        </w:trPr>
        <w:tc>
          <w:tcPr>
            <w:tcW w:w="3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Certificates of deposit</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5"/>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and cash equivalents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Short-term investments: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-376555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-376555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-376555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-376555</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-548005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-548005</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-548005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-548005</wp:posOffset>
            </wp:positionV>
            <wp:extent cx="59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-1207770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-1207770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-1207770</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Fair Value Measurements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7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Valuation is based upon unadjusted quoted prices for identical assets or liabilities in active markets.</w:t>
      </w:r>
    </w:p>
    <w:p>
      <w:pPr>
        <w:spacing w:after="0" w:line="117"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At December 2025 and June 2025, financial assets measured at fair value on a recurring basis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December 2025</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9"/>
              </w:rPr>
              <w:t>June 2025</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1"/>
                <w:szCs w:val="2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Level 2</w:t>
            </w:r>
          </w:p>
        </w:tc>
        <w:tc>
          <w:tcPr>
            <w:tcW w:w="32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1"/>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6"/>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5"/>
        </w:trPr>
        <w:tc>
          <w:tcPr>
            <w:tcW w:w="266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60"/>
        </w:trPr>
        <w:tc>
          <w:tcPr>
            <w:tcW w:w="266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8"/>
                <w:szCs w:val="18"/>
                <w:color w:val="auto"/>
              </w:rPr>
              <w:t>Total assets measured at fair</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financial assets requiring Level 3 measurement in the periods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report our financial instruments at fair value with the exception of the 2029 Notes and the 2031 Notes, or collectively with the 2029 Notes, the "Notes," each as defined in Note 9. Debt. The estimated fair value of the Notes was determined based on the trading prices of the Notes as of the last day of trading for the periods presented. We use Level 2 measurement criteria to determine the fair value of our Notes as they are not actively traded in markets.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values of the Notes were as follows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103505</wp:posOffset>
            </wp:positionV>
            <wp:extent cx="60325" cy="471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47180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color w:val="auto"/>
              </w:rPr>
              <w:t>December 2025</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color w:val="auto"/>
              </w:rPr>
              <w:t>June 2025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Estimated Fair</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Estimated Fair</w:t>
            </w: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tcPr>
          <w:p>
            <w:pPr>
              <w:spacing w:after="0"/>
              <w:rPr>
                <w:sz w:val="21"/>
                <w:szCs w:val="21"/>
                <w:color w:val="auto"/>
              </w:rPr>
            </w:pPr>
          </w:p>
        </w:tc>
        <w:tc>
          <w:tcPr>
            <w:tcW w:w="21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Carrying 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Carrying 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Notes</w:t>
            </w:r>
          </w:p>
        </w:tc>
        <w:tc>
          <w:tcPr>
            <w:tcW w:w="2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2031 Notes</w:t>
            </w:r>
          </w:p>
        </w:tc>
        <w:tc>
          <w:tcPr>
            <w:tcW w:w="21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3"/>
                <w:szCs w:val="23"/>
                <w:color w:val="auto"/>
              </w:rPr>
            </w:pPr>
          </w:p>
        </w:tc>
        <w:tc>
          <w:tcPr>
            <w:tcW w:w="2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12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27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760" w:type="dxa"/>
            <w:vAlign w:val="bottom"/>
            <w:tcBorders>
              <w:bottom w:val="single" w:sz="8" w:color="9A9A9A"/>
            </w:tcBorders>
          </w:tcPr>
          <w:p>
            <w:pPr>
              <w:spacing w:after="0"/>
              <w:rPr>
                <w:sz w:val="17"/>
                <w:szCs w:val="17"/>
                <w:color w:val="auto"/>
              </w:rPr>
            </w:pPr>
          </w:p>
        </w:tc>
        <w:tc>
          <w:tcPr>
            <w:tcW w:w="218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-693420</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-693420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-693420</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-1199515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-1199515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Goodwill and Acquired Intangibles, Net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4"/>
        </w:trPr>
        <w:tc>
          <w:tcPr>
            <w:tcW w:w="8140" w:type="dxa"/>
            <w:vAlign w:val="bottom"/>
          </w:tcPr>
          <w:p>
            <w:pPr>
              <w:spacing w:after="0"/>
              <w:rPr>
                <w:sz w:val="20"/>
                <w:szCs w:val="20"/>
                <w:color w:val="auto"/>
              </w:rPr>
            </w:pPr>
            <w:r>
              <w:rPr>
                <w:rFonts w:ascii="Arial" w:cs="Arial" w:eastAsia="Arial" w:hAnsi="Arial"/>
                <w:sz w:val="18"/>
                <w:szCs w:val="18"/>
                <w:color w:val="auto"/>
              </w:rPr>
              <w:t>The following table represents the change in our goodwill balance for the periods presented: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8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December</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June</w:t>
            </w:r>
          </w:p>
        </w:tc>
      </w:tr>
      <w:tr>
        <w:trPr>
          <w:trHeight w:val="261"/>
        </w:trPr>
        <w:tc>
          <w:tcPr>
            <w:tcW w:w="8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r>
      <w:tr>
        <w:trPr>
          <w:trHeight w:val="25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80"/>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carrying amounts, excluding fully amortized intangible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December 2025</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June 2025</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80"/>
        </w:trPr>
        <w:tc>
          <w:tcPr>
            <w:tcW w:w="2200" w:type="dxa"/>
            <w:vAlign w:val="bottom"/>
          </w:tcPr>
          <w:p>
            <w:pPr>
              <w:spacing w:after="0"/>
              <w:rPr>
                <w:sz w:val="15"/>
                <w:szCs w:val="15"/>
                <w:color w:val="auto"/>
              </w:rPr>
            </w:pPr>
          </w:p>
        </w:tc>
        <w:tc>
          <w:tcPr>
            <w:tcW w:w="1080" w:type="dxa"/>
            <w:vAlign w:val="bottom"/>
            <w:gridSpan w:val="2"/>
          </w:tcPr>
          <w:p>
            <w:pPr>
              <w:jc w:val="center"/>
              <w:ind w:right="80"/>
              <w:spacing w:after="0" w:line="180" w:lineRule="exact"/>
              <w:rPr>
                <w:sz w:val="20"/>
                <w:szCs w:val="20"/>
                <w:color w:val="auto"/>
              </w:rPr>
            </w:pPr>
            <w:r>
              <w:rPr>
                <w:rFonts w:ascii="Arial" w:cs="Arial" w:eastAsia="Arial" w:hAnsi="Arial"/>
                <w:sz w:val="17"/>
                <w:szCs w:val="17"/>
                <w:color w:val="auto"/>
              </w:rPr>
              <w:t>Weighted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2200" w:type="dxa"/>
            <w:vAlign w:val="bottom"/>
          </w:tcPr>
          <w:p>
            <w:pPr>
              <w:spacing w:after="0"/>
              <w:rPr>
                <w:sz w:val="16"/>
                <w:szCs w:val="16"/>
                <w:color w:val="auto"/>
              </w:rPr>
            </w:pPr>
          </w:p>
        </w:tc>
        <w:tc>
          <w:tcPr>
            <w:tcW w:w="1080" w:type="dxa"/>
            <w:vAlign w:val="bottom"/>
            <w:gridSpan w:val="2"/>
          </w:tcPr>
          <w:p>
            <w:pPr>
              <w:jc w:val="center"/>
              <w:ind w:right="80"/>
              <w:spacing w:after="0" w:line="189" w:lineRule="exact"/>
              <w:rPr>
                <w:sz w:val="20"/>
                <w:szCs w:val="20"/>
                <w:color w:val="auto"/>
              </w:rPr>
            </w:pPr>
            <w:r>
              <w:rPr>
                <w:rFonts w:ascii="Arial" w:cs="Arial" w:eastAsia="Arial" w:hAnsi="Arial"/>
                <w:sz w:val="17"/>
                <w:szCs w:val="17"/>
                <w:color w:val="auto"/>
              </w:rPr>
              <w:t>Average</w:t>
            </w:r>
          </w:p>
        </w:tc>
        <w:tc>
          <w:tcPr>
            <w:tcW w:w="134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Gross Carrying</w:t>
            </w:r>
          </w:p>
        </w:tc>
        <w:tc>
          <w:tcPr>
            <w:tcW w:w="120" w:type="dxa"/>
            <w:vAlign w:val="bottom"/>
          </w:tcPr>
          <w:p>
            <w:pPr>
              <w:spacing w:after="0"/>
              <w:rPr>
                <w:sz w:val="16"/>
                <w:szCs w:val="16"/>
                <w:color w:val="auto"/>
              </w:rPr>
            </w:pPr>
          </w:p>
        </w:tc>
        <w:tc>
          <w:tcPr>
            <w:tcW w:w="1200" w:type="dxa"/>
            <w:vAlign w:val="bottom"/>
            <w:gridSpan w:val="2"/>
          </w:tcPr>
          <w:p>
            <w:pPr>
              <w:spacing w:after="0" w:line="189" w:lineRule="exact"/>
              <w:rPr>
                <w:sz w:val="20"/>
                <w:szCs w:val="20"/>
                <w:color w:val="auto"/>
              </w:rPr>
            </w:pPr>
            <w:r>
              <w:rPr>
                <w:rFonts w:ascii="Arial" w:cs="Arial" w:eastAsia="Arial" w:hAnsi="Arial"/>
                <w:sz w:val="17"/>
                <w:szCs w:val="17"/>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89" w:lineRule="exact"/>
              <w:rPr>
                <w:sz w:val="20"/>
                <w:szCs w:val="20"/>
                <w:color w:val="auto"/>
              </w:rPr>
            </w:pPr>
            <w:r>
              <w:rPr>
                <w:rFonts w:ascii="Arial" w:cs="Arial" w:eastAsia="Arial" w:hAnsi="Arial"/>
                <w:sz w:val="17"/>
                <w:szCs w:val="17"/>
                <w:color w:val="auto"/>
              </w:rPr>
              <w:t>Net Carrying</w:t>
            </w:r>
          </w:p>
        </w:tc>
        <w:tc>
          <w:tcPr>
            <w:tcW w:w="1320" w:type="dxa"/>
            <w:vAlign w:val="bottom"/>
            <w:gridSpan w:val="3"/>
          </w:tcPr>
          <w:p>
            <w:pPr>
              <w:ind w:left="40"/>
              <w:spacing w:after="0" w:line="189" w:lineRule="exact"/>
              <w:rPr>
                <w:sz w:val="20"/>
                <w:szCs w:val="20"/>
                <w:color w:val="auto"/>
              </w:rPr>
            </w:pPr>
            <w:r>
              <w:rPr>
                <w:rFonts w:ascii="Arial" w:cs="Arial" w:eastAsia="Arial" w:hAnsi="Arial"/>
                <w:sz w:val="17"/>
                <w:szCs w:val="17"/>
                <w:color w:val="auto"/>
              </w:rPr>
              <w:t>Gross Carrying</w:t>
            </w:r>
          </w:p>
        </w:tc>
        <w:tc>
          <w:tcPr>
            <w:tcW w:w="12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Arial" w:cs="Arial" w:eastAsia="Arial" w:hAnsi="Arial"/>
                <w:sz w:val="17"/>
                <w:szCs w:val="17"/>
                <w:color w:val="auto"/>
              </w:rPr>
              <w:t>Accumulated</w:t>
            </w:r>
          </w:p>
        </w:tc>
        <w:tc>
          <w:tcPr>
            <w:tcW w:w="14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Net Carrying</w:t>
            </w:r>
          </w:p>
        </w:tc>
      </w:tr>
      <w:tr>
        <w:trPr>
          <w:trHeight w:val="245"/>
        </w:trPr>
        <w:tc>
          <w:tcPr>
            <w:tcW w:w="2200" w:type="dxa"/>
            <w:vAlign w:val="bottom"/>
          </w:tcPr>
          <w:p>
            <w:pPr>
              <w:spacing w:after="0"/>
              <w:rPr>
                <w:sz w:val="21"/>
                <w:szCs w:val="21"/>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Life in Years</w:t>
            </w:r>
          </w:p>
        </w:tc>
        <w:tc>
          <w:tcPr>
            <w:tcW w:w="26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color w:val="auto"/>
              </w:rPr>
              <w:t>Value</w:t>
            </w:r>
          </w:p>
        </w:tc>
        <w:tc>
          <w:tcPr>
            <w:tcW w:w="12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auto"/>
              </w:rPr>
              <w:t>Amortization</w:t>
            </w:r>
          </w:p>
        </w:tc>
        <w:tc>
          <w:tcPr>
            <w:tcW w:w="14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Value</w:t>
            </w:r>
          </w:p>
        </w:tc>
        <w:tc>
          <w:tcPr>
            <w:tcW w:w="24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color w:val="auto"/>
              </w:rPr>
              <w:t>Value</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Amortization</w:t>
            </w:r>
          </w:p>
        </w:tc>
        <w:tc>
          <w:tcPr>
            <w:tcW w:w="140" w:type="dxa"/>
            <w:vAlign w:val="bottom"/>
          </w:tcPr>
          <w:p>
            <w:pPr>
              <w:spacing w:after="0"/>
              <w:rPr>
                <w:sz w:val="21"/>
                <w:szCs w:val="21"/>
                <w:color w:val="auto"/>
              </w:rPr>
            </w:pPr>
          </w:p>
        </w:tc>
        <w:tc>
          <w:tcPr>
            <w:tcW w:w="1160" w:type="dxa"/>
            <w:vAlign w:val="bottom"/>
          </w:tcPr>
          <w:p>
            <w:pPr>
              <w:jc w:val="right"/>
              <w:ind w:right="355"/>
              <w:spacing w:after="0"/>
              <w:rPr>
                <w:sz w:val="20"/>
                <w:szCs w:val="20"/>
                <w:color w:val="auto"/>
              </w:rPr>
            </w:pPr>
            <w:r>
              <w:rPr>
                <w:rFonts w:ascii="Arial" w:cs="Arial" w:eastAsia="Arial" w:hAnsi="Arial"/>
                <w:sz w:val="17"/>
                <w:szCs w:val="17"/>
                <w:color w:val="auto"/>
              </w:rPr>
              <w:t>Value</w:t>
            </w:r>
          </w:p>
        </w:tc>
      </w:tr>
      <w:tr>
        <w:trPr>
          <w:trHeight w:val="24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Audio and video technology</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5.6</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w:t>
            </w:r>
          </w:p>
        </w:tc>
      </w:tr>
      <w:tr>
        <w:trPr>
          <w:trHeight w:val="236"/>
        </w:trPr>
        <w:tc>
          <w:tcPr>
            <w:tcW w:w="22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000" w:type="dxa"/>
            <w:vAlign w:val="bottom"/>
          </w:tcPr>
          <w:p>
            <w:pPr>
              <w:jc w:val="center"/>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36.4</w:t>
            </w:r>
          </w:p>
        </w:tc>
      </w:tr>
      <w:tr>
        <w:trPr>
          <w:trHeight w:val="201"/>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Wireless connectivity</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52"/>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w:t>
            </w:r>
          </w:p>
        </w:tc>
      </w:tr>
      <w:tr>
        <w:trPr>
          <w:trHeight w:val="236"/>
        </w:trPr>
        <w:tc>
          <w:tcPr>
            <w:tcW w:w="2200" w:type="dxa"/>
            <w:vAlign w:val="bottom"/>
          </w:tcPr>
          <w:p>
            <w:pPr>
              <w:ind w:left="20"/>
              <w:spacing w:after="0"/>
              <w:rPr>
                <w:sz w:val="20"/>
                <w:szCs w:val="20"/>
                <w:color w:val="auto"/>
              </w:rPr>
            </w:pPr>
            <w:r>
              <w:rPr>
                <w:rFonts w:ascii="Arial" w:cs="Arial" w:eastAsia="Arial" w:hAnsi="Arial"/>
                <w:sz w:val="17"/>
                <w:szCs w:val="17"/>
                <w:color w:val="auto"/>
              </w:rPr>
              <w:t>Video interface technology</w:t>
            </w:r>
          </w:p>
        </w:tc>
        <w:tc>
          <w:tcPr>
            <w:tcW w:w="1000" w:type="dxa"/>
            <w:vAlign w:val="bottom"/>
          </w:tcPr>
          <w:p>
            <w:pPr>
              <w:jc w:val="center"/>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35.1</w:t>
            </w:r>
          </w:p>
        </w:tc>
      </w:tr>
      <w:tr>
        <w:trPr>
          <w:trHeight w:val="250"/>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r>
      <w:tr>
        <w:trPr>
          <w:trHeight w:val="194"/>
        </w:trPr>
        <w:tc>
          <w:tcPr>
            <w:tcW w:w="2200" w:type="dxa"/>
            <w:vAlign w:val="bottom"/>
          </w:tcPr>
          <w:p>
            <w:pPr>
              <w:ind w:left="60"/>
              <w:spacing w:after="0" w:line="194" w:lineRule="exact"/>
              <w:rPr>
                <w:sz w:val="20"/>
                <w:szCs w:val="20"/>
                <w:color w:val="auto"/>
              </w:rPr>
            </w:pPr>
            <w:r>
              <w:rPr>
                <w:rFonts w:ascii="Arial" w:cs="Arial" w:eastAsia="Arial" w:hAnsi="Arial"/>
                <w:sz w:val="17"/>
                <w:szCs w:val="17"/>
                <w:color w:val="auto"/>
              </w:rPr>
              <w:t>In-process research and</w:t>
            </w:r>
          </w:p>
        </w:tc>
        <w:tc>
          <w:tcPr>
            <w:tcW w:w="1080" w:type="dxa"/>
            <w:vAlign w:val="bottom"/>
            <w:gridSpan w:val="2"/>
          </w:tcPr>
          <w:p>
            <w:pPr>
              <w:jc w:val="center"/>
              <w:ind w:right="80"/>
              <w:spacing w:after="0" w:line="194" w:lineRule="exact"/>
              <w:rPr>
                <w:sz w:val="20"/>
                <w:szCs w:val="20"/>
                <w:color w:val="auto"/>
              </w:rPr>
            </w:pPr>
            <w:r>
              <w:rPr>
                <w:rFonts w:ascii="Arial" w:cs="Arial" w:eastAsia="Arial" w:hAnsi="Arial"/>
                <w:sz w:val="17"/>
                <w:szCs w:val="17"/>
                <w:color w:val="auto"/>
              </w:rPr>
              <w:t>Not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5"/>
        </w:trPr>
        <w:tc>
          <w:tcPr>
            <w:tcW w:w="2200" w:type="dxa"/>
            <w:vAlign w:val="bottom"/>
          </w:tcPr>
          <w:p>
            <w:pPr>
              <w:ind w:left="60"/>
              <w:spacing w:after="0"/>
              <w:rPr>
                <w:sz w:val="20"/>
                <w:szCs w:val="20"/>
                <w:color w:val="auto"/>
              </w:rPr>
            </w:pPr>
            <w:r>
              <w:rPr>
                <w:rFonts w:ascii="Arial" w:cs="Arial" w:eastAsia="Arial" w:hAnsi="Arial"/>
                <w:sz w:val="17"/>
                <w:szCs w:val="17"/>
                <w:color w:val="auto"/>
              </w:rPr>
              <w:t>development</w:t>
            </w:r>
          </w:p>
        </w:tc>
        <w:tc>
          <w:tcPr>
            <w:tcW w:w="108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applicable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68"/>
        </w:trPr>
        <w:tc>
          <w:tcPr>
            <w:tcW w:w="22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intangible assets</w:t>
            </w:r>
          </w:p>
        </w:tc>
        <w:tc>
          <w:tcPr>
            <w:tcW w:w="10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262.2</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amortization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8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5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61"/>
        </w:trPr>
        <w:tc>
          <w:tcPr>
            <w:tcW w:w="36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w:t>
            </w:r>
          </w:p>
        </w:tc>
        <w:tc>
          <w:tcPr>
            <w:tcW w:w="4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5"/>
        </w:trPr>
        <w:tc>
          <w:tcPr>
            <w:tcW w:w="362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rPr>
              <w:t>Cost of revenue</w:t>
            </w:r>
          </w:p>
        </w:tc>
        <w:tc>
          <w:tcPr>
            <w:tcW w:w="27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2"/>
        </w:trPr>
        <w:tc>
          <w:tcPr>
            <w:tcW w:w="3620" w:type="dxa"/>
            <w:vAlign w:val="bottom"/>
            <w:tcBorders>
              <w:bottom w:val="single" w:sz="8" w:color="CCEEFF"/>
            </w:tcBorders>
          </w:tcPr>
          <w:p>
            <w:pPr>
              <w:jc w:val="right"/>
              <w:ind w:right="850"/>
              <w:spacing w:after="0"/>
              <w:rPr>
                <w:sz w:val="20"/>
                <w:szCs w:val="20"/>
                <w:color w:val="auto"/>
              </w:rPr>
            </w:pPr>
            <w:r>
              <w:rPr>
                <w:rFonts w:ascii="Arial" w:cs="Arial" w:eastAsia="Arial" w:hAnsi="Arial"/>
                <w:sz w:val="18"/>
                <w:szCs w:val="18"/>
                <w:color w:val="auto"/>
              </w:rPr>
              <w:t>Acquired intangibles amortization</w:t>
            </w:r>
          </w:p>
        </w:tc>
        <w:tc>
          <w:tcPr>
            <w:tcW w:w="18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5"/>
        </w:trPr>
        <w:tc>
          <w:tcPr>
            <w:tcW w:w="36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Total amortization of intangibles</w:t>
            </w:r>
          </w:p>
        </w:tc>
        <w:tc>
          <w:tcPr>
            <w:tcW w:w="27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Arial" w:cs="Arial" w:eastAsia="Arial" w:hAnsi="Arial"/>
                <w:sz w:val="18"/>
                <w:szCs w:val="18"/>
                <w:color w:val="auto"/>
              </w:rPr>
              <w:t>13</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36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20" w:type="dxa"/>
            <w:vAlign w:val="bottom"/>
            <w:tcBorders>
              <w:bottom w:val="single" w:sz="8" w:color="9A9A9A"/>
            </w:tcBorders>
          </w:tcPr>
          <w:p>
            <w:pPr>
              <w:spacing w:after="0"/>
              <w:rPr>
                <w:sz w:val="17"/>
                <w:szCs w:val="17"/>
                <w:color w:val="auto"/>
              </w:rPr>
            </w:pPr>
          </w:p>
        </w:tc>
        <w:tc>
          <w:tcPr>
            <w:tcW w:w="186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future amortization expense of acquired amortizable intangible assets as of December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55"/>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52"/>
        </w:trPr>
        <w:tc>
          <w:tcPr>
            <w:tcW w:w="964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6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52"/>
        </w:trPr>
        <w:tc>
          <w:tcPr>
            <w:tcW w:w="964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6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52"/>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80"/>
        </w:trPr>
        <w:tc>
          <w:tcPr>
            <w:tcW w:w="9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Future amortization</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-1191260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Debt and Revolving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total debt outstanding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9"/>
              </w:rPr>
              <w:t>December 2025</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June 2025</w:t>
            </w:r>
          </w:p>
        </w:tc>
      </w:tr>
      <w:tr>
        <w:trPr>
          <w:trHeight w:val="174"/>
        </w:trPr>
        <w:tc>
          <w:tcPr>
            <w:tcW w:w="4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spacing w:after="0" w:line="174" w:lineRule="exact"/>
              <w:rPr>
                <w:sz w:val="20"/>
                <w:szCs w:val="20"/>
                <w:color w:val="auto"/>
              </w:rPr>
            </w:pPr>
            <w:r>
              <w:rPr>
                <w:rFonts w:ascii="Arial" w:cs="Arial" w:eastAsia="Arial" w:hAnsi="Arial"/>
                <w:sz w:val="18"/>
                <w:szCs w:val="18"/>
                <w:color w:val="auto"/>
              </w:rPr>
              <w:t>Net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spacing w:after="0" w:line="174" w:lineRule="exact"/>
              <w:rPr>
                <w:sz w:val="20"/>
                <w:szCs w:val="20"/>
                <w:color w:val="auto"/>
              </w:rPr>
            </w:pPr>
            <w:r>
              <w:rPr>
                <w:rFonts w:ascii="Arial" w:cs="Arial" w:eastAsia="Arial" w:hAnsi="Arial"/>
                <w:sz w:val="18"/>
                <w:szCs w:val="18"/>
                <w:color w:val="auto"/>
              </w:rPr>
              <w:t>Net Carrying</w:t>
            </w:r>
          </w:p>
        </w:tc>
      </w:tr>
      <w:tr>
        <w:trPr>
          <w:trHeight w:val="239"/>
        </w:trPr>
        <w:tc>
          <w:tcPr>
            <w:tcW w:w="4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Amount</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Amount</w:t>
            </w:r>
          </w:p>
        </w:tc>
      </w:tr>
      <w:tr>
        <w:trPr>
          <w:trHeight w:val="195"/>
        </w:trPr>
        <w:tc>
          <w:tcPr>
            <w:tcW w:w="4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98"/>
              </w:rPr>
              <w:t>Effective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48"/>
        </w:trPr>
        <w:tc>
          <w:tcPr>
            <w:tcW w:w="40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Stated Rate</w:t>
            </w: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9"/>
              </w:rPr>
              <w:t>Rate</w:t>
            </w:r>
          </w:p>
        </w:tc>
        <w:tc>
          <w:tcPr>
            <w:tcW w:w="16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Principal</w:t>
            </w: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Long-term</w:t>
            </w:r>
          </w:p>
        </w:tc>
        <w:tc>
          <w:tcPr>
            <w:tcW w:w="18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Principal</w:t>
            </w:r>
          </w:p>
        </w:tc>
        <w:tc>
          <w:tcPr>
            <w:tcW w:w="1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w w:val="99"/>
              </w:rPr>
              <w:t>Long-term</w:t>
            </w:r>
          </w:p>
        </w:tc>
      </w:tr>
      <w:tr>
        <w:trPr>
          <w:trHeight w:val="25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2031 Notes</w:t>
            </w:r>
          </w:p>
        </w:tc>
        <w:tc>
          <w:tcPr>
            <w:tcW w:w="12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0.75%</w:t>
            </w:r>
          </w:p>
        </w:tc>
        <w:tc>
          <w:tcPr>
            <w:tcW w:w="10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52"/>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Notes</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4.00%</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4.17%</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r>
      <w:tr>
        <w:trPr>
          <w:trHeight w:val="25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1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56"/>
        </w:trPr>
        <w:tc>
          <w:tcPr>
            <w:tcW w:w="404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5"/>
        </w:trPr>
        <w:tc>
          <w:tcPr>
            <w:tcW w:w="4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w:t>
            </w:r>
          </w:p>
        </w:tc>
        <w:tc>
          <w:tcPr>
            <w:tcW w:w="1200" w:type="dxa"/>
            <w:vAlign w:val="bottom"/>
            <w:tcBorders>
              <w:top w:val="single" w:sz="8" w:color="CCEEFF"/>
              <w:bottom w:val="single" w:sz="8" w:color="CCEEFF"/>
            </w:tcBorders>
            <w:shd w:val="clear" w:color="auto" w:fill="CCEEFF"/>
          </w:tcPr>
          <w:p>
            <w:pPr>
              <w:spacing w:after="0"/>
              <w:rPr>
                <w:sz w:val="23"/>
                <w:szCs w:val="23"/>
                <w:color w:val="auto"/>
              </w:rPr>
            </w:pPr>
          </w:p>
        </w:tc>
        <w:tc>
          <w:tcPr>
            <w:tcW w:w="10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-33655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2031 Convertible Senior Notes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19, 2024 and November 26, 2024, we issued and sold $ 400.0 million and $50.0 million, respectively, in aggregate principal amount of 0.75% Convertible Senior Notes due 2031 (“2031 Notes”) in a private placement. The 2031 Notes were issued pursuant to an indenture (“2031 Indenture”), dated November 19, 2024. The 2031 Notes are unsecured, bear interest at a fixed rate of 0.75% per year, payable semi-annually in arrears on June 1 and December 1 of each year, beginning on June 1, 2025, and mature on December 1, 2031, unless earlier converted, redeemed or repurchased by us.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2031 Notes are our senior, unsecured obligations and are (i) equal in right of payment with our existing and future senior unsecured indebtedness; (ii) senior in right of payment to our existing and future indebtedness that is expressly subordinated to the 2031 Notes; (iii) effectively subordinated to our existing and future secured indebtedness, to the extent of the value of the collateral securing that indebtedness; and (iv) structurally subordinated to all existing and future indebtedness and other liabilities.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initial conversion rate of the 2031 Notes is 10.0308 shares of our common stock per $1,000 principal amount of 2031 Notes (which is equivalent to an initial conversion price of approximately $99.69 per share). The conversion rate is subject to adjustment upon the occurrence of certain events specified in the 2031 Indenture. In addition, upon the occurrence of a Make-Whole Fundamental Change or if we deliver a Redemption Notice, both as defined in the 2031 Indenture, we will, in certain circumstances, increase the conversion rate by a number of additional shares of common stock as described in the 2031 Indenture for a holder who elects to convert its 2031 Notes in connection with such Make -Whole Fundamental Change or to convert its 2031 Notes called (or deemed called as provided in the 2031 Indenture) for redemption in connection with such Redemption Notice,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153670</wp:posOffset>
            </wp:positionV>
            <wp:extent cx="1191260" cy="299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any time from, and including, September 2, 2031, the 2031 Notes are convertible at the option of the holders thereof only under the following circumstances: (1) during any calendar quarter commencing after the first calendar quarter ending on March 31, 2025, if the last reported sale price per share of our common stock exceeds 130% of the conversion price for at least 20 trading days (whether or not consecutive) during the 30 consecutive trading days ending on, and including, the last trading day of the immediately preceding calendar quarter; (2) during the five consecutive business days after any ten consecutive trading day period (such ten consecutive trading day period, the “measurement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(3) if we call such 2031 Notes for redemption; or (4) upon the occurrence of specified corporate events or distributions on our common stock (as defined in the 2031 Indenture). As of December 2025, none of the conditions allowing holders of the 2031 Notes to convert had been met. On or after September 2, 2031 until the close of business on the second scheduled trading day immediately preceding the maturity date of the 2031 Notes, holders of the 2031 Notes may convert all or a portion of their 2031 Notes, regardless of the foregoing conditions. Upon conversion, the 2031 Notes will be settled in cash, shares of our common stock based on the conversion rate (as defined in the 2031 Indenture) or any combination thereof, at our election.</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2031 Notes are redeemable, at our option at any time, and from time to time, on or after December 6, 2028. We may redeem for cash all or any portion of the 2031 Notes (subject to the limitation described below), at our option, on or after December 6, 2028 and on or before the 40th scheduled trading day immediately before December 1, 2031 at a cash redemption price equal to the principal amount of the 2031 Notes to be redeemed, plus accrued and unpaid interest, if any, to, but excluding, the redemption date, but only if (i) the notes are Freely Tradable (as defined in 2031 Indenture) as of the date we send the related redemption notice and all accrued and unpaid additional interest, if any, has been paid in full as of the most recent interest payment date occurring on or before the date we send such notice; and (ii) the last reported sale price per share of our common stock exceeds 130% of the conversion price on (1) each of at least 20 trading days, whether or not consecutive, during the 30 consecutive trading days ending on, and including, the trading day immediately before the date we send such redemption notice; and (2) the trading day immediately before the date we send such notice. However, we may not redeem less than all of the outstanding notes unless at least $100.0 million aggregate principal amount of notes are outstanding and not called for redemption as of the time we send, and after giving effect to,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No sinking fund is provided for the 2031 Notes.</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the occurrence of a Fundamental Change (as defined in the 2031 Indenture) prior to the maturity date of the 2031 Notes, holders of the 2031 Notes may require us to repurchase their notes for a cash repurchase price equal to the principal amount of the 2031 Notes to be repurchased, plus any accrued and unpaid interest, if any, to, but excluding, the Fundamental Change Repurchase Date (as defined in the 2031 Indenture).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2031 Capped Calls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issuance of the 2031 Notes, we entered into privately negotiated capped call transactions (each, a “2031 Capped Call” and collectively, the “2031 Capped Calls”) with certain financial institutions. The 2031 Capped Calls have an initial strike price of $99.69, subject to certain adjustments, which corresponds to the initial conversion price of the 2031 Notes. The 2031 Capped Calls have an initial cap price of $150.48 per share, subject to certain adjustments. The 2031 Capped Calls are expected to partially offset the potential dilution to the Company’s common stock upon any conversion of the 2031 Notes, with such offset subject to a cap based on the cap price. The 2031 Capped Calls cover, subject to anti-dilution adjustments, approximately 4.5 million shares of the Company’s common stock. The 2031 Capped Calls are subject to adjustment upon the occurrence of specified extraordinary events affecting the Company, including merger events, tender offers and announcement events. For accounting purposes, each 2031 Capped Call is treated as a separate transaction from, and not part of, the terms of the 2031 Notes. As these transactions meet certain accounting criteria, the 2031 Capped Calls are recorded in stockholders’ equity and are not accounted for as derivatives. The 2031 Capped Calls will not be remeasured as long as they continue to meet the conditions for equity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367665</wp:posOffset>
            </wp:positionV>
            <wp:extent cx="119126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Contractual interest expense and amortization of debt issuance costs on the 2031 Notes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Pr>
          <w:p>
            <w:pPr>
              <w:spacing w:after="0"/>
              <w:rPr>
                <w:sz w:val="21"/>
                <w:szCs w:val="21"/>
                <w:color w:val="auto"/>
              </w:rPr>
            </w:pPr>
          </w:p>
        </w:tc>
        <w:tc>
          <w:tcPr>
            <w:tcW w:w="300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gridSpan w:val="4"/>
          </w:tcPr>
          <w:p>
            <w:pPr>
              <w:jc w:val="right"/>
              <w:ind w:right="930"/>
              <w:spacing w:after="0"/>
              <w:rPr>
                <w:sz w:val="20"/>
                <w:szCs w:val="20"/>
                <w:color w:val="auto"/>
              </w:rPr>
            </w:pPr>
            <w:r>
              <w:rPr>
                <w:rFonts w:ascii="Arial" w:cs="Arial" w:eastAsia="Arial" w:hAnsi="Arial"/>
                <w:sz w:val="18"/>
                <w:szCs w:val="18"/>
                <w:color w:val="auto"/>
              </w:rPr>
              <w:t>Six Months Ended</w:t>
            </w:r>
          </w:p>
        </w:tc>
      </w:tr>
      <w:tr>
        <w:trPr>
          <w:trHeight w:val="248"/>
        </w:trPr>
        <w:tc>
          <w:tcPr>
            <w:tcW w:w="416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December</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December</w:t>
            </w:r>
          </w:p>
        </w:tc>
        <w:tc>
          <w:tcPr>
            <w:tcW w:w="1200" w:type="dxa"/>
            <w:vAlign w:val="bottom"/>
            <w:tcBorders>
              <w:bottom w:val="single" w:sz="8" w:color="auto"/>
            </w:tcBorders>
          </w:tcPr>
          <w:p>
            <w:pPr>
              <w:spacing w:after="0"/>
              <w:rPr>
                <w:sz w:val="21"/>
                <w:szCs w:val="21"/>
                <w:color w:val="auto"/>
              </w:rPr>
            </w:pPr>
          </w:p>
        </w:tc>
      </w:tr>
      <w:tr>
        <w:trPr>
          <w:trHeight w:val="250"/>
        </w:trPr>
        <w:tc>
          <w:tcPr>
            <w:tcW w:w="41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1"/>
                <w:szCs w:val="21"/>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2024</w:t>
            </w:r>
          </w:p>
        </w:tc>
      </w:tr>
      <w:tr>
        <w:trPr>
          <w:trHeight w:val="255"/>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tcBorders>
              <w:top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r>
      <w:tr>
        <w:trPr>
          <w:trHeight w:val="252"/>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8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2029 Notes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2021, we issued $400.0 million aggregate principal amount of senior notes due June 15, 2029 (“2029 Notes”), which bear interest at a rate of 4.0% payable semi-annually on December 15 and June 15 of each year. The 2029 Notes are fully and unconditionally guaranteed, jointly and severally, on a senior unsecured basis by each of our current and future domestic restricted subsidiaries that guarantee our obligations under our senior secured credit facilities.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to the 2029 Notes (the "2029 Indenture") contains covenants that, among other things, limit our ability and the ability of our Restricted Subsidiaries (as defined in the 2029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2029 Indenture contains customary events of default. An event of default under the 2029 Indenture will allow either the trustee or the holders of at least 25% in aggregate principal amount of the then outstanding 2029 Notes to accelerate, or in certain cases automatically cause the acceleration of, the maturity of the principal and accrued interest on all outstanding 2029 Notes.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redeem some or all of the 2029 Notes at a price of 101% of the principal amount in 2025 and at 100% of the principal amount in 2026 and thereafter.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Contractual interest expense and amortization of debt issuance costs on the 2029 Notes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300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930"/>
              <w:spacing w:after="0"/>
              <w:rPr>
                <w:sz w:val="20"/>
                <w:szCs w:val="20"/>
                <w:color w:val="auto"/>
              </w:rPr>
            </w:pPr>
            <w:r>
              <w:rPr>
                <w:rFonts w:ascii="Arial" w:cs="Arial" w:eastAsia="Arial" w:hAnsi="Arial"/>
                <w:sz w:val="18"/>
                <w:szCs w:val="18"/>
                <w:color w:val="auto"/>
              </w:rPr>
              <w:t>Six Months Ended</w:t>
            </w:r>
          </w:p>
        </w:tc>
      </w:tr>
      <w:tr>
        <w:trPr>
          <w:trHeight w:val="248"/>
        </w:trPr>
        <w:tc>
          <w:tcPr>
            <w:tcW w:w="416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December</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December</w:t>
            </w:r>
          </w:p>
        </w:tc>
        <w:tc>
          <w:tcPr>
            <w:tcW w:w="1200" w:type="dxa"/>
            <w:vAlign w:val="bottom"/>
            <w:tcBorders>
              <w:bottom w:val="single" w:sz="8" w:color="auto"/>
            </w:tcBorders>
          </w:tcPr>
          <w:p>
            <w:pPr>
              <w:spacing w:after="0"/>
              <w:rPr>
                <w:sz w:val="21"/>
                <w:szCs w:val="21"/>
                <w:color w:val="auto"/>
              </w:rPr>
            </w:pPr>
          </w:p>
        </w:tc>
      </w:tr>
      <w:tr>
        <w:trPr>
          <w:trHeight w:val="250"/>
        </w:trPr>
        <w:tc>
          <w:tcPr>
            <w:tcW w:w="416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r>
      <w:tr>
        <w:trPr>
          <w:trHeight w:val="228"/>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1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expense</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Facility</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December 2021, we entered into a first amendment and lender joinder agreement to our credit agreement, to, among other things, establish a new $600.0 million incremental term loan facility (“Term Loan Facility”). The Term Loan Facility was advanced by certain existing and new lenders under our credit agreement and was scheduled to mature on December 2, 2028. During the second quarter of fiscal 2025, we used a portion of the net proceeds from the 2031 Notes to repay the outstanding balance and accrued interest thereon.</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and six months ended December 2024, contractual interest expense and amortization of debt issuance costs on the Term Loan Facility was $7.5 million and $19.4 million,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$350.0 million available under a revolving credit agreement, as amended (“Revolving Credit Facility”), with a maturity date to be the earlier of (i) November 21, 2029 and (ii) ninety-one (91) days prior to any maturity of the 2029 Notes. Additionally, the Revolving Credit Facility provides a $25.0 million sublimit for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and a $25.0 million sublimit for swingline loans. As of December 2025, there was no balance outstanding under the Revolving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Revolving Credit Facility bears interest, at our election, at a Base Rate plus an Applicable Margin or Adjusted Term SOFR, as defined in the Revolving Credit Facility agreement. We are required to pay a commitment fee on any unused commitments which is determined on a leverage-based sliding scale ranging from 0.175% to 0.25% per annum. The unused commitment fees on the Revolving Credit Facility and amortization of issuance costs thereon were $0.5 million and $0.3 million for the three months ended December 2025 and 2024, respectively, and were $0.8 million and $0.7 million for the six months ended December 2025 and 2024, respectively.</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Revolving Credit Facility contains various restrictive covenants, including two financial covenants which limit the consolidated total net leverage ratio and the consolidated net interest coverage ratio. As of December 2025, we remain in compliance with the restrictive covenants.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spacing w:after="0"/>
              <w:rPr>
                <w:sz w:val="20"/>
                <w:szCs w:val="20"/>
                <w:color w:val="auto"/>
              </w:rPr>
            </w:pPr>
            <w:r>
              <w:rPr>
                <w:rFonts w:ascii="Arial" w:cs="Arial" w:eastAsia="Arial" w:hAnsi="Arial"/>
                <w:sz w:val="18"/>
                <w:szCs w:val="18"/>
                <w:b w:val="1"/>
                <w:bCs w:val="1"/>
                <w:color w:val="auto"/>
              </w:rPr>
              <w:t>Maturities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16"/>
        </w:trPr>
        <w:tc>
          <w:tcPr>
            <w:tcW w:w="6240" w:type="dxa"/>
            <w:vAlign w:val="bottom"/>
          </w:tcPr>
          <w:p>
            <w:pPr>
              <w:spacing w:after="0"/>
              <w:rPr>
                <w:sz w:val="20"/>
                <w:szCs w:val="20"/>
                <w:color w:val="auto"/>
              </w:rPr>
            </w:pPr>
            <w:r>
              <w:rPr>
                <w:rFonts w:ascii="Arial" w:cs="Arial" w:eastAsia="Arial" w:hAnsi="Arial"/>
                <w:sz w:val="18"/>
                <w:szCs w:val="18"/>
                <w:color w:val="auto"/>
              </w:rPr>
              <w:t>As of December 2025, principal maturities of our Notes were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62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2029 Notes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2031 Notes</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Total</w:t>
            </w:r>
          </w:p>
        </w:tc>
      </w:tr>
      <w:tr>
        <w:trPr>
          <w:trHeight w:val="24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2026 - 2028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57"/>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 and thereafter</w:t>
            </w:r>
          </w:p>
        </w:tc>
        <w:tc>
          <w:tcPr>
            <w:tcW w:w="2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3"/>
        </w:trPr>
        <w:tc>
          <w:tcPr>
            <w:tcW w:w="6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r>
      <w:tr>
        <w:trPr>
          <w:trHeight w:val="21"/>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2025 and June 2025, the components of leases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December</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61"/>
        </w:trPr>
        <w:tc>
          <w:tcPr>
            <w:tcW w:w="80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2025</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gridSpan w:val="2"/>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6"/>
              </w:rPr>
              <w:t>45.2</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ind w:left="20"/>
              <w:spacing w:after="0"/>
              <w:rPr>
                <w:sz w:val="20"/>
                <w:szCs w:val="20"/>
                <w:color w:val="auto"/>
              </w:rPr>
            </w:pPr>
            <w:r>
              <w:rPr>
                <w:rFonts w:ascii="Arial" w:cs="Arial" w:eastAsia="Arial" w:hAnsi="Arial"/>
                <w:sz w:val="18"/>
                <w:szCs w:val="18"/>
                <w:color w:val="auto"/>
              </w:rPr>
              <w:t>Operating lease liabilities</w:t>
            </w: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020" w:type="dxa"/>
            <w:vAlign w:val="bottom"/>
            <w:vMerge w:val="continue"/>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9"/>
                <w:szCs w:val="19"/>
                <w:color w:val="auto"/>
              </w:rPr>
            </w:pP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530"/>
              <w:spacing w:after="0"/>
              <w:rPr>
                <w:sz w:val="20"/>
                <w:szCs w:val="20"/>
                <w:color w:val="auto"/>
              </w:rPr>
            </w:pPr>
            <w:r>
              <w:rPr>
                <w:rFonts w:ascii="Arial" w:cs="Arial" w:eastAsia="Arial" w:hAnsi="Arial"/>
                <w:sz w:val="18"/>
                <w:szCs w:val="18"/>
                <w:color w:val="auto"/>
                <w:w w:val="96"/>
              </w:rPr>
              <w:t>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long-term</w:t>
            </w:r>
          </w:p>
        </w:tc>
        <w:tc>
          <w:tcPr>
            <w:tcW w:w="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6"/>
              </w:rPr>
              <w:t>35.8</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0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22"/>
                <w:szCs w:val="22"/>
                <w:color w:val="auto"/>
              </w:rPr>
            </w:pP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530"/>
              <w:spacing w:after="0"/>
              <w:rPr>
                <w:sz w:val="20"/>
                <w:szCs w:val="20"/>
                <w:color w:val="auto"/>
              </w:rPr>
            </w:pPr>
            <w:r>
              <w:rPr>
                <w:rFonts w:ascii="Arial" w:cs="Arial" w:eastAsia="Arial" w:hAnsi="Arial"/>
                <w:sz w:val="18"/>
                <w:szCs w:val="18"/>
                <w:color w:val="auto"/>
                <w:w w:val="96"/>
              </w:rPr>
              <w:t>48.1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80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7"/>
          </w:tcPr>
          <w:p>
            <w:pPr>
              <w:ind w:left="5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61"/>
        </w:trPr>
        <w:tc>
          <w:tcPr>
            <w:tcW w:w="80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December</w:t>
            </w:r>
          </w:p>
        </w:tc>
        <w:tc>
          <w:tcPr>
            <w:tcW w:w="10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included in operating cash flows</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5"/>
              </w:rPr>
              <w:t>6.8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020" w:type="dxa"/>
            <w:vAlign w:val="bottom"/>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550"/>
              <w:spacing w:after="0"/>
              <w:rPr>
                <w:sz w:val="20"/>
                <w:szCs w:val="20"/>
                <w:color w:val="auto"/>
              </w:rPr>
            </w:pPr>
            <w:r>
              <w:rPr>
                <w:rFonts w:ascii="Arial" w:cs="Arial" w:eastAsia="Arial" w:hAnsi="Arial"/>
                <w:sz w:val="18"/>
                <w:szCs w:val="18"/>
                <w:color w:val="auto"/>
                <w:w w:val="95"/>
              </w:rPr>
              <w:t>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2025, the weighted average remaining lease term was 5.50 years, and the weighted average discount rate was 5.19%.</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December 2025 and December 2024, we recorded operating lease expense of $3.3 million and $3.2 million, respectively. For the six months ended December 2025 and December 2024, we recorded operating lease expense of $6.4 million in each period. Our short-term leases are immaterial, and we do not have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74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740" w:type="dxa"/>
            <w:vAlign w:val="bottom"/>
            <w:gridSpan w:val="2"/>
          </w:tcPr>
          <w:p>
            <w:pPr>
              <w:jc w:val="center"/>
              <w:ind w:left="1430"/>
              <w:spacing w:after="0"/>
              <w:rPr>
                <w:sz w:val="20"/>
                <w:szCs w:val="20"/>
                <w:color w:val="auto"/>
              </w:rPr>
            </w:pPr>
            <w:r>
              <w:rPr>
                <w:rFonts w:ascii="Arial" w:cs="Arial" w:eastAsia="Arial" w:hAnsi="Arial"/>
                <w:sz w:val="18"/>
                <w:szCs w:val="18"/>
                <w:color w:val="auto"/>
                <w:w w:val="99"/>
              </w:rPr>
              <w:t>(all tabular amounts in millions, except per share amounts)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9"/>
        </w:trPr>
        <w:tc>
          <w:tcPr>
            <w:tcW w:w="9740" w:type="dxa"/>
            <w:vAlign w:val="bottom"/>
            <w:gridSpan w:val="2"/>
          </w:tcPr>
          <w:p>
            <w:pPr>
              <w:jc w:val="center"/>
              <w:ind w:left="141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67"/>
        </w:trPr>
        <w:tc>
          <w:tcPr>
            <w:tcW w:w="9740" w:type="dxa"/>
            <w:vAlign w:val="bottom"/>
            <w:gridSpan w:val="2"/>
          </w:tcPr>
          <w:p>
            <w:pPr>
              <w:spacing w:after="0"/>
              <w:rPr>
                <w:sz w:val="20"/>
                <w:szCs w:val="20"/>
                <w:color w:val="auto"/>
              </w:rPr>
            </w:pPr>
            <w:r>
              <w:rPr>
                <w:rFonts w:ascii="Arial" w:cs="Arial" w:eastAsia="Arial" w:hAnsi="Arial"/>
                <w:sz w:val="18"/>
                <w:szCs w:val="18"/>
                <w:color w:val="auto"/>
              </w:rPr>
              <w:t>Future minimum lease payments for the operating lease liabilities were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2"/>
        </w:trPr>
        <w:tc>
          <w:tcPr>
            <w:tcW w:w="9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color w:val="auto"/>
                <w:w w:val="98"/>
              </w:rPr>
              <w:t>Operating</w:t>
            </w:r>
          </w:p>
        </w:tc>
      </w:tr>
      <w:tr>
        <w:trPr>
          <w:trHeight w:val="203"/>
        </w:trPr>
        <w:tc>
          <w:tcPr>
            <w:tcW w:w="9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color w:val="auto"/>
              </w:rPr>
              <w:t>Lease</w:t>
            </w:r>
          </w:p>
        </w:tc>
      </w:tr>
      <w:tr>
        <w:trPr>
          <w:trHeight w:val="257"/>
        </w:trPr>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Payments</w:t>
            </w:r>
          </w:p>
        </w:tc>
      </w:tr>
      <w:tr>
        <w:trPr>
          <w:trHeight w:val="255"/>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52"/>
        </w:trPr>
        <w:tc>
          <w:tcPr>
            <w:tcW w:w="964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6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2"/>
        </w:trPr>
        <w:tc>
          <w:tcPr>
            <w:tcW w:w="964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61"/>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2"/>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55"/>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52"/>
        </w:trPr>
        <w:tc>
          <w:tcPr>
            <w:tcW w:w="9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80"/>
        </w:trPr>
        <w:tc>
          <w:tcPr>
            <w:tcW w:w="9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-1525270</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Indemnifications and Contingencies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2025, we had commitments of $29.0 million for purchase obligations which include payments for the acquisition of inventories, other goods or services of either a fixed or minimum quantity and obligations for future payments related to software, technology and IP license agreements. Total future unconditional purchase commitments in future fiscal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68580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52"/>
        </w:trPr>
        <w:tc>
          <w:tcPr>
            <w:tcW w:w="962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5"/>
        </w:trPr>
        <w:tc>
          <w:tcPr>
            <w:tcW w:w="97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9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$42.9 million. As of December 2025, we were unable to make a reasonably reliable estimate of when cash settlement with a taxing authority may occur in connection with our gross unrecognized tax benefits.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 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 We accrue for liabilities arising from indemnifications when it is both probable that we will incur the loss and we can reasonably estimate the amount of the loss or range of loss.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146050</wp:posOffset>
            </wp:positionV>
            <wp:extent cx="1191260" cy="299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subject to various claims and legal proceedings, either asserted or unasserted, that arise in the ordinary course of business. We accrue for loss contingencies when it is both probable that we will incur the loss and we can reasonably estimate the amount of the loss or range of loss.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Common Stock Share-Based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Board-approved stock repurchase program authorizing repurchases of up to $150.0 million of our common stock. This program does not have an expiration date; however, we will periodically review the authorization to assess its continued appropriateness in light of our capital allocation priorities and market conditions. The number of shares repurchased and the timing of repurchases depend on the level of our cash balances, general business and market conditions and other factors, including alternative investment opportunities.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and six months ended December 2025, we repurchased $ 36.4 million and $ 43.6 million of our common stock, respectively, and $106.4 million remains available for future stock repurchases under the stock repurchase program.</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recognized in our condensed consolidated statements of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p>
        </w:tc>
        <w:tc>
          <w:tcPr>
            <w:tcW w:w="2580" w:type="dxa"/>
            <w:vAlign w:val="bottom"/>
            <w:gridSpan w:val="4"/>
          </w:tcPr>
          <w:p>
            <w:pPr>
              <w:jc w:val="right"/>
              <w:ind w:right="11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590"/>
              <w:spacing w:after="0"/>
              <w:rPr>
                <w:sz w:val="20"/>
                <w:szCs w:val="20"/>
                <w:color w:val="auto"/>
              </w:rPr>
            </w:pPr>
            <w:r>
              <w:rPr>
                <w:rFonts w:ascii="Arial" w:cs="Arial" w:eastAsia="Arial" w:hAnsi="Arial"/>
                <w:sz w:val="18"/>
                <w:szCs w:val="18"/>
                <w:color w:val="auto"/>
              </w:rPr>
              <w:t>Six Months Ended</w:t>
            </w:r>
          </w:p>
        </w:tc>
      </w:tr>
      <w:tr>
        <w:trPr>
          <w:trHeight w:val="261"/>
        </w:trPr>
        <w:tc>
          <w:tcPr>
            <w:tcW w:w="52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December</w:t>
            </w:r>
          </w:p>
        </w:tc>
        <w:tc>
          <w:tcPr>
            <w:tcW w:w="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940" w:type="dxa"/>
            <w:vAlign w:val="bottom"/>
            <w:tcBorders>
              <w:bottom w:val="single" w:sz="8" w:color="auto"/>
            </w:tcBorders>
          </w:tcPr>
          <w:p>
            <w:pPr>
              <w:spacing w:after="0"/>
              <w:rPr>
                <w:sz w:val="22"/>
                <w:szCs w:val="22"/>
                <w:color w:val="auto"/>
              </w:rPr>
            </w:pPr>
          </w:p>
        </w:tc>
      </w:tr>
      <w:tr>
        <w:trPr>
          <w:trHeight w:val="250"/>
        </w:trPr>
        <w:tc>
          <w:tcPr>
            <w:tcW w:w="52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2024</w:t>
            </w:r>
          </w:p>
        </w:tc>
      </w:tr>
      <w:tr>
        <w:trPr>
          <w:trHeight w:val="25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52"/>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r>
      <w:tr>
        <w:trPr>
          <w:trHeight w:val="255"/>
        </w:trPr>
        <w:tc>
          <w:tcPr>
            <w:tcW w:w="5240" w:type="dxa"/>
            <w:vAlign w:val="bottom"/>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5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RSUs granted generally vest ratably over two to three years from the vesting commencement date. RSU activity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Weighted-</w:t>
            </w:r>
          </w:p>
        </w:tc>
      </w:tr>
      <w:tr>
        <w:trPr>
          <w:trHeight w:val="230"/>
        </w:trPr>
        <w:tc>
          <w:tcPr>
            <w:tcW w:w="8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RSU</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Average Grant</w:t>
            </w:r>
          </w:p>
        </w:tc>
      </w:tr>
      <w:tr>
        <w:trPr>
          <w:trHeight w:val="229"/>
        </w:trPr>
        <w:tc>
          <w:tcPr>
            <w:tcW w:w="8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Awards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7"/>
              </w:rPr>
              <w:t>Date Fair Value</w:t>
            </w:r>
          </w:p>
        </w:tc>
      </w:tr>
      <w:tr>
        <w:trPr>
          <w:trHeight w:val="252"/>
        </w:trPr>
        <w:tc>
          <w:tcPr>
            <w:tcW w:w="81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Outstanding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8"/>
              </w:rPr>
              <w:t>per Share</w:t>
            </w:r>
          </w:p>
        </w:tc>
      </w:tr>
      <w:tr>
        <w:trPr>
          <w:trHeight w:val="23"/>
        </w:trPr>
        <w:tc>
          <w:tcPr>
            <w:tcW w:w="8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2025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52"/>
        </w:trPr>
        <w:tc>
          <w:tcPr>
            <w:tcW w:w="81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61"/>
        </w:trPr>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52"/>
        </w:trPr>
        <w:tc>
          <w:tcPr>
            <w:tcW w:w="8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76.0</w:t>
            </w:r>
          </w:p>
        </w:tc>
      </w:tr>
      <w:tr>
        <w:trPr>
          <w:trHeight w:val="28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unrecognized share-based compensation cost of our outstanding RSUs was approximately $197.4 million as of December 2025, which will be recognized over a weighted average period of approximately 1.86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134620</wp:posOffset>
            </wp:positionV>
            <wp:extent cx="1191260"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 MSU is a promise to deliver shares of our common stock at a future date based on the achievement of market-based performance requirements in accordance with the terms of the MSU grant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MSU activity was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8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Weighted-</w:t>
            </w:r>
          </w:p>
        </w:tc>
      </w:tr>
      <w:tr>
        <w:trPr>
          <w:trHeight w:val="230"/>
        </w:trPr>
        <w:tc>
          <w:tcPr>
            <w:tcW w:w="8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MSU</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Average Grant</w:t>
            </w:r>
          </w:p>
        </w:tc>
      </w:tr>
      <w:tr>
        <w:trPr>
          <w:trHeight w:val="229"/>
        </w:trPr>
        <w:tc>
          <w:tcPr>
            <w:tcW w:w="8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Awards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7"/>
              </w:rPr>
              <w:t>Date Fair Value</w:t>
            </w:r>
          </w:p>
        </w:tc>
      </w:tr>
      <w:tr>
        <w:trPr>
          <w:trHeight w:val="252"/>
        </w:trPr>
        <w:tc>
          <w:tcPr>
            <w:tcW w:w="8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Outstanding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w w:val="98"/>
              </w:rPr>
              <w:t>per Share</w:t>
            </w:r>
          </w:p>
        </w:tc>
      </w:tr>
      <w:tr>
        <w:trPr>
          <w:trHeight w:val="23"/>
        </w:trPr>
        <w:tc>
          <w:tcPr>
            <w:tcW w:w="8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2025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52"/>
        </w:trPr>
        <w:tc>
          <w:tcPr>
            <w:tcW w:w="8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61"/>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Delivered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52"/>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174.9</w:t>
            </w:r>
          </w:p>
        </w:tc>
      </w:tr>
      <w:tr>
        <w:trPr>
          <w:trHeight w:val="280"/>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value MSUs using a Monte Carlo simulation model on the date of grant and amortize the compensation expense over the three-year performance and service period on a ratable basis by tranche. The unrecognized share-based compensation cost of our outstanding MSUs was approximately $16.1 million as of December 2025, which will be recognized over a weighted average period of approximately 1.90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PSU is a promise to deliver shares of our common stock at a future date based on the achievement of performance-based requirements in accordance with the terms of the PSU grant agreement.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gridSpan w:val="2"/>
          </w:tcPr>
          <w:p>
            <w:pPr>
              <w:spacing w:after="0"/>
              <w:rPr>
                <w:sz w:val="20"/>
                <w:szCs w:val="20"/>
                <w:color w:val="auto"/>
              </w:rPr>
            </w:pPr>
            <w:r>
              <w:rPr>
                <w:rFonts w:ascii="Arial" w:cs="Arial" w:eastAsia="Arial" w:hAnsi="Arial"/>
                <w:sz w:val="18"/>
                <w:szCs w:val="18"/>
                <w:color w:val="auto"/>
              </w:rPr>
              <w:t>PSU activity was as follows:</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82"/>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9"/>
              </w:rPr>
              <w:t>Weighted-</w:t>
            </w: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PSU</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Average Grant</w:t>
            </w: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Date Fair Value</w:t>
            </w:r>
          </w:p>
        </w:tc>
      </w:tr>
      <w:tr>
        <w:trPr>
          <w:trHeight w:val="252"/>
        </w:trPr>
        <w:tc>
          <w:tcPr>
            <w:tcW w:w="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rPr>
              <w:t>per Share</w:t>
            </w:r>
          </w:p>
        </w:tc>
      </w:tr>
      <w:tr>
        <w:trPr>
          <w:trHeight w:val="23"/>
        </w:trPr>
        <w:tc>
          <w:tcPr>
            <w:tcW w:w="20" w:type="dxa"/>
            <w:vAlign w:val="bottom"/>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2025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52"/>
        </w:trPr>
        <w:tc>
          <w:tcPr>
            <w:tcW w:w="20" w:type="dxa"/>
            <w:vAlign w:val="bottom"/>
          </w:tcPr>
          <w:p>
            <w:pPr>
              <w:spacing w:after="0"/>
              <w:rPr>
                <w:sz w:val="21"/>
                <w:szCs w:val="21"/>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61"/>
        </w:trPr>
        <w:tc>
          <w:tcPr>
            <w:tcW w:w="20" w:type="dxa"/>
            <w:vAlign w:val="bottom"/>
          </w:tcPr>
          <w:p>
            <w:pPr>
              <w:spacing w:after="0"/>
              <w:rPr>
                <w:sz w:val="22"/>
                <w:szCs w:val="22"/>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Delivered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52"/>
        </w:trPr>
        <w:tc>
          <w:tcPr>
            <w:tcW w:w="20" w:type="dxa"/>
            <w:vAlign w:val="bottom"/>
          </w:tcPr>
          <w:p>
            <w:pPr>
              <w:spacing w:after="0"/>
              <w:rPr>
                <w:sz w:val="21"/>
                <w:szCs w:val="21"/>
                <w:color w:val="auto"/>
              </w:rPr>
            </w:pPr>
          </w:p>
        </w:tc>
        <w:tc>
          <w:tcPr>
            <w:tcW w:w="8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92.7</w:t>
            </w:r>
          </w:p>
        </w:tc>
      </w:tr>
      <w:tr>
        <w:trPr>
          <w:trHeight w:val="280"/>
        </w:trPr>
        <w:tc>
          <w:tcPr>
            <w:tcW w:w="20" w:type="dxa"/>
            <w:vAlign w:val="bottom"/>
          </w:tcPr>
          <w:p>
            <w:pPr>
              <w:spacing w:after="0"/>
              <w:rPr>
                <w:sz w:val="23"/>
                <w:szCs w:val="23"/>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value PSUs using the intrinsic value on the date of grant adjusted for estimated performance achievement during the performance period and amortize the compensation expense over the three-year service period on a ratable basis. The amount of stock-based compensation expense recognized in any period related to PSUs can vary based on the achievement or anticipated achievement of the performance conditions. If the performance conditions are not met, or not expected to be met, no compensation cost would be recognized on the underlying PSUs, and any previously recognized compensation expense related to those PSUs would be reversed. The unrecognized share-based compensation cost of our outstanding PSUs was approximately $14.9 million as of December 2025, which will be recognized over a weighted average period of approximately 1.24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376555</wp:posOffset>
            </wp:positionV>
            <wp:extent cx="119126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during the six months ended December 2025, were as follows: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w:t>
            </w:r>
          </w:p>
        </w:tc>
        <w:tc>
          <w:tcPr>
            <w:tcW w:w="3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2"/>
        </w:trPr>
        <w:tc>
          <w:tcPr>
            <w:tcW w:w="6620" w:type="dxa"/>
            <w:vAlign w:val="bottom"/>
          </w:tcPr>
          <w:p>
            <w:pPr>
              <w:ind w:left="20"/>
              <w:spacing w:after="0"/>
              <w:rPr>
                <w:sz w:val="20"/>
                <w:szCs w:val="20"/>
                <w:color w:val="auto"/>
              </w:rPr>
            </w:pPr>
            <w:r>
              <w:rPr>
                <w:rFonts w:ascii="Arial" w:cs="Arial" w:eastAsia="Arial" w:hAnsi="Arial"/>
                <w:sz w:val="18"/>
                <w:szCs w:val="18"/>
                <w:color w:val="auto"/>
              </w:rPr>
              <w:t>Weighted average purchase price per share</w:t>
            </w:r>
          </w:p>
        </w:tc>
        <w:tc>
          <w:tcPr>
            <w:tcW w:w="3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6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w:t>
            </w:r>
          </w:p>
        </w:tc>
        <w:tc>
          <w:tcPr>
            <w:tcW w:w="3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3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Income Taxes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benefit from income taxes of $2.7 million and $ 4.8 million for the three and six months ended December 2025, respectively, represented estimated federal, foreign, and state income taxes. The effective tax rate for the three and six months ended December 2025 diverged from the combined U.S. federal and state statutory tax rate primarily due to non-deductible share-based compensation and non-deductible officer compensation, partially offset by the benefit of research credits, the benefit from U.S. inclusion of foreign income and foreign income taxed at lower rates.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 tax rate for the three and six months ended December 2024 diverged from the combined U.S. federal and state statutory tax rate primarily due to two one-time events: 1) deferred tax benefit driven by a “check-the-box election” for our Israel subsidiary to be treated as a U.S. disregarded entity for federal income tax purpose, and 2) a tax benefit associated with our fiscal 2018 federal one-time deemed repatriation liability under the U.S. Tax Cuts and Jobs Act, or TCJA, resulting from a recent U.S. Tax Court decision in Varian Medical Systems, Inc. v. Commissioner. The U.S. Tax Court held that a fiscal year taxpayer was entitled to claim a dividend received deduction, or DRD, on certain dividends deemed received during its gap period. The divergence also reflects foreign income taxed at lower rates. These benefits were partially offset by non-deductible share-based compensation and non-deductible officer compensation.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gross unrecognized tax benefits related to uncertain tax positions decreased $1.8 million during the six months ended December 2025, to $42.9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2025 and June 2025 were $4.3 million and $4.2 million, respectively.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major tax jurisdictions are the United States, Hong Kong SAR, Japan, Israel and the United Kingdom. From fiscal 2017 onward, we remain subject to examination by one or more of these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revenue is generated from product shipments to our customers. A summary of our product categories is as follows:</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IoT: Includes products for Wireless and Processor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180340</wp:posOffset>
            </wp:positionV>
            <wp:extent cx="119126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ind w:left="6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Enterprise and Automotive: Includes products for PC Touch Pad, PC Fingerprint, Video Interface Solutions and Automotive Solutions.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Includes products for Touch and Display Solutions for Mobile phone applications.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r>
              <w:rPr>
                <w:rFonts w:ascii="Arial" w:cs="Arial" w:eastAsia="Arial" w:hAnsi="Arial"/>
                <w:sz w:val="18"/>
                <w:szCs w:val="18"/>
                <w:i w:val="1"/>
                <w:iCs w:val="1"/>
                <w:color w:val="auto"/>
              </w:rPr>
              <w:t>Disaggregation of revenue</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5020" w:type="dxa"/>
            <w:vAlign w:val="bottom"/>
          </w:tcPr>
          <w:p>
            <w:pPr>
              <w:spacing w:after="0"/>
              <w:rPr>
                <w:sz w:val="20"/>
                <w:szCs w:val="20"/>
                <w:color w:val="auto"/>
              </w:rPr>
            </w:pPr>
            <w:r>
              <w:rPr>
                <w:rFonts w:ascii="Arial" w:cs="Arial" w:eastAsia="Arial" w:hAnsi="Arial"/>
                <w:sz w:val="18"/>
                <w:szCs w:val="18"/>
                <w:color w:val="auto"/>
              </w:rPr>
              <w:t>Net revenue by product category was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5020" w:type="dxa"/>
            <w:vAlign w:val="bottom"/>
          </w:tcPr>
          <w:p>
            <w:pPr>
              <w:spacing w:after="0"/>
              <w:rPr>
                <w:sz w:val="24"/>
                <w:szCs w:val="24"/>
                <w:color w:val="auto"/>
              </w:rPr>
            </w:pPr>
          </w:p>
        </w:tc>
        <w:tc>
          <w:tcPr>
            <w:tcW w:w="252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710"/>
              <w:spacing w:after="0"/>
              <w:rPr>
                <w:sz w:val="20"/>
                <w:szCs w:val="20"/>
                <w:color w:val="auto"/>
              </w:rPr>
            </w:pPr>
            <w:r>
              <w:rPr>
                <w:rFonts w:ascii="Arial" w:cs="Arial" w:eastAsia="Arial" w:hAnsi="Arial"/>
                <w:sz w:val="18"/>
                <w:szCs w:val="18"/>
                <w:color w:val="auto"/>
              </w:rPr>
              <w:t>Six Months Ended</w:t>
            </w:r>
          </w:p>
        </w:tc>
      </w:tr>
      <w:tr>
        <w:trPr>
          <w:trHeight w:val="261"/>
        </w:trPr>
        <w:tc>
          <w:tcPr>
            <w:tcW w:w="50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December</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December</w:t>
            </w:r>
          </w:p>
        </w:tc>
        <w:tc>
          <w:tcPr>
            <w:tcW w:w="1020" w:type="dxa"/>
            <w:vAlign w:val="bottom"/>
            <w:tcBorders>
              <w:bottom w:val="single" w:sz="8" w:color="auto"/>
            </w:tcBorders>
          </w:tcPr>
          <w:p>
            <w:pPr>
              <w:spacing w:after="0"/>
              <w:rPr>
                <w:sz w:val="22"/>
                <w:szCs w:val="22"/>
                <w:color w:val="auto"/>
              </w:rPr>
            </w:pPr>
          </w:p>
        </w:tc>
      </w:tr>
      <w:tr>
        <w:trPr>
          <w:trHeight w:val="250"/>
        </w:trPr>
        <w:tc>
          <w:tcPr>
            <w:tcW w:w="50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r>
      <w:tr>
        <w:trPr>
          <w:trHeight w:val="255"/>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and Automotive product applications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r>
      <w:tr>
        <w:trPr>
          <w:trHeight w:val="252"/>
        </w:trPr>
        <w:tc>
          <w:tcPr>
            <w:tcW w:w="5020" w:type="dxa"/>
            <w:vAlign w:val="bottom"/>
          </w:tcPr>
          <w:p>
            <w:pPr>
              <w:ind w:left="20"/>
              <w:spacing w:after="0"/>
              <w:rPr>
                <w:sz w:val="20"/>
                <w:szCs w:val="20"/>
                <w:color w:val="auto"/>
              </w:rPr>
            </w:pPr>
            <w:r>
              <w:rPr>
                <w:rFonts w:ascii="Arial" w:cs="Arial" w:eastAsia="Arial" w:hAnsi="Arial"/>
                <w:sz w:val="18"/>
                <w:szCs w:val="18"/>
                <w:color w:val="auto"/>
              </w:rPr>
              <w:t>Core IoT product applications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product applications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50"/>
        </w:trPr>
        <w:tc>
          <w:tcPr>
            <w:tcW w:w="5020" w:type="dxa"/>
            <w:vAlign w:val="bottom"/>
          </w:tcPr>
          <w:p>
            <w:pPr>
              <w:spacing w:after="0"/>
              <w:rPr>
                <w:sz w:val="21"/>
                <w:szCs w:val="21"/>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302.5</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r>
      <w:tr>
        <w:trPr>
          <w:trHeight w:val="25"/>
        </w:trPr>
        <w:tc>
          <w:tcPr>
            <w:tcW w:w="5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geographic region, based on the billing location of our customers, for the periods presented were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710"/>
              <w:spacing w:after="0"/>
              <w:rPr>
                <w:sz w:val="20"/>
                <w:szCs w:val="20"/>
                <w:color w:val="auto"/>
              </w:rPr>
            </w:pPr>
            <w:r>
              <w:rPr>
                <w:rFonts w:ascii="Arial" w:cs="Arial" w:eastAsia="Arial" w:hAnsi="Arial"/>
                <w:sz w:val="18"/>
                <w:szCs w:val="18"/>
                <w:color w:val="auto"/>
              </w:rPr>
              <w:t>Six Months Ended</w:t>
            </w:r>
          </w:p>
        </w:tc>
      </w:tr>
      <w:tr>
        <w:trPr>
          <w:trHeight w:val="261"/>
        </w:trPr>
        <w:tc>
          <w:tcPr>
            <w:tcW w:w="49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December</w:t>
            </w: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w:t>
            </w:r>
          </w:p>
        </w:tc>
        <w:tc>
          <w:tcPr>
            <w:tcW w:w="1040" w:type="dxa"/>
            <w:vAlign w:val="bottom"/>
            <w:tcBorders>
              <w:bottom w:val="single" w:sz="8" w:color="auto"/>
            </w:tcBorders>
          </w:tcPr>
          <w:p>
            <w:pPr>
              <w:spacing w:after="0"/>
              <w:rPr>
                <w:sz w:val="22"/>
                <w:szCs w:val="22"/>
                <w:color w:val="auto"/>
              </w:rPr>
            </w:pPr>
          </w:p>
        </w:tc>
      </w:tr>
      <w:tr>
        <w:trPr>
          <w:trHeight w:val="250"/>
        </w:trPr>
        <w:tc>
          <w:tcPr>
            <w:tcW w:w="49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r>
      <w:tr>
        <w:trPr>
          <w:trHeight w:val="25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China/Hong Kong</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144.1</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52"/>
        </w:trPr>
        <w:tc>
          <w:tcPr>
            <w:tcW w:w="4940" w:type="dxa"/>
            <w:vAlign w:val="bottom"/>
          </w:tcPr>
          <w:p>
            <w:pPr>
              <w:ind w:left="20"/>
              <w:spacing w:after="0"/>
              <w:rPr>
                <w:sz w:val="20"/>
                <w:szCs w:val="20"/>
                <w:color w:val="auto"/>
              </w:rPr>
            </w:pPr>
            <w:r>
              <w:rPr>
                <w:rFonts w:ascii="Arial" w:cs="Arial" w:eastAsia="Arial" w:hAnsi="Arial"/>
                <w:sz w:val="18"/>
                <w:szCs w:val="18"/>
                <w:color w:val="auto"/>
              </w:rPr>
              <w:t>Taiwan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6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52"/>
        </w:trPr>
        <w:tc>
          <w:tcPr>
            <w:tcW w:w="494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61"/>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Korea</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52"/>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75"/>
        </w:trPr>
        <w:tc>
          <w:tcPr>
            <w:tcW w:w="49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302.5</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customer whose revenue represented 10% or more of our total net revenue for the periods presented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120" w:type="dxa"/>
            <w:vAlign w:val="bottom"/>
            <w:gridSpan w:val="5"/>
          </w:tcPr>
          <w:p>
            <w:pPr>
              <w:jc w:val="center"/>
              <w:ind w:right="80"/>
              <w:spacing w:after="0"/>
              <w:rPr>
                <w:sz w:val="20"/>
                <w:szCs w:val="20"/>
                <w:color w:val="auto"/>
              </w:rPr>
            </w:pPr>
            <w:r>
              <w:rPr>
                <w:rFonts w:ascii="Arial" w:cs="Arial" w:eastAsia="Arial" w:hAnsi="Arial"/>
                <w:sz w:val="18"/>
                <w:szCs w:val="18"/>
                <w:color w:val="auto"/>
                <w:w w:val="99"/>
              </w:rPr>
              <w:t>Three Months Ended</w:t>
            </w:r>
          </w:p>
        </w:tc>
        <w:tc>
          <w:tcPr>
            <w:tcW w:w="2820" w:type="dxa"/>
            <w:vAlign w:val="bottom"/>
            <w:gridSpan w:val="4"/>
          </w:tcPr>
          <w:p>
            <w:pPr>
              <w:jc w:val="center"/>
              <w:spacing w:after="0"/>
              <w:rPr>
                <w:sz w:val="20"/>
                <w:szCs w:val="20"/>
                <w:color w:val="auto"/>
              </w:rPr>
            </w:pPr>
            <w:r>
              <w:rPr>
                <w:rFonts w:ascii="Arial" w:cs="Arial" w:eastAsia="Arial" w:hAnsi="Arial"/>
                <w:sz w:val="18"/>
                <w:szCs w:val="18"/>
                <w:color w:val="auto"/>
                <w:w w:val="99"/>
              </w:rPr>
              <w:t>Six Months Ended</w:t>
            </w:r>
          </w:p>
        </w:tc>
      </w:tr>
      <w:tr>
        <w:trPr>
          <w:trHeight w:val="261"/>
        </w:trPr>
        <w:tc>
          <w:tcPr>
            <w:tcW w:w="6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100" w:type="dxa"/>
            <w:vAlign w:val="bottom"/>
            <w:gridSpan w:val="4"/>
          </w:tcPr>
          <w:p>
            <w:pPr>
              <w:jc w:val="center"/>
              <w:ind w:right="1120"/>
              <w:spacing w:after="0"/>
              <w:rPr>
                <w:sz w:val="20"/>
                <w:szCs w:val="20"/>
                <w:color w:val="auto"/>
              </w:rPr>
            </w:pPr>
            <w:r>
              <w:rPr>
                <w:rFonts w:ascii="Arial" w:cs="Arial" w:eastAsia="Arial" w:hAnsi="Arial"/>
                <w:sz w:val="18"/>
                <w:szCs w:val="18"/>
                <w:color w:val="auto"/>
                <w:w w:val="98"/>
              </w:rPr>
              <w:t>December</w:t>
            </w:r>
          </w:p>
        </w:tc>
        <w:tc>
          <w:tcPr>
            <w:tcW w:w="940" w:type="dxa"/>
            <w:vAlign w:val="bottom"/>
          </w:tcPr>
          <w:p>
            <w:pPr>
              <w:spacing w:after="0"/>
              <w:rPr>
                <w:sz w:val="22"/>
                <w:szCs w:val="22"/>
                <w:color w:val="auto"/>
              </w:rPr>
            </w:pPr>
          </w:p>
        </w:tc>
        <w:tc>
          <w:tcPr>
            <w:tcW w:w="1880" w:type="dxa"/>
            <w:vAlign w:val="bottom"/>
            <w:gridSpan w:val="3"/>
          </w:tcPr>
          <w:p>
            <w:pPr>
              <w:jc w:val="center"/>
              <w:ind w:right="830"/>
              <w:spacing w:after="0"/>
              <w:rPr>
                <w:sz w:val="20"/>
                <w:szCs w:val="20"/>
                <w:color w:val="auto"/>
              </w:rPr>
            </w:pPr>
            <w:r>
              <w:rPr>
                <w:rFonts w:ascii="Arial" w:cs="Arial" w:eastAsia="Arial" w:hAnsi="Arial"/>
                <w:sz w:val="18"/>
                <w:szCs w:val="18"/>
                <w:color w:val="auto"/>
              </w:rPr>
              <w:t>December</w:t>
            </w:r>
          </w:p>
        </w:tc>
      </w:tr>
      <w:tr>
        <w:trPr>
          <w:trHeight w:val="250"/>
        </w:trPr>
        <w:tc>
          <w:tcPr>
            <w:tcW w:w="60" w:type="dxa"/>
            <w:vAlign w:val="bottom"/>
          </w:tcPr>
          <w:p>
            <w:pPr>
              <w:spacing w:after="0"/>
              <w:rPr>
                <w:sz w:val="21"/>
                <w:szCs w:val="21"/>
                <w:color w:val="auto"/>
              </w:rPr>
            </w:pPr>
          </w:p>
        </w:tc>
        <w:tc>
          <w:tcPr>
            <w:tcW w:w="51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color w:val="auto"/>
                <w:w w:val="99"/>
              </w:rPr>
              <w:t>2025</w:t>
            </w:r>
          </w:p>
        </w:tc>
        <w:tc>
          <w:tcPr>
            <w:tcW w:w="4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8"/>
                <w:szCs w:val="18"/>
                <w:color w:val="auto"/>
                <w:w w:val="99"/>
              </w:rPr>
              <w:t>2025</w:t>
            </w: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r>
      <w:tr>
        <w:trPr>
          <w:trHeight w:val="255"/>
        </w:trPr>
        <w:tc>
          <w:tcPr>
            <w:tcW w:w="60" w:type="dxa"/>
            <w:vAlign w:val="bottom"/>
          </w:tcPr>
          <w:p>
            <w:pPr>
              <w:spacing w:after="0"/>
              <w:rPr>
                <w:sz w:val="22"/>
                <w:szCs w:val="22"/>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02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9"/>
              </w:rPr>
              <w:t>17%</w:t>
            </w:r>
          </w:p>
        </w:tc>
        <w:tc>
          <w:tcPr>
            <w:tcW w:w="200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9"/>
              </w:rPr>
              <w:t>17%</w:t>
            </w:r>
          </w:p>
        </w:tc>
        <w:tc>
          <w:tcPr>
            <w:tcW w:w="188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w w:val="99"/>
              </w:rPr>
              <w:t>14%</w:t>
            </w:r>
          </w:p>
        </w:tc>
      </w:tr>
      <w:tr>
        <w:trPr>
          <w:trHeight w:val="252"/>
        </w:trPr>
        <w:tc>
          <w:tcPr>
            <w:tcW w:w="6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020" w:type="dxa"/>
            <w:vAlign w:val="bottom"/>
          </w:tcPr>
          <w:p>
            <w:pPr>
              <w:jc w:val="center"/>
              <w:ind w:left="330"/>
              <w:spacing w:after="0"/>
              <w:rPr>
                <w:sz w:val="20"/>
                <w:szCs w:val="20"/>
                <w:color w:val="auto"/>
              </w:rPr>
            </w:pPr>
            <w:r>
              <w:rPr>
                <w:rFonts w:ascii="Arial" w:cs="Arial" w:eastAsia="Arial" w:hAnsi="Arial"/>
                <w:sz w:val="18"/>
                <w:szCs w:val="18"/>
                <w:color w:val="auto"/>
                <w:w w:val="99"/>
              </w:rPr>
              <w:t>14%</w:t>
            </w:r>
          </w:p>
        </w:tc>
        <w:tc>
          <w:tcPr>
            <w:tcW w:w="2000" w:type="dxa"/>
            <w:vAlign w:val="bottom"/>
            <w:gridSpan w:val="3"/>
          </w:tcPr>
          <w:p>
            <w:pPr>
              <w:jc w:val="center"/>
              <w:ind w:left="450"/>
              <w:spacing w:after="0"/>
              <w:rPr>
                <w:sz w:val="20"/>
                <w:szCs w:val="20"/>
                <w:color w:val="auto"/>
              </w:rPr>
            </w:pPr>
            <w:r>
              <w:rPr>
                <w:rFonts w:ascii="Arial" w:cs="Arial" w:eastAsia="Arial" w:hAnsi="Arial"/>
                <w:sz w:val="18"/>
                <w:szCs w:val="18"/>
                <w:color w:val="auto"/>
                <w:w w:val="94"/>
              </w:rPr>
              <w:t>11%</w:t>
            </w:r>
          </w:p>
        </w:tc>
        <w:tc>
          <w:tcPr>
            <w:tcW w:w="100" w:type="dxa"/>
            <w:vAlign w:val="bottom"/>
          </w:tcPr>
          <w:p>
            <w:pPr>
              <w:spacing w:after="0"/>
              <w:rPr>
                <w:sz w:val="21"/>
                <w:szCs w:val="21"/>
                <w:color w:val="auto"/>
              </w:rPr>
            </w:pPr>
          </w:p>
        </w:tc>
        <w:tc>
          <w:tcPr>
            <w:tcW w:w="940" w:type="dxa"/>
            <w:vAlign w:val="bottom"/>
          </w:tcPr>
          <w:p>
            <w:pPr>
              <w:jc w:val="center"/>
              <w:ind w:left="350"/>
              <w:spacing w:after="0"/>
              <w:rPr>
                <w:sz w:val="20"/>
                <w:szCs w:val="20"/>
                <w:color w:val="auto"/>
              </w:rPr>
            </w:pPr>
            <w:r>
              <w:rPr>
                <w:rFonts w:ascii="Arial" w:cs="Arial" w:eastAsia="Arial" w:hAnsi="Arial"/>
                <w:sz w:val="18"/>
                <w:szCs w:val="18"/>
                <w:color w:val="auto"/>
                <w:w w:val="94"/>
              </w:rPr>
              <w:t>11%</w:t>
            </w:r>
          </w:p>
        </w:tc>
        <w:tc>
          <w:tcPr>
            <w:tcW w:w="188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12%</w:t>
            </w:r>
          </w:p>
        </w:tc>
      </w:tr>
      <w:tr>
        <w:trPr>
          <w:trHeight w:val="261"/>
        </w:trPr>
        <w:tc>
          <w:tcPr>
            <w:tcW w:w="60" w:type="dxa"/>
            <w:vAlign w:val="bottom"/>
          </w:tcPr>
          <w:p>
            <w:pPr>
              <w:spacing w:after="0"/>
              <w:rPr>
                <w:sz w:val="22"/>
                <w:szCs w:val="22"/>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02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4"/>
              </w:rPr>
              <w:t>*</w:t>
            </w:r>
          </w:p>
        </w:tc>
        <w:tc>
          <w:tcPr>
            <w:tcW w:w="2000" w:type="dxa"/>
            <w:vAlign w:val="bottom"/>
            <w:gridSpan w:val="3"/>
            <w:shd w:val="clear" w:color="auto" w:fill="CCEEFF"/>
          </w:tcPr>
          <w:p>
            <w:pPr>
              <w:jc w:val="center"/>
              <w:ind w:left="450"/>
              <w:spacing w:after="0"/>
              <w:rPr>
                <w:sz w:val="20"/>
                <w:szCs w:val="20"/>
                <w:color w:val="auto"/>
              </w:rPr>
            </w:pPr>
            <w:r>
              <w:rPr>
                <w:rFonts w:ascii="Arial" w:cs="Arial" w:eastAsia="Arial" w:hAnsi="Arial"/>
                <w:sz w:val="18"/>
                <w:szCs w:val="18"/>
                <w:color w:val="auto"/>
                <w:w w:val="84"/>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9"/>
              </w:rPr>
              <w:t>12%</w:t>
            </w:r>
          </w:p>
        </w:tc>
        <w:tc>
          <w:tcPr>
            <w:tcW w:w="1880" w:type="dxa"/>
            <w:vAlign w:val="bottom"/>
            <w:gridSpan w:val="3"/>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r>
      <w:tr>
        <w:trPr>
          <w:trHeight w:val="292"/>
        </w:trPr>
        <w:tc>
          <w:tcPr>
            <w:tcW w:w="5240" w:type="dxa"/>
            <w:vAlign w:val="bottom"/>
            <w:gridSpan w:val="2"/>
          </w:tcPr>
          <w:p>
            <w:pPr>
              <w:spacing w:after="0"/>
              <w:rPr>
                <w:sz w:val="20"/>
                <w:szCs w:val="20"/>
                <w:color w:val="auto"/>
              </w:rPr>
            </w:pPr>
            <w:r>
              <w:rPr>
                <w:rFonts w:ascii="Arial" w:cs="Arial" w:eastAsia="Arial" w:hAnsi="Arial"/>
                <w:sz w:val="18"/>
                <w:szCs w:val="18"/>
                <w:color w:val="auto"/>
              </w:rPr>
              <w:t>____________________________</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9"/>
        </w:trPr>
        <w:tc>
          <w:tcPr>
            <w:tcW w:w="5240" w:type="dxa"/>
            <w:vAlign w:val="bottom"/>
            <w:gridSpan w:val="2"/>
          </w:tcPr>
          <w:p>
            <w:pPr>
              <w:spacing w:after="0"/>
              <w:rPr>
                <w:sz w:val="20"/>
                <w:szCs w:val="20"/>
                <w:color w:val="auto"/>
              </w:rPr>
            </w:pPr>
            <w:r>
              <w:rPr>
                <w:rFonts w:ascii="Arial" w:cs="Arial" w:eastAsia="Arial" w:hAnsi="Arial"/>
                <w:sz w:val="18"/>
                <w:szCs w:val="18"/>
                <w:color w:val="auto"/>
              </w:rPr>
              <w:t>*   Less than 10%</w:t>
            </w: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-833120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-833120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5" w:lineRule="exact"/>
        <w:rPr>
          <w:sz w:val="20"/>
          <w:szCs w:val="20"/>
          <w:color w:val="auto"/>
        </w:rPr>
      </w:pPr>
    </w:p>
    <w:p>
      <w:pPr>
        <w:ind w:right="1080"/>
        <w:spacing w:after="0" w:line="375" w:lineRule="auto"/>
        <w:rPr>
          <w:sz w:val="20"/>
          <w:szCs w:val="20"/>
          <w:color w:val="auto"/>
        </w:rPr>
      </w:pPr>
      <w:r>
        <w:rPr>
          <w:rFonts w:ascii="Arial" w:cs="Arial" w:eastAsia="Arial" w:hAnsi="Arial"/>
          <w:sz w:val="18"/>
          <w:szCs w:val="18"/>
          <w:color w:val="auto"/>
        </w:rPr>
        <w:t xml:space="preserve">At December 2025 and June 2025, three customers comprised a total of 36% and 45% of our accounts receivable, respectively. </w:t>
      </w:r>
      <w:r>
        <w:rPr>
          <w:rFonts w:ascii="Arial" w:cs="Arial" w:eastAsia="Arial" w:hAnsi="Arial"/>
          <w:sz w:val="18"/>
          <w:szCs w:val="18"/>
          <w:i w:val="1"/>
          <w:iCs w:val="1"/>
          <w:color w:val="auto"/>
        </w:rPr>
        <w:t>Contract Liabilities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liabilities are comprised of deferred revenue and primarily relate to our obligation to transfer goods, services or licenses of our IP to customers for which we have received consideration. Contract liabilities were $7.4 million and $16.2 million as of December 2025 and June 2025, respectively, and are presented as part of customer-related liabilities in accrued liabilities in the accompanying condensed consolidated balance sheets. See “Note 3. Supplemental Financial Statement Information.” During the three months ended December 2025 and December 2024, we recognized $8.6 million and $0.9 million, respectively, in revenue related to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liabilities outstanding as of the beginning of each such fiscal year. During the six months ended December 2025 and December 2024, we recognized $10.1 million and $13.5 million, respectively, in revenue related to contract liabilities, which was outstanding as of the beginning of each fiscal quarter.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Segment and 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operate in one segment — the development, marketing and sale of semiconductor products used in electronic devices and products. This determination is based on the management approach, which designates internal information regularly available to the chief operating decision maker (“CODM”) for making decisions and assessing performance as the source of determination of our reportable segment. Our</w:t>
      </w:r>
    </w:p>
    <w:p>
      <w:pPr>
        <w:jc w:val="both"/>
        <w:spacing w:after="0" w:line="287" w:lineRule="auto"/>
        <w:rPr>
          <w:sz w:val="20"/>
          <w:szCs w:val="20"/>
          <w:color w:val="auto"/>
        </w:rPr>
      </w:pPr>
      <w:r>
        <w:rPr>
          <w:rFonts w:ascii="Arial" w:cs="Arial" w:eastAsia="Arial" w:hAnsi="Arial"/>
          <w:sz w:val="18"/>
          <w:szCs w:val="18"/>
          <w:color w:val="auto"/>
        </w:rPr>
        <w:t>CODM, the Chief Executive Officer, reviews financial information presented on a consolidated basis for the purpose of making operating decisions and assessing financial performance.</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uses consolidated net income (loss), as reported in our consolidated statements of operations, as the measure of profit or loss to allocate resources and assess performance. Financial forecasts and budget-to-actual results used by the CODM to assess performance and allocate resources, as well as those used for strategic decisions related to headcount and capital expenditures, are also reviewed on a consolidated basis. The CODM considers the impact of the significant segment expenses in the tables below when deciding whether to reinvest profits or pursue strategic mergers and acquisitions.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measure of segment assets is reported on the consolidated balance sheet as total assets. The CODM does not review segment assets at a level other than that presented in the accompanying consolidated balance sheets.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segment net income (loss)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61"/>
        </w:trPr>
        <w:tc>
          <w:tcPr>
            <w:tcW w:w="3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December</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rPr>
              <w:t>December</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302.5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52"/>
        </w:trPr>
        <w:tc>
          <w:tcPr>
            <w:tcW w:w="3920" w:type="dxa"/>
            <w:vAlign w:val="bottom"/>
          </w:tcPr>
          <w:p>
            <w:pPr>
              <w:ind w:left="20"/>
              <w:spacing w:after="0"/>
              <w:rPr>
                <w:sz w:val="20"/>
                <w:szCs w:val="20"/>
                <w:color w:val="auto"/>
              </w:rPr>
            </w:pPr>
            <w:r>
              <w:rPr>
                <w:rFonts w:ascii="Arial" w:cs="Arial" w:eastAsia="Arial" w:hAnsi="Arial"/>
                <w:sz w:val="18"/>
                <w:szCs w:val="18"/>
                <w:color w:val="auto"/>
              </w:rPr>
              <w:t>Adjusted cost of revenue (1)</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140.4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75"/>
        </w:trPr>
        <w:tc>
          <w:tcPr>
            <w:tcW w:w="39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920" w:type="dxa"/>
            <w:vAlign w:val="bottom"/>
          </w:tcPr>
          <w:p>
            <w:pPr>
              <w:ind w:left="20"/>
              <w:spacing w:after="0"/>
              <w:rPr>
                <w:sz w:val="20"/>
                <w:szCs w:val="20"/>
                <w:color w:val="auto"/>
              </w:rPr>
            </w:pPr>
            <w:r>
              <w:rPr>
                <w:rFonts w:ascii="Arial" w:cs="Arial" w:eastAsia="Arial" w:hAnsi="Arial"/>
                <w:sz w:val="18"/>
                <w:szCs w:val="18"/>
                <w:color w:val="auto"/>
              </w:rPr>
              <w:t>Adjusted operating expenses (2)</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104.2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6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52"/>
        </w:trPr>
        <w:tc>
          <w:tcPr>
            <w:tcW w:w="392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6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2"/>
        </w:trPr>
        <w:tc>
          <w:tcPr>
            <w:tcW w:w="39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6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expenses (3)</w:t>
            </w:r>
          </w:p>
        </w:tc>
        <w:tc>
          <w:tcPr>
            <w:tcW w:w="8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Segment net income (loss)</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8"/>
        </w:trPr>
        <w:tc>
          <w:tcPr>
            <w:tcW w:w="39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-2673985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(all tabular amounts in millions, except per share amounts)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 Adjusted cost of revenue is cost of revenue adjusted for intangible asset amortization and stock-based compensation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30"/>
              <w:spacing w:after="0"/>
              <w:rPr>
                <w:sz w:val="20"/>
                <w:szCs w:val="20"/>
                <w:color w:val="auto"/>
              </w:rPr>
            </w:pPr>
            <w:r>
              <w:rPr>
                <w:rFonts w:ascii="Arial" w:cs="Arial" w:eastAsia="Arial" w:hAnsi="Arial"/>
                <w:sz w:val="18"/>
                <w:szCs w:val="18"/>
                <w:color w:val="auto"/>
              </w:rPr>
              <w:t>Six Months Ended</w:t>
            </w:r>
          </w:p>
        </w:tc>
      </w:tr>
      <w:tr>
        <w:trPr>
          <w:trHeight w:val="261"/>
        </w:trPr>
        <w:tc>
          <w:tcPr>
            <w:tcW w:w="48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December</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rPr>
              <w:t>December</w:t>
            </w:r>
          </w:p>
        </w:tc>
        <w:tc>
          <w:tcPr>
            <w:tcW w:w="1140" w:type="dxa"/>
            <w:vAlign w:val="bottom"/>
            <w:tcBorders>
              <w:bottom w:val="single" w:sz="8" w:color="auto"/>
            </w:tcBorders>
          </w:tcPr>
          <w:p>
            <w:pPr>
              <w:spacing w:after="0"/>
              <w:rPr>
                <w:sz w:val="22"/>
                <w:szCs w:val="22"/>
                <w:color w:val="auto"/>
              </w:rPr>
            </w:pPr>
          </w:p>
        </w:tc>
      </w:tr>
      <w:tr>
        <w:trPr>
          <w:trHeight w:val="250"/>
        </w:trPr>
        <w:tc>
          <w:tcPr>
            <w:tcW w:w="48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r>
      <w:tr>
        <w:trPr>
          <w:trHeight w:val="25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52"/>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8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cost of revenue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-864870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-864870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0" w:lineRule="exact"/>
        <w:rPr>
          <w:sz w:val="20"/>
          <w:szCs w:val="20"/>
          <w:color w:val="auto"/>
        </w:rPr>
      </w:pPr>
    </w:p>
    <w:p>
      <w:pPr>
        <w:ind w:firstLine="8"/>
        <w:spacing w:after="0" w:line="287" w:lineRule="auto"/>
        <w:tabs>
          <w:tab w:leader="none" w:pos="28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expenses is operating expenses comprised of research and development and general and administrative expenses adjusted for stock-based compensation, intangible asset amortization, restructuring and impairment related charges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30"/>
              <w:spacing w:after="0"/>
              <w:rPr>
                <w:sz w:val="20"/>
                <w:szCs w:val="20"/>
                <w:color w:val="auto"/>
              </w:rPr>
            </w:pPr>
            <w:r>
              <w:rPr>
                <w:rFonts w:ascii="Arial" w:cs="Arial" w:eastAsia="Arial" w:hAnsi="Arial"/>
                <w:sz w:val="18"/>
                <w:szCs w:val="18"/>
                <w:color w:val="auto"/>
              </w:rPr>
              <w:t>Six Months Ended</w:t>
            </w:r>
          </w:p>
        </w:tc>
      </w:tr>
      <w:tr>
        <w:trPr>
          <w:trHeight w:val="261"/>
        </w:trPr>
        <w:tc>
          <w:tcPr>
            <w:tcW w:w="48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December</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rPr>
              <w:t>December</w:t>
            </w:r>
          </w:p>
        </w:tc>
        <w:tc>
          <w:tcPr>
            <w:tcW w:w="1140" w:type="dxa"/>
            <w:vAlign w:val="bottom"/>
            <w:tcBorders>
              <w:bottom w:val="single" w:sz="8" w:color="auto"/>
            </w:tcBorders>
          </w:tcPr>
          <w:p>
            <w:pPr>
              <w:spacing w:after="0"/>
              <w:rPr>
                <w:sz w:val="22"/>
                <w:szCs w:val="22"/>
                <w:color w:val="auto"/>
              </w:rPr>
            </w:pPr>
          </w:p>
        </w:tc>
      </w:tr>
      <w:tr>
        <w:trPr>
          <w:trHeight w:val="250"/>
        </w:trPr>
        <w:tc>
          <w:tcPr>
            <w:tcW w:w="48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r>
      <w:tr>
        <w:trPr>
          <w:trHeight w:val="25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r>
      <w:tr>
        <w:trPr>
          <w:trHeight w:val="252"/>
        </w:trPr>
        <w:tc>
          <w:tcPr>
            <w:tcW w:w="4800" w:type="dxa"/>
            <w:vAlign w:val="bottom"/>
          </w:tcPr>
          <w:p>
            <w:pPr>
              <w:ind w:left="20"/>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57"/>
        </w:trPr>
        <w:tc>
          <w:tcPr>
            <w:tcW w:w="48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52"/>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8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-1190625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-1190625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firstLine="8"/>
        <w:spacing w:after="0" w:line="287" w:lineRule="auto"/>
        <w:tabs>
          <w:tab w:leader="none" w:pos="302"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segment expenses primarily include restructuring charges, legal and vendor related charges and settlements, acquisition and integration related costs, amortization of debt issuance costs and loss on early extinguishment of debt.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Restructuring Activities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continuously evaluate our operations to reduce costs and increase profitability, increase operational efficiencies and gain synergies from our previous acquisitions and align our business in response to market conditions.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restructuring costs as presented in our condensed consolidated statements of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40" w:type="dxa"/>
            <w:vAlign w:val="bottom"/>
            <w:gridSpan w:val="4"/>
          </w:tcPr>
          <w:p>
            <w:pPr>
              <w:jc w:val="right"/>
              <w:ind w:right="17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center"/>
              <w:ind w:right="2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December</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rPr>
              <w:t>December</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2025</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5"/>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and related costs</w:t>
            </w:r>
          </w:p>
        </w:tc>
        <w:tc>
          <w:tcPr>
            <w:tcW w:w="19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2"/>
        </w:trPr>
        <w:tc>
          <w:tcPr>
            <w:tcW w:w="3860" w:type="dxa"/>
            <w:vAlign w:val="bottom"/>
          </w:tcPr>
          <w:p>
            <w:pPr>
              <w:ind w:left="20"/>
              <w:spacing w:after="0"/>
              <w:rPr>
                <w:sz w:val="20"/>
                <w:szCs w:val="20"/>
                <w:color w:val="auto"/>
              </w:rPr>
            </w:pPr>
            <w:r>
              <w:rPr>
                <w:rFonts w:ascii="Arial" w:cs="Arial" w:eastAsia="Arial" w:hAnsi="Arial"/>
                <w:sz w:val="18"/>
                <w:szCs w:val="18"/>
                <w:color w:val="auto"/>
              </w:rPr>
              <w:t>Lease termination costs (1)</w:t>
            </w: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38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38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191260" cy="2997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91260" cy="2997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74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740" w:type="dxa"/>
            <w:vAlign w:val="bottom"/>
          </w:tcPr>
          <w:p>
            <w:pPr>
              <w:jc w:val="center"/>
              <w:ind w:left="1430"/>
              <w:spacing w:after="0"/>
              <w:rPr>
                <w:sz w:val="20"/>
                <w:szCs w:val="20"/>
                <w:color w:val="auto"/>
              </w:rPr>
            </w:pPr>
            <w:r>
              <w:rPr>
                <w:rFonts w:ascii="Arial" w:cs="Arial" w:eastAsia="Arial" w:hAnsi="Arial"/>
                <w:sz w:val="18"/>
                <w:szCs w:val="18"/>
                <w:color w:val="auto"/>
                <w:w w:val="99"/>
              </w:rPr>
              <w:t>(all tabular amounts in millions, except per share amounts)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9740" w:type="dxa"/>
            <w:vAlign w:val="bottom"/>
          </w:tcPr>
          <w:p>
            <w:pPr>
              <w:jc w:val="center"/>
              <w:ind w:left="141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67"/>
        </w:trPr>
        <w:tc>
          <w:tcPr>
            <w:tcW w:w="9740" w:type="dxa"/>
            <w:vAlign w:val="bottom"/>
          </w:tcPr>
          <w:p>
            <w:pPr>
              <w:spacing w:after="0"/>
              <w:rPr>
                <w:sz w:val="20"/>
                <w:szCs w:val="20"/>
                <w:color w:val="auto"/>
              </w:rPr>
            </w:pPr>
            <w:r>
              <w:rPr>
                <w:rFonts w:ascii="Arial" w:cs="Arial" w:eastAsia="Arial" w:hAnsi="Arial"/>
                <w:sz w:val="18"/>
                <w:szCs w:val="18"/>
                <w:color w:val="auto"/>
              </w:rPr>
              <w:t>The following table presents the beginning and ending restructuring liability balances for each restructuring action: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2"/>
        </w:trPr>
        <w:tc>
          <w:tcPr>
            <w:tcW w:w="9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Fiscal 2026</w:t>
            </w:r>
          </w:p>
        </w:tc>
      </w:tr>
      <w:tr>
        <w:trPr>
          <w:trHeight w:val="244"/>
        </w:trPr>
        <w:tc>
          <w:tcPr>
            <w:tcW w:w="9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Restructuring</w:t>
            </w:r>
          </w:p>
        </w:tc>
      </w:tr>
      <w:tr>
        <w:trPr>
          <w:trHeight w:val="261"/>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9740" w:type="dxa"/>
            <w:vAlign w:val="bottom"/>
          </w:tcPr>
          <w:p>
            <w:pPr>
              <w:ind w:left="6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5"/>
        </w:trPr>
        <w:tc>
          <w:tcPr>
            <w:tcW w:w="9740" w:type="dxa"/>
            <w:vAlign w:val="bottom"/>
          </w:tcPr>
          <w:p>
            <w:pPr>
              <w:ind w:left="20"/>
              <w:spacing w:after="0"/>
              <w:rPr>
                <w:sz w:val="20"/>
                <w:szCs w:val="20"/>
                <w:color w:val="auto"/>
              </w:rPr>
            </w:pPr>
            <w:r>
              <w:rPr>
                <w:rFonts w:ascii="Arial" w:cs="Arial" w:eastAsia="Arial" w:hAnsi="Arial"/>
                <w:sz w:val="18"/>
                <w:szCs w:val="18"/>
                <w:color w:val="auto"/>
              </w:rPr>
              <w:t>Balance, December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firstLine="8"/>
        <w:spacing w:after="0" w:line="287" w:lineRule="auto"/>
        <w:tabs>
          <w:tab w:leader="none" w:pos="293"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Lease termination costs of $0.8 million were recorded directly to the condensed consolidated statements of operations during the six months ended December 2025 and were not included in the restructuring liability balance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2026 Restructuring Plan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restructuring plan was initiated during the first quarter of fiscal 2026 (“Fiscal 2026 Restructuring Plan”) to streamline and optimize resources and to reduce operating costs. Restructuring charges under this plan are mainly comprised of severance and one-time termination benefits. We completed all actions under this restructuring plan in the second quarter of fiscal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2025 Restructuring Plan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restructuring plan was initiated during the first quarter of fiscal 2025 (“Fiscal 2025 Restructuring Plan”) primarily intended to focus on key growth initiatives, reduce costs and align our business in response to market conditions. Restructuring charges were mainly comprised of severance and one-time termination benefits and lease termination costs. As of the first quarter of fiscal 2026, all actions under the Fiscal 2025 Restructuring have been completed.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848995</wp:posOffset>
            </wp:positionV>
            <wp:extent cx="1191260"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300"/>
        <w:spacing w:after="0" w:line="3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on Form 10-Q for the quarter ended December 27, 2025 (this “Report”) contains forward-looking statements that are subject to the safe harbors created under the Securities Act of 1933, as amended, or the Securities Act, and the Securities Exchange Act of 1934, as amended, or the Exchange Act. Forward-looking statements give our current expectations and projections relating to our financial condition, results of operations, plans, objectives, future performance and business, can be identified by the fact that they do not relate strictly to historical or current facts. Such forward-looking statements may include words such as “expect,” “anticipate,” “intend,” “believe,” “estimate,” “plan,” “target,” “strategy,” “continue,” “may,” "commit," “will,” “should,” variations of such words, or other words and terms of similar meaning.</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forward-looking statements reflect our best judgment as of the date of this Report and are based on assumptions and several factors relating to our operations and business environment, all of which are difficult to predict and many of which are beyond our control. Such factors include, but are not limited to, the following: macroeconomic uncertainties in the U.S. and globally, including those arising from trade tensions, tariffs, inflation, and market volatility, which may adversely affect customer demand for our products, purchasing behavior, and the timing of orders; variability in demand across our target end markets; constraints or imbalances in the availability of certain component parts, including the current industry-wide tightness in memory chips that are used in combination with our products, as well as associated cost increases (to us and our customers), which may affect customer development timelines, production schedules, purchasing behavior, booking patterns, and the timing or visibility of orders for our solutions; risks related to our continued dependence on our solutions for the Core IoT and Enterprise and Automotive product applications market for a substantial portion of our revenue; risks related to the volatility of our net revenue from our solutions for Core IoT and Enterprise and Automotive product applications, including competition from new or established IoT and wireless service companies or from those with greater resources; our dependence on and/or loss of one or more large customers for a substantial portion of our revenue, and the loss of commitments from, contracts with, or a significant reduction in orders from, one or more of our major customers could have a material adverse effect on our revenue and operating results;and our exposure to industry downturns and cyclicality in our target markets.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 factors include risks related to the success and timing of new product solutions for existing or new markets; our ability to successfully execute on our strategy to develop integrated solutions including audio, touch, and vision interfaces with embedded processing and wireless connectivity for customer adoption; risks related to our expectations regarding technology and strategic investments and the anticipated timing or benefits thereof; historical and continued decreases in our average selling prices due to changes in our product sales mix and decreased revenue from our mobile product applications; our ability to attract and retain key talent necessary to drive our strategic initiatives, including our Edge AI strategies, in a highly competitive industry; our ability to execute on our cost reduction initiatives and to achieve anticipated synergies and expense reductions; our ability to maintain and build relationships with our customers; our dependence on and/or interruption or loss of, a limited number of suppliers and subcontractors, including suppliers’ manufacturing capacity constraints, the ability of these third parties to maintain satisfactory manufacturing yields and delivery schedules; the risk that our indemnification obligations for third-party claims could result in substantial costs; risks and uncertainty related to regional instabilities and hostilities, economic volatility, and regulatory changes, any of which could disrupt our supply chain, elevate our costs, and undermine the competitiveness of our offerings, requiring operational adjustments, such as reductions in force, or otherwise adversely affecting our financial condition and operating results; changes in export restrictions and laws affecting the Company’s trade and investments; and the other risks as identified in the “Risk Factors,” “Management’s Discussion and Analysis of Financial Condition and Results of Operations” and “Business” sections of our Annual Report on Form 10-K for the fiscal year ended June 28, 2025,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except as required by law.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312420</wp:posOffset>
            </wp:positionV>
            <wp:extent cx="1191260"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We develop solutions that integrate the audio, touch and vision interfaces with embedded processing capabilities that are paired with wireless connectivity. We believe our results to date reflect the combination of our customer focus and the strength of our intellectual property and our engineering know-how, which allow us to develop or engineer products and solutions that meet the demanding design specifications of our OEMs.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 in the second quarter of fiscal 2026 was $302.5 million and was 13.2% higher than net revenue compared to the same period a year ago. This was primarily due to an increase in net revenue in our Core IoT product applications, which increased 52.5% compared to the same period a year ago, primarily driven by an increase in units sold and an increase in average selling prices due to our product sales mix, inclusive of the contribution from the Broadcom transaction.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margin for the three months ended December 2025 and December 2024 was 43.5% and 45.7%, respectively. The decrease in gross margin was primarily due to an increase in amortization of acquired intangible assets primarily from the developed technologies we acquired from Broadcom during fiscal 2025, partially offset by an increase in revenue from the licensing of certain of our IP.</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2025, our aggregate cash and cash equivalents and short-term investments of $437.4 million decreased by $15.1 million compared to June 2025. During the three months ended December 2025, we generated $29.8 million of cash from operating activities, and we returned $36.4 million to stockholders through the repurchase of common stock under our stock repurchase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Conditions and Regulations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majority of our sales and manufacturing occurs outside of the U.S., we are exposed to and impacted by global macroeconomic factors, U.S. and foreign government policies and foreign exchange fluctuations. We continue to monitor changes in international trade policies, particularly increased tariffs and other barriers or restrictions between the United States and other countries, including China. Our current operations suggest limited direct tariff exposure given our current import and export practices. However, some of our customers and suppliers may be impacted by evolving tariff regimes depending on their own supply chain strategies and sourcing locations. We continue to monitor for any potential customer and supplier impacts, ranging from supply chain realignments to changes in end demand. While the broader implications of these activities remain uncertain, based on our current lead times and order activity, we are not seeing unusual activity that would suggest material changes in the timing of orders from our customers due to tariffs that would be likely to impact our near-term financial performance. We will continue to assess the short- and long-term effects of these international trade policies and restrictions on our financial and operational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constrained availability and pricing dynamics for certain memory components across the broader electronics supply chain have, at times, influenced the timing of orders for certain products, particularly for smaller customers. This condition did not have a material impact on our results for the quarter; however, given limited visibility into future availability and timing, as well as increased associated costs, they may affect customer development timelines, production schedules, booking patterns, and the timing or visibility of orders in future periods. We continue to monitor these conditions and their potential impact on customer demand and ordering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of the data used in our condensed consolidated statements of operations for the periods indicated, together with comparative absolute and percentage changes in these amounts,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gridSpan w:val="10"/>
          </w:tcPr>
          <w:p>
            <w:pPr>
              <w:ind w:left="480"/>
              <w:spacing w:after="0"/>
              <w:rPr>
                <w:sz w:val="20"/>
                <w:szCs w:val="20"/>
                <w:color w:val="auto"/>
              </w:rPr>
            </w:pPr>
            <w:r>
              <w:rPr>
                <w:rFonts w:ascii="Arial" w:cs="Arial" w:eastAsia="Arial" w:hAnsi="Arial"/>
                <w:sz w:val="18"/>
                <w:szCs w:val="18"/>
                <w:b w:val="1"/>
                <w:bCs w:val="1"/>
                <w:color w:val="auto"/>
              </w:rPr>
              <w:t>Three Months Ended December</w:t>
            </w:r>
          </w:p>
        </w:tc>
        <w:tc>
          <w:tcPr>
            <w:tcW w:w="220" w:type="dxa"/>
            <w:vAlign w:val="bottom"/>
          </w:tcPr>
          <w:p>
            <w:pPr>
              <w:spacing w:after="0"/>
              <w:rPr>
                <w:sz w:val="20"/>
                <w:szCs w:val="20"/>
                <w:color w:val="auto"/>
              </w:rPr>
            </w:pPr>
          </w:p>
        </w:tc>
        <w:tc>
          <w:tcPr>
            <w:tcW w:w="3920" w:type="dxa"/>
            <w:vAlign w:val="bottom"/>
            <w:gridSpan w:val="9"/>
          </w:tcPr>
          <w:p>
            <w:pPr>
              <w:jc w:val="right"/>
              <w:ind w:right="750"/>
              <w:spacing w:after="0"/>
              <w:rPr>
                <w:sz w:val="20"/>
                <w:szCs w:val="20"/>
                <w:color w:val="auto"/>
              </w:rPr>
            </w:pPr>
            <w:r>
              <w:rPr>
                <w:rFonts w:ascii="Arial" w:cs="Arial" w:eastAsia="Arial" w:hAnsi="Arial"/>
                <w:sz w:val="18"/>
                <w:szCs w:val="18"/>
                <w:b w:val="1"/>
                <w:bCs w:val="1"/>
                <w:color w:val="auto"/>
              </w:rPr>
              <w:t>Six Months Ended December</w:t>
            </w:r>
          </w:p>
        </w:tc>
      </w:tr>
      <w:tr>
        <w:trPr>
          <w:trHeight w:val="250"/>
        </w:trPr>
        <w:tc>
          <w:tcPr>
            <w:tcW w:w="28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2024</w:t>
            </w:r>
          </w:p>
        </w:tc>
      </w:tr>
      <w:tr>
        <w:trPr>
          <w:trHeight w:val="209"/>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(in</w:t>
            </w:r>
          </w:p>
        </w:tc>
        <w:tc>
          <w:tcPr>
            <w:tcW w:w="1120" w:type="dxa"/>
            <w:vAlign w:val="bottom"/>
            <w:gridSpan w:val="3"/>
          </w:tcPr>
          <w:p>
            <w:pPr>
              <w:ind w:left="180"/>
              <w:spacing w:after="0"/>
              <w:rPr>
                <w:sz w:val="20"/>
                <w:szCs w:val="20"/>
                <w:color w:val="auto"/>
              </w:rPr>
            </w:pPr>
            <w:r>
              <w:rPr>
                <w:rFonts w:ascii="Arial" w:cs="Arial" w:eastAsia="Arial" w:hAnsi="Arial"/>
                <w:sz w:val="18"/>
                <w:szCs w:val="18"/>
                <w:b w:val="1"/>
                <w:bCs w:val="1"/>
                <w:color w:val="auto"/>
              </w:rPr>
              <w:t>% of net</w:t>
            </w:r>
          </w:p>
        </w:tc>
        <w:tc>
          <w:tcPr>
            <w:tcW w:w="240" w:type="dxa"/>
            <w:vAlign w:val="bottom"/>
          </w:tcPr>
          <w:p>
            <w:pPr>
              <w:spacing w:after="0"/>
              <w:rPr>
                <w:sz w:val="18"/>
                <w:szCs w:val="18"/>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 of net</w:t>
            </w:r>
          </w:p>
        </w:tc>
        <w:tc>
          <w:tcPr>
            <w:tcW w:w="220" w:type="dxa"/>
            <w:vAlign w:val="bottom"/>
          </w:tcPr>
          <w:p>
            <w:pPr>
              <w:spacing w:after="0"/>
              <w:rPr>
                <w:sz w:val="18"/>
                <w:szCs w:val="18"/>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(in</w:t>
            </w:r>
          </w:p>
        </w:tc>
        <w:tc>
          <w:tcPr>
            <w:tcW w:w="1120" w:type="dxa"/>
            <w:vAlign w:val="bottom"/>
            <w:gridSpan w:val="3"/>
          </w:tcPr>
          <w:p>
            <w:pPr>
              <w:ind w:left="160"/>
              <w:spacing w:after="0"/>
              <w:rPr>
                <w:sz w:val="20"/>
                <w:szCs w:val="20"/>
                <w:color w:val="auto"/>
              </w:rPr>
            </w:pPr>
            <w:r>
              <w:rPr>
                <w:rFonts w:ascii="Arial" w:cs="Arial" w:eastAsia="Arial" w:hAnsi="Arial"/>
                <w:sz w:val="18"/>
                <w:szCs w:val="18"/>
                <w:b w:val="1"/>
                <w:bCs w:val="1"/>
                <w:color w:val="auto"/>
              </w:rPr>
              <w:t>% of net</w:t>
            </w:r>
          </w:p>
        </w:tc>
        <w:tc>
          <w:tcPr>
            <w:tcW w:w="220" w:type="dxa"/>
            <w:vAlign w:val="bottom"/>
          </w:tcPr>
          <w:p>
            <w:pPr>
              <w:spacing w:after="0"/>
              <w:rPr>
                <w:sz w:val="18"/>
                <w:szCs w:val="18"/>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(in</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 of net</w:t>
            </w:r>
          </w:p>
        </w:tc>
      </w:tr>
      <w:tr>
        <w:trPr>
          <w:trHeight w:val="243"/>
        </w:trPr>
        <w:tc>
          <w:tcPr>
            <w:tcW w:w="2880" w:type="dxa"/>
            <w:vAlign w:val="bottom"/>
          </w:tcPr>
          <w:p>
            <w:pPr>
              <w:spacing w:after="0"/>
              <w:rPr>
                <w:sz w:val="21"/>
                <w:szCs w:val="21"/>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millions)</w:t>
            </w:r>
          </w:p>
        </w:tc>
        <w:tc>
          <w:tcPr>
            <w:tcW w:w="1120" w:type="dxa"/>
            <w:vAlign w:val="bottom"/>
            <w:gridSpan w:val="3"/>
          </w:tcPr>
          <w:p>
            <w:pPr>
              <w:ind w:left="180"/>
              <w:spacing w:after="0"/>
              <w:rPr>
                <w:sz w:val="20"/>
                <w:szCs w:val="20"/>
                <w:color w:val="auto"/>
              </w:rPr>
            </w:pPr>
            <w:r>
              <w:rPr>
                <w:rFonts w:ascii="Arial" w:cs="Arial" w:eastAsia="Arial" w:hAnsi="Arial"/>
                <w:sz w:val="18"/>
                <w:szCs w:val="18"/>
                <w:b w:val="1"/>
                <w:bCs w:val="1"/>
                <w:color w:val="auto"/>
              </w:rPr>
              <w:t>revenue</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120" w:type="dxa"/>
            <w:vAlign w:val="bottom"/>
            <w:gridSpan w:val="3"/>
          </w:tcPr>
          <w:p>
            <w:pPr>
              <w:ind w:left="160"/>
              <w:spacing w:after="0"/>
              <w:rPr>
                <w:sz w:val="20"/>
                <w:szCs w:val="20"/>
                <w:color w:val="auto"/>
              </w:rPr>
            </w:pPr>
            <w:r>
              <w:rPr>
                <w:rFonts w:ascii="Arial" w:cs="Arial" w:eastAsia="Arial" w:hAnsi="Arial"/>
                <w:sz w:val="18"/>
                <w:szCs w:val="18"/>
                <w:b w:val="1"/>
                <w:bCs w:val="1"/>
                <w:color w:val="auto"/>
              </w:rPr>
              <w:t>revenue</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revenue</w:t>
            </w:r>
          </w:p>
        </w:tc>
      </w:tr>
      <w:tr>
        <w:trPr>
          <w:trHeight w:val="191"/>
        </w:trPr>
        <w:tc>
          <w:tcPr>
            <w:tcW w:w="288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Enterprise and Automotive product</w:t>
            </w: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48"/>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58.4 %</w:t>
            </w:r>
          </w:p>
        </w:tc>
      </w:tr>
      <w:tr>
        <w:trPr>
          <w:trHeight w:val="252"/>
        </w:trPr>
        <w:tc>
          <w:tcPr>
            <w:tcW w:w="2880" w:type="dxa"/>
            <w:vAlign w:val="bottom"/>
          </w:tcPr>
          <w:p>
            <w:pPr>
              <w:ind w:left="20"/>
              <w:spacing w:after="0"/>
              <w:rPr>
                <w:sz w:val="20"/>
                <w:szCs w:val="20"/>
                <w:color w:val="auto"/>
              </w:rPr>
            </w:pPr>
            <w:r>
              <w:rPr>
                <w:rFonts w:ascii="Arial" w:cs="Arial" w:eastAsia="Arial" w:hAnsi="Arial"/>
                <w:sz w:val="18"/>
                <w:szCs w:val="18"/>
                <w:color w:val="auto"/>
              </w:rPr>
              <w:t>Core IoT product applications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23.0 %</w:t>
            </w:r>
          </w:p>
        </w:tc>
      </w:tr>
      <w:tr>
        <w:trPr>
          <w:trHeight w:val="261"/>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Mobile product applications</w:t>
            </w: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45"/>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55"/>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32"/>
        </w:trPr>
        <w:tc>
          <w:tcPr>
            <w:tcW w:w="2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1"/>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11"/>
        </w:trPr>
        <w:tc>
          <w:tcPr>
            <w:tcW w:w="2880" w:type="dxa"/>
            <w:vAlign w:val="bottom"/>
          </w:tcPr>
          <w:p>
            <w:pPr>
              <w:ind w:left="20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4"/>
        </w:trPr>
        <w:tc>
          <w:tcPr>
            <w:tcW w:w="28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61"/>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intangibles amortization</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52"/>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r>
      <w:tr>
        <w:trPr>
          <w:trHeight w:val="255"/>
        </w:trPr>
        <w:tc>
          <w:tcPr>
            <w:tcW w:w="2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54.7 %</w:t>
            </w:r>
          </w:p>
        </w:tc>
      </w:tr>
      <w:tr>
        <w:trPr>
          <w:trHeight w:val="245"/>
        </w:trPr>
        <w:tc>
          <w:tcPr>
            <w:tcW w:w="28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61"/>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2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11"/>
        </w:trPr>
        <w:tc>
          <w:tcPr>
            <w:tcW w:w="2880" w:type="dxa"/>
            <w:vAlign w:val="bottom"/>
          </w:tcPr>
          <w:p>
            <w:pPr>
              <w:ind w:left="20"/>
              <w:spacing w:after="0"/>
              <w:rPr>
                <w:sz w:val="20"/>
                <w:szCs w:val="20"/>
                <w:color w:val="auto"/>
              </w:rPr>
            </w:pPr>
            <w:r>
              <w:rPr>
                <w:rFonts w:ascii="Arial" w:cs="Arial" w:eastAsia="Arial" w:hAnsi="Arial"/>
                <w:sz w:val="18"/>
                <w:szCs w:val="18"/>
                <w:color w:val="auto"/>
              </w:rPr>
              <w:t>Interest income (expense) and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4"/>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 %</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195"/>
        </w:trPr>
        <w:tc>
          <w:tcPr>
            <w:tcW w:w="28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Loss before benefit from income</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8"/>
        </w:trPr>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56"/>
        </w:trPr>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 %</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75"/>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was $302.5 million for the three months ended December 2025, compared with $267.2 million for the three months ended December 2024, an increase of $35.3 million, or 13.2%. Of this net revenue, $161.1 million, or 53.3%, was from Enterprise and Automotive product applications, $ 48.2 million, or 15.9%, was from Mobile product applications, and $ 93.2 million, or 30.8%, was from Core IoT product applications. Revenue increased in all of our product applications for the three months ended December 2025 compared with the three months ended December 2024. Net revenue from Core IoT product applications increased due to an increase in units sold (which increased 32.0%), and an increase in average selling prices (which increased 9.6%) due to our product sales mix compared to the same period a year ago, inclusive of the contribution from the acquired business completed in fiscal 2025. Net revenue from Enterprise and Automotive product applications increased primarily due to higher license revenue from certain IP, partially offset by a decrease in units sold (which decreased 8.2%), and a decrease in average selling prices (which decreased 1.3%) due to our product sales mix compared to the same period a year ago. Excluding the impact of this license revenue, net revenue for the three months ended December 2025 from Enterprise and Automotive product applications would have declined year-over-year. Net revenue from Mobile product applications increased due to an increase in units sold (which increased 14.5%), partially offset by a decrease in average selling prices (which decreased 10.4%) due to our product sales mix compared to the same period a year ago.</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revenue was $595.0 million for the six months ended December 2025, compared with $524.9 million for the six months ended December 2024, an increase of $70.1 million, or 13.4%. Of this net revenue, $308.8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126365</wp:posOffset>
            </wp:positionV>
            <wp:extent cx="119126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51.9%, was from Enterprise and Automotive product applications, $89.4 million, or 15.0%, was from Mobile product applications, and $196.8 million, or 33.1%, was from Core IoT product applications. Revenue increased in most of our product applications for the six months ended December 2025 compared with the six months ended December 2024. Net revenue from Core IoT product applications increased due to an increase in units sold (which increased 48.2%), and an increase in average selling prices (which increased 7.3%) due to our product sales mix compared to the same period a year ago, inclusive of the contribution from the the acquired business completed in fiscal 2025. Net revenue from Enterprise and Automotive product applications increased primarily due to higher license revenue from certain IP, partially offset by a decrease in average selling prices (which decreased 4.9%) due to our product sales mix while units shipped remained flat compared to the same period a year ago. Excluding the impact of this license revenue, net revenue for the six months ended December 2025 from Enterprise and Automotive product applications would have declined year-over-year. Net revenue from Mobile product applications decreased due to a decrease in average selling prices (which decreased 12.6%) and lower license revenue from certain of our IP, partially offset by an increase in units sold (which increased 17.6%). Excluding the impact of this lower license revenue, net revenue from Mobile product applications would have increased year-over-year.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as a percentage of net revenue was 43.5%, with gross margin of $131.7 million, for the three months ended December 2025, compared with 45.7%, with gross margin of $122.2 million, for the three months ended December 2024. The 220 basis point decrease in gross margin as a percentage of net revenue for the three months ended December 2025 was primarily due to the increase in amortization of acquisition-related intangible assets we acquired from Broadcom during fiscal 2025, partially offset by an increase in revenue from the licensing of certain of our IP.</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as a percentage of net revenue was 43.1%, with gross margin of $256.3 million, for the six months ended December 2025, compared with 46.3%, with gross margin of $ 243.1 million, for the six months ended December 2024. The net 320 basis point decrease in gross margin as a percentage of net revenue for the six months ended December 2025 was primarily due to the increase in amortization of acquisition-related intangibles on the intangible assets we acquired from Broadcom during fiscal 2025, partially offset by an increase in revenue from the licensing of certain of our IP.</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is accretive to our gross margin.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increased $ 11.8 million to $95.1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2025, compared with $83.3 million for the three months ended December 2024. The increase in research and development expenses was driven by a $ 2.9 million increase in wages and related costs primarily related to an increase in headcount driven by the employees we acquired from Broadcom during fiscal 2025, a $5.9 million increase in stock-based compensation charges primarily related to awards issued to the workforce we acquired from Broadcom during fiscal 2025 and $1.2 million increase in software maintenance fees.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increased $24.9 million to $189.5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2025, compared with $164.6 million for the six months ended December 2024. The increase in research and development expenses was driven by a $12.3 million increase in stock-based compensation charges primarily related to awards issued to the workforce we acquired from Broadcom during fiscal 2025, a $4.8 million increase in wages and related costs related to an increase in headcount primarily driven by the employees we acquired from Broadcom during fiscal 2025, and a $3.3 million increase in project specific costs and new chip development.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$1.7 million to $47.8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December 2025, compared with $49.5 million for the three months ended December 2024. The decrease in selling, general, and administrative expenses was primarily driven by a decrease of $1.2 million in professional service fees related to certain corporate projects incurred during the second quarter of 2024, with no such projects during the three months ended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140970</wp:posOffset>
            </wp:positionV>
            <wp:extent cx="1191260" cy="300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$5.5 million to $ 94.0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December 2025, compared with $99.5 million for the six months ended December 2024. The decrease in selling, general, and administrative expenses was primarily driven by a decrease of $ 4.2 million in professional service fees related to various corporate projects and costs related to refinancing our Term Loan B facility that we incurred during the six months ended December 2024, with no corresponding corporate projects during the six months ended December 2025.</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Acquired Intangibles Amortization</w:t>
      </w:r>
      <w:r>
        <w:rPr>
          <w:rFonts w:ascii="Arial" w:cs="Arial" w:eastAsia="Arial" w:hAnsi="Arial"/>
          <w:sz w:val="18"/>
          <w:szCs w:val="18"/>
          <w:color w:val="auto"/>
        </w:rPr>
        <w:t>. Amortization of acquisition-related intangibles primarily relates to customer relationships and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contract intangible assets we acquired in previous fiscal years and remained consistent during the three and six months ended December 2025 compared to the same period a year ago.</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 Restructuring costs primarily reflect employee severance costs related to the restructuring of our operations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improving efficiencies in our operational activities. These headcount-related costs included personnel in research and development and selling, general and administrative functions. See "Item 1. Condensed Consolidated Financial Statements (Unaudited) - Notes to Condensed Consolidated Financial Statements - Note 16. Restructuring Activities for additional information.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income (expense) and other, net</w:t>
      </w:r>
      <w:r>
        <w:rPr>
          <w:rFonts w:ascii="Arial" w:cs="Arial" w:eastAsia="Arial" w:hAnsi="Arial"/>
          <w:sz w:val="18"/>
          <w:szCs w:val="18"/>
          <w:color w:val="auto"/>
        </w:rPr>
        <w:t>. Interest income/(expense) and other, net, include interest income and expense, unused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fees and amortization of issuance costs on our revolving credit facility, the 2031 Notes and 2029 Notes and other miscellaneous income or charges.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includes interest income earned on our invested cash balances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miscellaneous income. Interest and other income of $3.6 million decreased by $4.4 million for the three months ended December 2025, compared to the same period a year ago. The decrease was primarily driven by an overall reduction in our invested cash balances following the early repayment of our Term Loan Facility in the second quarter of fiscal 2025 and the cash paid for the Broadcom acquisition in the third quarter of fiscal 2025.</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and other income of $9.9 million decreased by $8.4 million for the six months ended December 2025, compared to the same period a year ago. The decrease was primarily driven by a decrease in interest income of $10.7 million due to the overall reduction in invested cash balances following the early repayment of our Term Loan Facility in the second quarter of fiscal 2025 and the cash paid for the Broadcom acquisition in the third quarter of fiscal 2025, partially offset by a $2.3 million increase in miscellaneous other income relating to a refund of amounts we paid previously to a third party.</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expense on our debt, unused commitment fees on our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of debt issuance costs. Interest expense of $6.0 million for the three months ended December 2025, decreased by $6.3 million compared to the same period a year ago, which was primarily driven by the early repayment of our Term Loan Facility in the second quarter of fiscal 2025. During the three months ended December 2024, the interest expense and amortization of debt issuance costs on the Term Loan facility was $7.5 million. The Term Loan Facility was repaid with the net proceeds received from the issuance of the 2031 Notes, which bear a significantly lower interest at a rate of 0.75%. See "Note 9. Debt" for additional information.</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expense on our debt, unused commitment fees on our revolving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of debt issuance costs. Interest expense of $11.8 million for the six months ended December 2025, decreased by $16.7 million compared to the same period a year ago, which was primarily driven by the early repayment of the Term Loan Facility in November 2024. During the six months ended December 2024, the interest expense and amortization of debt issuance costs on the Term Loan facility was $19.4 million. The Term Loan Facility was repaid with the net proceeds received from the issuance of the 2031 Notes, which bear a significantly lower interest at a rate of 0.75%. See "Note 9. Debt" for additional information.</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Income tax benefit was $2.7 million and $4.8 million for the three months and six months ended December 2025,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compared with $27.8 million and $39.0 million for the three and six months ended December 2024, respectively. The decrease in income tax benefit was primarily due to the absence of several significant one-time tax benefits recognized in the prior-year period, including a $14.1 million deferred tax benefit from a “check-the-box election” for our Israel subsidiary to be treated as a U.S. disregarded entity for U.S. federal income tax purposes and an $8.9 million tax benefit related to our fiscal 2018 U.S. one-time deemed repatriation liability under the U.S. Tax Cuts and Jobs Act, or TCJA, following the U.S. Tax Court decision in </w:t>
      </w:r>
      <w:r>
        <w:rPr>
          <w:rFonts w:ascii="Arial" w:cs="Arial" w:eastAsia="Arial" w:hAnsi="Arial"/>
          <w:sz w:val="18"/>
          <w:szCs w:val="18"/>
          <w:i w:val="1"/>
          <w:iCs w:val="1"/>
          <w:color w:val="auto"/>
        </w:rPr>
        <w:t>Varian Medical Systems, Inc. v.</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Commissioner</w:t>
      </w:r>
      <w:r>
        <w:rPr>
          <w:rFonts w:ascii="Arial" w:cs="Arial" w:eastAsia="Arial" w:hAnsi="Arial"/>
          <w:sz w:val="18"/>
          <w:szCs w:val="18"/>
          <w:color w:val="auto"/>
        </w:rPr>
        <w:t>, both of which were recognized during the three months ended December 2024, as well as a $7.7 million deferred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146050</wp:posOffset>
            </wp:positionV>
            <wp:extent cx="119126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transferred from foreign subsidiaries to the United States recognized during the six months ended December 2024. See "Item 1. Condensed Consolidated Financial Statements (Unaudited) - Notes to Condensed Consolidated Financial Statements - Note 13. Income Taxes for additional information.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4, 2025, the One Big Beautiful Bill Act, or OBBBA, was signed into law. The legislation includes a permanent extension and modification of certain provisions under the 2017 TCJA. Provisions effective for Synaptics beginning June 29, 2025 were reflected in the Company’s income tax provision for the six months ended December 2025 and are not expected to have a material impact on the effective tax rate or cash flows. We will continue to monitor forthcoming U.S. Treasury and Internal Revenue Service guidance related to OBBBA and assess potential implications for future reporting periods.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Organization for Economic Co-operation and Development, or OECD, introduced Pillar Two Model Rules for a global minimum tax of 15% applicable to large multinational corporations. Many countries in which we have business operations, including the United Kingdom, Hong Kong, Switzerland, and Japan, have implemented certain aspects of Pillar Two. The OECD and the implementing countries are expected to continue issuing more guidance and refining their laws. Based on the latest legislation and our current estimate, Pillar Two had no impact on our effective tax rate or cash flows for the first six months of fiscal 2026. We will continue to evaluate the potential impact of these developments as additional guidance is issued and further local enactments occur.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were $437.4 million and $391.5 million as of December 2025 and June 2025, respectively.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December 2025, $278.6 million of cash and cash equivalents was held by our foreign subsidiaries. If these funds are needed for our operations in the United States, we would be able to repatriate substantially all of these funds without a material impact on our provision for income taxes.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Cash provided by operating activities during the six months ended December 2025 was $60.0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cash provided by operating activities of $11.4 million during same period a year ago. For the six months ended December 2025, the primary operating activities were adjustments for non-cash charges of $ 155.7 million and net cash outflows of $60.3 million from changes in our operating assets and liabilities. The primary drivers of the change in operating assets and liabilities relate to a decrease of $35.7 million in accrued liabilities primarily related to the accrual and payment of our annual bonus, a decrease of $5.2 million in accounts payable due to the timing of payments made to our vendors and an increase of $18.4 million in net inventories in anticipation of increased demand in our wireless products in the second half of fiscal 2026.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2025 and December 2024, our days sales outstanding was 39 days and 49 days,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annual inventory turns stayed consistent at approximately four during the three months ended December 2025 and December 2024.</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 Cash provided by investing activities during the six months ended December 2025 was $37.2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cash used by investing activities of $14.6 million during the same period a year ago. The increase primarily relates to $61.0 million in proceeds from maturities of short-term investments which were not subsequently reinvested in short-term investments, partially offset by an increase in purchases of property and equipment driven by expansion in certain of our facilities from our Broadcom transaction in the third quarter of fiscal 2025.</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 Cash used by financing activities for the six months ended December 2025 and December 2024 was</w:t>
      </w:r>
      <w:r>
        <w:rPr>
          <w:rFonts w:ascii="Arial" w:cs="Arial" w:eastAsia="Arial" w:hAnsi="Arial"/>
          <w:sz w:val="18"/>
          <w:szCs w:val="18"/>
          <w:i w:val="1"/>
          <w:iCs w:val="1"/>
          <w:color w:val="auto"/>
        </w:rPr>
        <w:t xml:space="preserve"> </w:t>
      </w:r>
      <w:r>
        <w:rPr>
          <w:rFonts w:ascii="Arial" w:cs="Arial" w:eastAsia="Arial" w:hAnsi="Arial"/>
          <w:sz w:val="18"/>
          <w:szCs w:val="18"/>
          <w:color w:val="auto"/>
        </w:rPr>
        <w:t>$51.1 million and $278.2 million, respectively. The decrease was primarily driven by $583.5 million used to repay the remaining outstanding balance of our Term Loan Facility during the six months ended December 2024, partially offset by net cash proceeds from issuance of our 2031 Notes, net of payments for capped calls and debt issuance costs thereon of $385.2 million during the six months ended December 2024, as well as a decrease of $30.9 million in repurchases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142875</wp:posOffset>
            </wp:positionV>
            <wp:extent cx="1191260" cy="300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$350.0 million available under our revolving credit facility with a maturity date to be the earlier of November 2029 or three months prior to any maturity of our 2029 Notes. As of December 2025, there was no balance outstanding under this facility.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2025, our principal long-term debt obligations were $850.0 million.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2025, we had unconditional purchase commitments of $29.0 million, of which $15.1 million are for the remainder of fiscal 2026. We work continually with our suppliers and partners on the timing of payments and deliveries of purchase commitments, taking into account business conditions.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Working Capital Needs</w:t>
      </w:r>
      <w:r>
        <w:rPr>
          <w:rFonts w:ascii="Arial" w:cs="Arial" w:eastAsia="Arial" w:hAnsi="Arial"/>
          <w:sz w:val="18"/>
          <w:szCs w:val="18"/>
          <w:color w:val="auto"/>
        </w:rPr>
        <w:t>. We believe our existing cash and cash equivalents, anticipated cash flows from operating activities and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under our revolving credit facility, will be sufficient to meet our working capital and other cash requirements,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significant changes in our critical accounting estimates during the six months ended December 2025, compared with our critical accounting estimates disclosed in Management’s Discussion and Analysis of Financial Condition and Results of Operations included in our Annual Report on Form 10-K for the fiscal year ended June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27, 2025, the market risk related to interest rates on our cash and cash equivalents, and foreign currency exchange risks have not changed materially from the risks disclosed in Item 7A of our Annual Report on Form 10-K for the fiscal year ended June 28,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 Based on this evaluation, our Principal Executive Officer and Principal Financial Officer, as of December 27, 2025,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assessed, with the participation of our Principal Executive Officer and Principal Financial Officer, any change in our internal control over financial reporting as of the end of the fiscal quarter covered by this Report.</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ended December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252525"/>
        </w:rPr>
        <w:t xml:space="preserve">We refer you to the Company’s risk factors set forth in Part I, Item 1A, “Risk Factors,” of our Annual Report on Form 10-K for the fiscal year ended </w:t>
      </w:r>
      <w:r>
        <w:rPr>
          <w:rFonts w:ascii="Arial" w:cs="Arial" w:eastAsia="Arial" w:hAnsi="Arial"/>
          <w:sz w:val="18"/>
          <w:szCs w:val="18"/>
          <w:color w:val="000000"/>
        </w:rPr>
        <w:t>June 28, 2025</w:t>
      </w:r>
      <w:r>
        <w:rPr>
          <w:rFonts w:ascii="Arial" w:cs="Arial" w:eastAsia="Arial" w:hAnsi="Arial"/>
          <w:sz w:val="18"/>
          <w:szCs w:val="18"/>
          <w:color w:val="252525"/>
        </w:rPr>
        <w:t xml:space="preserve"> for material risks that may affect our business. There have been no material changes from the risk factors previously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137160</wp:posOffset>
            </wp:positionV>
            <wp:extent cx="1191260" cy="300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100"/>
        <w:spacing w:after="0" w:line="375"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Our Board of Directors authorized a stock repurchase program to repurchase up to $150.0 million of our common stock in August 2025. This program does not have an expiration date; however, the Board will periodically review the authorization to assess its continued appropriateness in light of our capital allocation priorities and market conditions. Repurchases may be made in the open market or through privately negotiated transactions and are intended to comply with Rule 10b</w:t>
      </w:r>
      <w:r>
        <w:rPr>
          <w:rFonts w:ascii="MS PGothic" w:cs="MS PGothic" w:eastAsia="MS PGothic" w:hAnsi="MS PGothic"/>
          <w:sz w:val="18"/>
          <w:szCs w:val="18"/>
          <w:color w:val="auto"/>
        </w:rPr>
        <w:t>‑</w:t>
      </w:r>
      <w:r>
        <w:rPr>
          <w:rFonts w:ascii="Arial" w:cs="Arial" w:eastAsia="Arial" w:hAnsi="Arial"/>
          <w:sz w:val="18"/>
          <w:szCs w:val="18"/>
          <w:color w:val="auto"/>
        </w:rPr>
        <w:t>18 under the Exchange Act.</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number of shares repurchased and the timing of repurchases depend on the level of our cash balances, general business and market conditions and other factors, including alternative investment opportunities.</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December 2025, repurchases under our common stock repurchase program, excluding excise taxes,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Total Number of</w:t>
            </w: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9"/>
              </w:rPr>
              <w:t>Approximate Dollar</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Value of Shares</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Shares Purchased</w:t>
            </w:r>
          </w:p>
        </w:tc>
        <w:tc>
          <w:tcPr>
            <w:tcW w:w="120" w:type="dxa"/>
            <w:vAlign w:val="bottom"/>
          </w:tcPr>
          <w:p>
            <w:pPr>
              <w:spacing w:after="0"/>
              <w:rPr>
                <w:sz w:val="16"/>
                <w:szCs w:val="16"/>
                <w:color w:val="auto"/>
              </w:rPr>
            </w:pPr>
          </w:p>
        </w:tc>
        <w:tc>
          <w:tcPr>
            <w:tcW w:w="15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8"/>
              </w:rPr>
              <w:t>that May Yet Be</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right"/>
              <w:ind w:right="90"/>
              <w:spacing w:after="0"/>
              <w:rPr>
                <w:sz w:val="20"/>
                <w:szCs w:val="20"/>
                <w:color w:val="auto"/>
              </w:rPr>
            </w:pPr>
            <w:r>
              <w:rPr>
                <w:rFonts w:ascii="Arial" w:cs="Arial" w:eastAsia="Arial" w:hAnsi="Arial"/>
                <w:sz w:val="18"/>
                <w:szCs w:val="18"/>
                <w:color w:val="auto"/>
              </w:rPr>
              <w:t>Total Number of</w:t>
            </w:r>
          </w:p>
        </w:tc>
        <w:tc>
          <w:tcPr>
            <w:tcW w:w="100" w:type="dxa"/>
            <w:vAlign w:val="bottom"/>
          </w:tcPr>
          <w:p>
            <w:pPr>
              <w:spacing w:after="0"/>
              <w:rPr>
                <w:sz w:val="15"/>
                <w:szCs w:val="15"/>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9"/>
              </w:rPr>
              <w:t>Average Price Paid</w:t>
            </w:r>
          </w:p>
        </w:tc>
        <w:tc>
          <w:tcPr>
            <w:tcW w:w="17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as Part of Publicly</w:t>
            </w: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9"/>
              </w:rPr>
              <w:t>Purchased Under</w:t>
            </w:r>
          </w:p>
        </w:tc>
        <w:tc>
          <w:tcPr>
            <w:tcW w:w="0" w:type="dxa"/>
            <w:vAlign w:val="bottom"/>
          </w:tcPr>
          <w:p>
            <w:pPr>
              <w:spacing w:after="0"/>
              <w:rPr>
                <w:sz w:val="1"/>
                <w:szCs w:val="1"/>
                <w:color w:val="auto"/>
              </w:rPr>
            </w:pPr>
          </w:p>
        </w:tc>
      </w:tr>
      <w:tr>
        <w:trPr>
          <w:trHeight w:val="176"/>
        </w:trPr>
        <w:tc>
          <w:tcPr>
            <w:tcW w:w="4440" w:type="dxa"/>
            <w:vAlign w:val="bottom"/>
            <w:gridSpan w:val="2"/>
            <w:vMerge w:val="restart"/>
          </w:tcPr>
          <w:p>
            <w:pPr>
              <w:ind w:left="1920"/>
              <w:spacing w:after="0"/>
              <w:rPr>
                <w:sz w:val="20"/>
                <w:szCs w:val="20"/>
                <w:color w:val="auto"/>
              </w:rPr>
            </w:pPr>
            <w:r>
              <w:rPr>
                <w:rFonts w:ascii="Arial" w:cs="Arial" w:eastAsia="Arial" w:hAnsi="Arial"/>
                <w:sz w:val="18"/>
                <w:szCs w:val="18"/>
                <w:color w:val="auto"/>
              </w:rPr>
              <w:t>Period</w:t>
            </w: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7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8"/>
              </w:rPr>
              <w:t>Announced</w:t>
            </w:r>
          </w:p>
        </w:tc>
        <w:tc>
          <w:tcPr>
            <w:tcW w:w="120" w:type="dxa"/>
            <w:vAlign w:val="bottom"/>
          </w:tcPr>
          <w:p>
            <w:pPr>
              <w:spacing w:after="0"/>
              <w:rPr>
                <w:sz w:val="15"/>
                <w:szCs w:val="15"/>
                <w:color w:val="auto"/>
              </w:rPr>
            </w:pPr>
          </w:p>
        </w:tc>
        <w:tc>
          <w:tcPr>
            <w:tcW w:w="1520" w:type="dxa"/>
            <w:vAlign w:val="bottom"/>
          </w:tcPr>
          <w:p>
            <w:pPr>
              <w:jc w:val="center"/>
              <w:ind w:right="30"/>
              <w:spacing w:after="0" w:line="176" w:lineRule="exact"/>
              <w:rPr>
                <w:sz w:val="20"/>
                <w:szCs w:val="20"/>
                <w:color w:val="auto"/>
              </w:rPr>
            </w:pPr>
            <w:r>
              <w:rPr>
                <w:rFonts w:ascii="Arial" w:cs="Arial" w:eastAsia="Arial" w:hAnsi="Arial"/>
                <w:sz w:val="18"/>
                <w:szCs w:val="18"/>
                <w:color w:val="auto"/>
              </w:rPr>
              <w:t>the Program</w:t>
            </w:r>
          </w:p>
        </w:tc>
        <w:tc>
          <w:tcPr>
            <w:tcW w:w="0" w:type="dxa"/>
            <w:vAlign w:val="bottom"/>
          </w:tcPr>
          <w:p>
            <w:pPr>
              <w:spacing w:after="0"/>
              <w:rPr>
                <w:sz w:val="1"/>
                <w:szCs w:val="1"/>
                <w:color w:val="auto"/>
              </w:rPr>
            </w:pPr>
          </w:p>
        </w:tc>
      </w:tr>
      <w:tr>
        <w:trPr>
          <w:trHeight w:val="243"/>
        </w:trPr>
        <w:tc>
          <w:tcPr>
            <w:tcW w:w="4440" w:type="dxa"/>
            <w:vAlign w:val="bottom"/>
            <w:gridSpan w:val="2"/>
            <w:vMerge w:val="continue"/>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Shares Purchased</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rPr>
              <w:t>Per Share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rPr>
              <w:t>Program</w:t>
            </w:r>
          </w:p>
        </w:tc>
        <w:tc>
          <w:tcPr>
            <w:tcW w:w="120" w:type="dxa"/>
            <w:vAlign w:val="bottom"/>
          </w:tcPr>
          <w:p>
            <w:pPr>
              <w:spacing w:after="0"/>
              <w:rPr>
                <w:sz w:val="21"/>
                <w:szCs w:val="21"/>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28, 2025 - October 25, 2025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113,454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October 26, 2025 - November 22, 2025</w:t>
            </w:r>
          </w:p>
        </w:tc>
        <w:tc>
          <w:tcPr>
            <w:tcW w:w="1620" w:type="dxa"/>
            <w:vAlign w:val="bottom"/>
          </w:tcPr>
          <w:p>
            <w:pPr>
              <w:jc w:val="right"/>
              <w:spacing w:after="0"/>
              <w:rPr>
                <w:sz w:val="20"/>
                <w:szCs w:val="20"/>
                <w:color w:val="auto"/>
              </w:rPr>
            </w:pPr>
            <w:r>
              <w:rPr>
                <w:rFonts w:ascii="Arial" w:cs="Arial" w:eastAsia="Arial" w:hAnsi="Arial"/>
                <w:sz w:val="18"/>
                <w:szCs w:val="18"/>
                <w:color w:val="auto"/>
              </w:rPr>
              <w:t>258,362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258,362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23, 2025 - December 27,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179,183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December 2025,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591820</wp:posOffset>
            </wp:positionV>
            <wp:extent cx="1191260" cy="300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3"/>
        </w:trPr>
        <w:tc>
          <w:tcPr>
            <w:tcW w:w="1660" w:type="dxa"/>
            <w:vAlign w:val="bottom"/>
          </w:tcPr>
          <w:p>
            <w:pPr>
              <w:ind w:left="20"/>
              <w:spacing w:after="0"/>
              <w:rPr>
                <w:sz w:val="20"/>
                <w:szCs w:val="20"/>
                <w:color w:val="auto"/>
              </w:rPr>
            </w:pPr>
            <w:r>
              <w:rPr>
                <w:rFonts w:ascii="Arial" w:cs="Arial" w:eastAsia="Arial" w:hAnsi="Arial"/>
                <w:sz w:val="18"/>
                <w:szCs w:val="18"/>
                <w:color w:val="auto"/>
              </w:rPr>
              <w:t>3.1</w:t>
            </w:r>
          </w:p>
        </w:tc>
        <w:tc>
          <w:tcPr>
            <w:tcW w:w="9520" w:type="dxa"/>
            <w:vAlign w:val="bottom"/>
            <w:tcBorders>
              <w:bottom w:val="single" w:sz="8" w:color="0000FF"/>
            </w:tcBorders>
            <w:gridSpan w:val="11"/>
          </w:tcPr>
          <w:p>
            <w:pPr>
              <w:spacing w:after="0"/>
              <w:rPr>
                <w:rFonts w:ascii="Arial" w:cs="Arial" w:eastAsia="Arial" w:hAnsi="Arial"/>
                <w:sz w:val="18"/>
                <w:szCs w:val="18"/>
                <w:color w:val="0000FF"/>
                <w:w w:val="99"/>
              </w:rPr>
            </w:pPr>
            <w:hyperlink r:id="rId129">
              <w:r>
                <w:rPr>
                  <w:rFonts w:ascii="Arial" w:cs="Arial" w:eastAsia="Arial" w:hAnsi="Arial"/>
                  <w:sz w:val="18"/>
                  <w:szCs w:val="18"/>
                  <w:color w:val="0000FF"/>
                  <w:w w:val="99"/>
                </w:rPr>
                <w:t>Synaptics Incorporated Amended and Restated Certificate of Incorporation (incorporated by reference to the registrant's</w:t>
              </w:r>
            </w:hyperlink>
          </w:p>
        </w:tc>
      </w:tr>
      <w:tr>
        <w:trPr>
          <w:trHeight w:val="196"/>
        </w:trPr>
        <w:tc>
          <w:tcPr>
            <w:tcW w:w="1660" w:type="dxa"/>
            <w:vAlign w:val="bottom"/>
          </w:tcPr>
          <w:p>
            <w:pPr>
              <w:spacing w:after="0"/>
              <w:rPr>
                <w:sz w:val="17"/>
                <w:szCs w:val="17"/>
                <w:color w:val="auto"/>
              </w:rPr>
            </w:pPr>
          </w:p>
        </w:tc>
        <w:tc>
          <w:tcPr>
            <w:tcW w:w="570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Current Report on Form 8-K as filed with the SEC on October 26, 2023)</w:t>
              </w:r>
            </w:hyperlink>
          </w:p>
        </w:tc>
        <w:tc>
          <w:tcPr>
            <w:tcW w:w="3820" w:type="dxa"/>
            <w:vAlign w:val="bottom"/>
            <w:gridSpan w:val="6"/>
          </w:tcPr>
          <w:p>
            <w:pPr>
              <w:spacing w:after="0"/>
              <w:rPr>
                <w:sz w:val="17"/>
                <w:szCs w:val="17"/>
                <w:color w:val="auto"/>
              </w:rPr>
            </w:pPr>
          </w:p>
        </w:tc>
      </w:tr>
      <w:tr>
        <w:trPr>
          <w:trHeight w:val="385"/>
        </w:trPr>
        <w:tc>
          <w:tcPr>
            <w:tcW w:w="1660" w:type="dxa"/>
            <w:vAlign w:val="bottom"/>
          </w:tcPr>
          <w:p>
            <w:pPr>
              <w:ind w:left="20"/>
              <w:spacing w:after="0"/>
              <w:rPr>
                <w:sz w:val="20"/>
                <w:szCs w:val="20"/>
                <w:color w:val="auto"/>
              </w:rPr>
            </w:pPr>
            <w:r>
              <w:rPr>
                <w:rFonts w:ascii="Arial" w:cs="Arial" w:eastAsia="Arial" w:hAnsi="Arial"/>
                <w:sz w:val="18"/>
                <w:szCs w:val="18"/>
                <w:color w:val="auto"/>
              </w:rPr>
              <w:t>3.2</w:t>
            </w:r>
          </w:p>
        </w:tc>
        <w:tc>
          <w:tcPr>
            <w:tcW w:w="9520" w:type="dxa"/>
            <w:vAlign w:val="bottom"/>
            <w:gridSpan w:val="11"/>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Fourth Amended and Restated Bylaws (incorporated by reference to the registrant’s Current Report on Form 8-K as</w:t>
              </w:r>
            </w:hyperlink>
          </w:p>
        </w:tc>
      </w:tr>
      <w:tr>
        <w:trPr>
          <w:trHeight w:val="169"/>
        </w:trPr>
        <w:tc>
          <w:tcPr>
            <w:tcW w:w="1660" w:type="dxa"/>
            <w:vAlign w:val="bottom"/>
          </w:tcPr>
          <w:p>
            <w:pPr>
              <w:spacing w:after="0"/>
              <w:rPr>
                <w:sz w:val="14"/>
                <w:szCs w:val="14"/>
                <w:color w:val="auto"/>
              </w:rPr>
            </w:pPr>
          </w:p>
        </w:tc>
        <w:tc>
          <w:tcPr>
            <w:tcW w:w="28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filed with the SEC on July 31, 2025)</w:t>
              </w:r>
            </w:hyperlink>
          </w:p>
        </w:tc>
        <w:tc>
          <w:tcPr>
            <w:tcW w:w="6340" w:type="dxa"/>
            <w:vAlign w:val="bottom"/>
            <w:tcBorders>
              <w:top w:val="single" w:sz="8" w:color="0000FF"/>
            </w:tcBorders>
            <w:gridSpan w:val="8"/>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1"/>
        </w:trPr>
        <w:tc>
          <w:tcPr>
            <w:tcW w:w="1660" w:type="dxa"/>
            <w:vAlign w:val="bottom"/>
          </w:tcPr>
          <w:p>
            <w:pPr>
              <w:ind w:left="20"/>
              <w:spacing w:after="0"/>
              <w:rPr>
                <w:sz w:val="20"/>
                <w:szCs w:val="20"/>
                <w:color w:val="auto"/>
              </w:rPr>
            </w:pPr>
            <w:r>
              <w:rPr>
                <w:rFonts w:ascii="Arial" w:cs="Arial" w:eastAsia="Arial" w:hAnsi="Arial"/>
                <w:sz w:val="18"/>
                <w:szCs w:val="18"/>
                <w:color w:val="auto"/>
              </w:rPr>
              <w:t>10.1*</w:t>
            </w:r>
          </w:p>
        </w:tc>
        <w:tc>
          <w:tcPr>
            <w:tcW w:w="86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Synaptics Incorporated Amended and Restated 2019 Equity and Incentive Compensation Plan, as amended</w:t>
            </w:r>
          </w:p>
        </w:tc>
        <w:tc>
          <w:tcPr>
            <w:tcW w:w="8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1660" w:type="dxa"/>
            <w:vAlign w:val="bottom"/>
          </w:tcPr>
          <w:p>
            <w:pPr>
              <w:ind w:left="20"/>
              <w:spacing w:after="0"/>
              <w:rPr>
                <w:sz w:val="20"/>
                <w:szCs w:val="20"/>
                <w:color w:val="auto"/>
              </w:rPr>
            </w:pPr>
            <w:r>
              <w:rPr>
                <w:rFonts w:ascii="Arial" w:cs="Arial" w:eastAsia="Arial" w:hAnsi="Arial"/>
                <w:sz w:val="18"/>
                <w:szCs w:val="18"/>
                <w:color w:val="auto"/>
              </w:rPr>
              <w:t>10.2*</w:t>
            </w:r>
          </w:p>
        </w:tc>
        <w:tc>
          <w:tcPr>
            <w:tcW w:w="9520" w:type="dxa"/>
            <w:vAlign w:val="bottom"/>
            <w:gridSpan w:val="11"/>
          </w:tcPr>
          <w:p>
            <w:pPr>
              <w:spacing w:after="0"/>
              <w:rPr>
                <w:sz w:val="20"/>
                <w:szCs w:val="20"/>
                <w:color w:val="auto"/>
              </w:rPr>
            </w:pPr>
            <w:r>
              <w:rPr>
                <w:rFonts w:ascii="Arial" w:cs="Arial" w:eastAsia="Arial" w:hAnsi="Arial"/>
                <w:sz w:val="18"/>
                <w:szCs w:val="18"/>
                <w:color w:val="0000FF"/>
                <w:w w:val="99"/>
              </w:rPr>
              <w:t>Form of Non-Employee Director Restricted Stock Unit Award Agreement under the Amended and Restated 2019 Equity</w:t>
            </w:r>
          </w:p>
        </w:tc>
      </w:tr>
      <w:tr>
        <w:trPr>
          <w:trHeight w:val="169"/>
        </w:trPr>
        <w:tc>
          <w:tcPr>
            <w:tcW w:w="1660" w:type="dxa"/>
            <w:vAlign w:val="bottom"/>
          </w:tcPr>
          <w:p>
            <w:pPr>
              <w:spacing w:after="0"/>
              <w:rPr>
                <w:sz w:val="14"/>
                <w:szCs w:val="14"/>
                <w:color w:val="auto"/>
              </w:rPr>
            </w:pPr>
          </w:p>
        </w:tc>
        <w:tc>
          <w:tcPr>
            <w:tcW w:w="37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and Incentive Compensation Plan, as amended</w:t>
            </w:r>
          </w:p>
        </w:tc>
        <w:tc>
          <w:tcPr>
            <w:tcW w:w="57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660" w:type="dxa"/>
            <w:vAlign w:val="bottom"/>
          </w:tcPr>
          <w:p>
            <w:pPr>
              <w:ind w:left="20"/>
              <w:spacing w:after="0"/>
              <w:rPr>
                <w:sz w:val="20"/>
                <w:szCs w:val="20"/>
                <w:color w:val="auto"/>
              </w:rPr>
            </w:pPr>
            <w:r>
              <w:rPr>
                <w:rFonts w:ascii="Arial" w:cs="Arial" w:eastAsia="Arial" w:hAnsi="Arial"/>
                <w:sz w:val="18"/>
                <w:szCs w:val="18"/>
                <w:color w:val="auto"/>
              </w:rPr>
              <w:t>31.1</w:t>
            </w:r>
          </w:p>
        </w:tc>
        <w:tc>
          <w:tcPr>
            <w:tcW w:w="60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of Chief Executive Officer pursuant to Rule 13a-14(a)/15d-14(a)</w:t>
            </w:r>
          </w:p>
        </w:tc>
        <w:tc>
          <w:tcPr>
            <w:tcW w:w="3460" w:type="dxa"/>
            <w:vAlign w:val="bottom"/>
            <w:gridSpan w:val="4"/>
          </w:tcPr>
          <w:p>
            <w:pPr>
              <w:spacing w:after="0"/>
              <w:rPr>
                <w:sz w:val="24"/>
                <w:szCs w:val="24"/>
                <w:color w:val="auto"/>
              </w:rPr>
            </w:pPr>
          </w:p>
        </w:tc>
      </w:tr>
      <w:tr>
        <w:trPr>
          <w:trHeight w:val="507"/>
        </w:trPr>
        <w:tc>
          <w:tcPr>
            <w:tcW w:w="1660" w:type="dxa"/>
            <w:vAlign w:val="bottom"/>
          </w:tcPr>
          <w:p>
            <w:pPr>
              <w:ind w:left="20"/>
              <w:spacing w:after="0"/>
              <w:rPr>
                <w:sz w:val="20"/>
                <w:szCs w:val="20"/>
                <w:color w:val="auto"/>
              </w:rPr>
            </w:pPr>
            <w:r>
              <w:rPr>
                <w:rFonts w:ascii="Arial" w:cs="Arial" w:eastAsia="Arial" w:hAnsi="Arial"/>
                <w:sz w:val="18"/>
                <w:szCs w:val="18"/>
                <w:color w:val="auto"/>
              </w:rPr>
              <w:t>31.2</w:t>
            </w:r>
          </w:p>
        </w:tc>
        <w:tc>
          <w:tcPr>
            <w:tcW w:w="60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Certification of Chief Financial Officer pursuant to Rule 13a-14(a)/15d-14(a)</w:t>
            </w:r>
          </w:p>
        </w:tc>
        <w:tc>
          <w:tcPr>
            <w:tcW w:w="3520" w:type="dxa"/>
            <w:vAlign w:val="bottom"/>
            <w:gridSpan w:val="5"/>
          </w:tcPr>
          <w:p>
            <w:pPr>
              <w:spacing w:after="0"/>
              <w:rPr>
                <w:sz w:val="24"/>
                <w:szCs w:val="24"/>
                <w:color w:val="auto"/>
              </w:rPr>
            </w:pPr>
          </w:p>
        </w:tc>
      </w:tr>
      <w:tr>
        <w:trPr>
          <w:trHeight w:val="399"/>
        </w:trPr>
        <w:tc>
          <w:tcPr>
            <w:tcW w:w="1660" w:type="dxa"/>
            <w:vAlign w:val="bottom"/>
          </w:tcPr>
          <w:p>
            <w:pPr>
              <w:ind w:left="20"/>
              <w:spacing w:after="0"/>
              <w:rPr>
                <w:sz w:val="20"/>
                <w:szCs w:val="20"/>
                <w:color w:val="auto"/>
              </w:rPr>
            </w:pPr>
            <w:r>
              <w:rPr>
                <w:rFonts w:ascii="Arial" w:cs="Arial" w:eastAsia="Arial" w:hAnsi="Arial"/>
                <w:sz w:val="18"/>
                <w:szCs w:val="18"/>
                <w:color w:val="auto"/>
              </w:rPr>
              <w:t>32.1#</w:t>
            </w:r>
          </w:p>
        </w:tc>
        <w:tc>
          <w:tcPr>
            <w:tcW w:w="9520" w:type="dxa"/>
            <w:vAlign w:val="bottom"/>
            <w:gridSpan w:val="11"/>
          </w:tcPr>
          <w:p>
            <w:pPr>
              <w:spacing w:after="0"/>
              <w:rPr>
                <w:sz w:val="20"/>
                <w:szCs w:val="20"/>
                <w:color w:val="auto"/>
              </w:rPr>
            </w:pPr>
            <w:r>
              <w:rPr>
                <w:rFonts w:ascii="Arial" w:cs="Arial" w:eastAsia="Arial" w:hAnsi="Arial"/>
                <w:sz w:val="18"/>
                <w:szCs w:val="18"/>
                <w:color w:val="0000FF"/>
              </w:rPr>
              <w:t>Section 1350 Certification of Chief Executive Officer</w:t>
            </w:r>
          </w:p>
        </w:tc>
      </w:tr>
      <w:tr>
        <w:trPr>
          <w:trHeight w:val="506"/>
        </w:trPr>
        <w:tc>
          <w:tcPr>
            <w:tcW w:w="166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5400" w:type="dxa"/>
            <w:vAlign w:val="bottom"/>
            <w:gridSpan w:val="7"/>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r>
      <w:tr>
        <w:trPr>
          <w:trHeight w:val="420"/>
        </w:trPr>
        <w:tc>
          <w:tcPr>
            <w:tcW w:w="1660" w:type="dxa"/>
            <w:vAlign w:val="bottom"/>
          </w:tcPr>
          <w:p>
            <w:pPr>
              <w:ind w:left="20"/>
              <w:spacing w:after="0"/>
              <w:rPr>
                <w:sz w:val="20"/>
                <w:szCs w:val="20"/>
                <w:color w:val="auto"/>
              </w:rPr>
            </w:pPr>
            <w:r>
              <w:rPr>
                <w:rFonts w:ascii="Arial" w:cs="Arial" w:eastAsia="Arial" w:hAnsi="Arial"/>
                <w:sz w:val="18"/>
                <w:szCs w:val="18"/>
                <w:color w:val="auto"/>
              </w:rPr>
              <w:t>101.INS Inline</w:t>
            </w:r>
          </w:p>
        </w:tc>
        <w:tc>
          <w:tcPr>
            <w:tcW w:w="9520" w:type="dxa"/>
            <w:vAlign w:val="bottom"/>
            <w:gridSpan w:val="11"/>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w:t>
            </w:r>
          </w:p>
        </w:tc>
      </w:tr>
      <w:tr>
        <w:trPr>
          <w:trHeight w:val="239"/>
        </w:trPr>
        <w:tc>
          <w:tcPr>
            <w:tcW w:w="1660" w:type="dxa"/>
            <w:vAlign w:val="bottom"/>
          </w:tcPr>
          <w:p>
            <w:pPr>
              <w:spacing w:after="0"/>
              <w:rPr>
                <w:sz w:val="20"/>
                <w:szCs w:val="20"/>
                <w:color w:val="auto"/>
              </w:rPr>
            </w:pPr>
          </w:p>
        </w:tc>
        <w:tc>
          <w:tcPr>
            <w:tcW w:w="9520" w:type="dxa"/>
            <w:vAlign w:val="bottom"/>
            <w:gridSpan w:val="11"/>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05"/>
        </w:trPr>
        <w:tc>
          <w:tcPr>
            <w:tcW w:w="1660" w:type="dxa"/>
            <w:vAlign w:val="bottom"/>
          </w:tcPr>
          <w:p>
            <w:pPr>
              <w:ind w:left="20"/>
              <w:spacing w:after="0"/>
              <w:rPr>
                <w:sz w:val="20"/>
                <w:szCs w:val="20"/>
                <w:color w:val="auto"/>
              </w:rPr>
            </w:pPr>
            <w:r>
              <w:rPr>
                <w:rFonts w:ascii="Arial" w:cs="Arial" w:eastAsia="Arial" w:hAnsi="Arial"/>
                <w:sz w:val="18"/>
                <w:szCs w:val="18"/>
                <w:color w:val="auto"/>
              </w:rPr>
              <w:t>101.SCH Inline</w:t>
            </w:r>
          </w:p>
        </w:tc>
        <w:tc>
          <w:tcPr>
            <w:tcW w:w="95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80" w:lineRule="exact"/>
        <w:rPr>
          <w:sz w:val="20"/>
          <w:szCs w:val="20"/>
          <w:color w:val="auto"/>
        </w:rPr>
      </w:pPr>
    </w:p>
    <w:p>
      <w:pPr>
        <w:ind w:left="1660" w:right="480" w:hanging="1634"/>
        <w:spacing w:after="0" w:line="287" w:lineRule="auto"/>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42"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______________________________________________________________________________________</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Indicates a contract with management or compensatory plan or arrangement.</w:t>
      </w:r>
    </w:p>
    <w:p>
      <w:pPr>
        <w:spacing w:after="0" w:line="306" w:lineRule="exact"/>
        <w:rPr>
          <w:sz w:val="20"/>
          <w:szCs w:val="20"/>
          <w:color w:val="auto"/>
        </w:rPr>
      </w:pPr>
    </w:p>
    <w:p>
      <w:pPr>
        <w:ind w:right="20" w:firstLine="8"/>
        <w:spacing w:after="0" w:line="287" w:lineRule="auto"/>
        <w:tabs>
          <w:tab w:leader="none" w:pos="1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126365</wp:posOffset>
            </wp:positionV>
            <wp:extent cx="1191260"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8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200" w:type="dxa"/>
            <w:vAlign w:val="bottom"/>
          </w:tcPr>
          <w:p>
            <w:pPr>
              <w:spacing w:after="0"/>
              <w:rPr>
                <w:sz w:val="21"/>
                <w:szCs w:val="21"/>
                <w:color w:val="auto"/>
              </w:rPr>
            </w:pPr>
          </w:p>
        </w:tc>
        <w:tc>
          <w:tcPr>
            <w:tcW w:w="8020" w:type="dxa"/>
            <w:vAlign w:val="bottom"/>
            <w:gridSpan w:val="2"/>
          </w:tcPr>
          <w:p>
            <w:pPr>
              <w:ind w:left="2180"/>
              <w:spacing w:after="0"/>
              <w:rPr>
                <w:sz w:val="20"/>
                <w:szCs w:val="20"/>
                <w:color w:val="auto"/>
              </w:rPr>
            </w:pPr>
            <w:r>
              <w:rPr>
                <w:rFonts w:ascii="Arial" w:cs="Arial" w:eastAsia="Arial" w:hAnsi="Arial"/>
                <w:sz w:val="18"/>
                <w:szCs w:val="18"/>
                <w:b w:val="1"/>
                <w:bCs w:val="1"/>
                <w:color w:val="auto"/>
              </w:rPr>
              <w:t>SYNAPTICS INCORPORATED</w:t>
            </w:r>
          </w:p>
        </w:tc>
      </w:tr>
      <w:tr>
        <w:trPr>
          <w:trHeight w:val="522"/>
        </w:trPr>
        <w:tc>
          <w:tcPr>
            <w:tcW w:w="3200" w:type="dxa"/>
            <w:vAlign w:val="bottom"/>
          </w:tcPr>
          <w:p>
            <w:pPr>
              <w:spacing w:after="0"/>
              <w:rPr>
                <w:sz w:val="20"/>
                <w:szCs w:val="20"/>
                <w:color w:val="auto"/>
              </w:rPr>
            </w:pPr>
            <w:r>
              <w:rPr>
                <w:rFonts w:ascii="Arial" w:cs="Arial" w:eastAsia="Arial" w:hAnsi="Arial"/>
                <w:sz w:val="18"/>
                <w:szCs w:val="18"/>
                <w:color w:val="auto"/>
              </w:rPr>
              <w:t>Date: February 5, 2026</w:t>
            </w:r>
          </w:p>
        </w:tc>
        <w:tc>
          <w:tcPr>
            <w:tcW w:w="3260" w:type="dxa"/>
            <w:vAlign w:val="bottom"/>
          </w:tcPr>
          <w:p>
            <w:pPr>
              <w:ind w:left="21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Rahul Patel</w:t>
            </w:r>
          </w:p>
        </w:tc>
      </w:tr>
      <w:tr>
        <w:trPr>
          <w:trHeight w:val="247"/>
        </w:trPr>
        <w:tc>
          <w:tcPr>
            <w:tcW w:w="3200" w:type="dxa"/>
            <w:vAlign w:val="bottom"/>
          </w:tcPr>
          <w:p>
            <w:pPr>
              <w:spacing w:after="0"/>
              <w:rPr>
                <w:sz w:val="21"/>
                <w:szCs w:val="21"/>
                <w:color w:val="auto"/>
              </w:rPr>
            </w:pPr>
          </w:p>
        </w:tc>
        <w:tc>
          <w:tcPr>
            <w:tcW w:w="3260" w:type="dxa"/>
            <w:vAlign w:val="bottom"/>
          </w:tcPr>
          <w:p>
            <w:pPr>
              <w:ind w:left="218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Rahul Patel</w:t>
            </w:r>
          </w:p>
        </w:tc>
      </w:tr>
      <w:tr>
        <w:trPr>
          <w:trHeight w:val="220"/>
        </w:trPr>
        <w:tc>
          <w:tcPr>
            <w:tcW w:w="3200" w:type="dxa"/>
            <w:vAlign w:val="bottom"/>
          </w:tcPr>
          <w:p>
            <w:pPr>
              <w:spacing w:after="0"/>
              <w:rPr>
                <w:sz w:val="19"/>
                <w:szCs w:val="19"/>
                <w:color w:val="auto"/>
              </w:rPr>
            </w:pPr>
          </w:p>
        </w:tc>
        <w:tc>
          <w:tcPr>
            <w:tcW w:w="3260" w:type="dxa"/>
            <w:vAlign w:val="bottom"/>
          </w:tcPr>
          <w:p>
            <w:pPr>
              <w:ind w:left="218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w:t>
            </w:r>
          </w:p>
        </w:tc>
      </w:tr>
      <w:tr>
        <w:trPr>
          <w:trHeight w:val="239"/>
        </w:trPr>
        <w:tc>
          <w:tcPr>
            <w:tcW w:w="3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Officer)</w:t>
            </w:r>
          </w:p>
        </w:tc>
      </w:tr>
      <w:tr>
        <w:trPr>
          <w:trHeight w:val="543"/>
        </w:trPr>
        <w:tc>
          <w:tcPr>
            <w:tcW w:w="3200" w:type="dxa"/>
            <w:vAlign w:val="bottom"/>
          </w:tcPr>
          <w:p>
            <w:pPr>
              <w:spacing w:after="0"/>
              <w:rPr>
                <w:sz w:val="20"/>
                <w:szCs w:val="20"/>
                <w:color w:val="auto"/>
              </w:rPr>
            </w:pPr>
            <w:r>
              <w:rPr>
                <w:rFonts w:ascii="Arial" w:cs="Arial" w:eastAsia="Arial" w:hAnsi="Arial"/>
                <w:sz w:val="18"/>
                <w:szCs w:val="18"/>
                <w:color w:val="auto"/>
              </w:rPr>
              <w:t>Date: February 5, 2026</w:t>
            </w:r>
          </w:p>
        </w:tc>
        <w:tc>
          <w:tcPr>
            <w:tcW w:w="3260" w:type="dxa"/>
            <w:vAlign w:val="bottom"/>
          </w:tcPr>
          <w:p>
            <w:pPr>
              <w:ind w:left="218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Ken Rizvi</w:t>
            </w:r>
          </w:p>
        </w:tc>
      </w:tr>
      <w:tr>
        <w:trPr>
          <w:trHeight w:val="247"/>
        </w:trPr>
        <w:tc>
          <w:tcPr>
            <w:tcW w:w="3200" w:type="dxa"/>
            <w:vAlign w:val="bottom"/>
          </w:tcPr>
          <w:p>
            <w:pPr>
              <w:spacing w:after="0"/>
              <w:rPr>
                <w:sz w:val="21"/>
                <w:szCs w:val="21"/>
                <w:color w:val="auto"/>
              </w:rPr>
            </w:pPr>
          </w:p>
        </w:tc>
        <w:tc>
          <w:tcPr>
            <w:tcW w:w="3260" w:type="dxa"/>
            <w:vAlign w:val="bottom"/>
          </w:tcPr>
          <w:p>
            <w:pPr>
              <w:ind w:left="218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Ken Rizvi</w:t>
            </w:r>
          </w:p>
        </w:tc>
      </w:tr>
      <w:tr>
        <w:trPr>
          <w:trHeight w:val="247"/>
        </w:trPr>
        <w:tc>
          <w:tcPr>
            <w:tcW w:w="3200" w:type="dxa"/>
            <w:vAlign w:val="bottom"/>
          </w:tcPr>
          <w:p>
            <w:pPr>
              <w:spacing w:after="0"/>
              <w:rPr>
                <w:sz w:val="21"/>
                <w:szCs w:val="21"/>
                <w:color w:val="auto"/>
              </w:rPr>
            </w:pPr>
          </w:p>
        </w:tc>
        <w:tc>
          <w:tcPr>
            <w:tcW w:w="3260" w:type="dxa"/>
            <w:vAlign w:val="bottom"/>
          </w:tcPr>
          <w:p>
            <w:pPr>
              <w:ind w:left="218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9"/>
        </w:trPr>
        <w:tc>
          <w:tcPr>
            <w:tcW w:w="3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837"/>
        </w:trPr>
        <w:tc>
          <w:tcPr>
            <w:tcW w:w="3200" w:type="dxa"/>
            <w:vAlign w:val="bottom"/>
          </w:tcPr>
          <w:p>
            <w:pPr>
              <w:spacing w:after="0"/>
              <w:rPr>
                <w:sz w:val="24"/>
                <w:szCs w:val="24"/>
                <w:color w:val="auto"/>
              </w:rPr>
            </w:pPr>
          </w:p>
        </w:tc>
        <w:tc>
          <w:tcPr>
            <w:tcW w:w="3260" w:type="dxa"/>
            <w:vAlign w:val="bottom"/>
          </w:tcPr>
          <w:p>
            <w:pPr>
              <w:ind w:left="1360"/>
              <w:spacing w:after="0"/>
              <w:rPr>
                <w:sz w:val="20"/>
                <w:szCs w:val="20"/>
                <w:color w:val="auto"/>
              </w:rPr>
            </w:pPr>
            <w:r>
              <w:rPr>
                <w:rFonts w:ascii="Arial" w:cs="Arial" w:eastAsia="Arial" w:hAnsi="Arial"/>
                <w:sz w:val="18"/>
                <w:szCs w:val="18"/>
                <w:color w:val="auto"/>
              </w:rPr>
              <w:t>37</w:t>
            </w:r>
          </w:p>
        </w:tc>
        <w:tc>
          <w:tcPr>
            <w:tcW w:w="4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-301625</wp:posOffset>
            </wp:positionV>
            <wp:extent cx="1191260" cy="300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191260" cy="3003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2019 EQUITY AND INCENTIVE COMPENSATION PLAN</w:t>
      </w:r>
    </w:p>
    <w:p>
      <w:pPr>
        <w:spacing w:after="0" w:line="239" w:lineRule="exact"/>
        <w:rPr>
          <w:sz w:val="20"/>
          <w:szCs w:val="20"/>
          <w:color w:val="auto"/>
        </w:rPr>
      </w:pPr>
    </w:p>
    <w:p>
      <w:pPr>
        <w:ind w:left="340" w:right="20" w:hanging="332"/>
        <w:spacing w:after="0" w:line="42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this Plan is to attract and retain non-employee Directors, officers and other employees of the Company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certain consultants to the Company and its Subsidiaries, and to provide to such persons incentives and rewards for service and/or performance.</w:t>
      </w:r>
    </w:p>
    <w:p>
      <w:pPr>
        <w:spacing w:after="0" w:line="4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this Plan:</w:t>
      </w:r>
    </w:p>
    <w:p>
      <w:pPr>
        <w:spacing w:after="0" w:line="24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 means a right granted pursuant to Section 5 of this Plan.</w:t>
      </w:r>
    </w:p>
    <w:p>
      <w:pPr>
        <w:spacing w:after="0" w:line="23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Price” means the price to be used as the basis for determining the Spread upon the exercise of an Appreciation Right.</w:t>
      </w:r>
    </w:p>
    <w:p>
      <w:pPr>
        <w:spacing w:after="0" w:line="238"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5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Award” means a cash award granted pursuant to Section 8 of this Plan.</w:t>
      </w:r>
    </w:p>
    <w:p>
      <w:pPr>
        <w:spacing w:after="0" w:line="238" w:lineRule="exact"/>
        <w:rPr>
          <w:rFonts w:ascii="Times New Roman" w:cs="Times New Roman" w:eastAsia="Times New Roman" w:hAnsi="Times New Roman"/>
          <w:sz w:val="18"/>
          <w:szCs w:val="18"/>
          <w:color w:val="auto"/>
        </w:rPr>
      </w:pPr>
    </w:p>
    <w:p>
      <w:pPr>
        <w:jc w:val="both"/>
        <w:ind w:left="820" w:hanging="488"/>
        <w:spacing w:after="0" w:line="394" w:lineRule="auto"/>
        <w:tabs>
          <w:tab w:leader="none" w:pos="81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with respect to any Participant, have the equivalent meaning (or the same meaning as “cause” or “for cause”) set forth in any employment, consulting, change in control or other agreement for the performance of services between the Participant and the Company or a Subsidiary or, in the absence of any such agreement or any such definition in such agreement, such term shall mean (i) the Participant’s willful, material, and irreparable breach of any employment, consulting, change in control or other agreement between the Participant and the Company or a Subsidiary, (ii) the Participant’s gross negligence in the performance or intentional nonperformance (continuing for thirty (30) days after receipt of written notice of need to cure) of any of the Participant’s material duties and responsibilities to the Company, (iii) the Participant’s willful dishonesty, fraud, or misconduct with respect to the business or affairs of the Company, which materially and adversely affects the operations or reputation of the Company, (iv) the Participant’s indictment for, conviction of, or guilty plea to a felony crime involving dishonesty or moral turpitude whether or not relating to the Company, or (v) a confirmed positive illegal drug test. The good faith determination by the Committee of whether the Participant’s employment or service was terminated by the Company (or a Subsidiary) for “Cause” shall be final and binding for all purposes hereunder.</w:t>
      </w:r>
    </w:p>
    <w:p>
      <w:pPr>
        <w:spacing w:after="0" w:line="82"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meaning set forth in Section 12 of this Plan.</w:t>
      </w:r>
    </w:p>
    <w:p>
      <w:pPr>
        <w:spacing w:after="0" w:line="238" w:lineRule="exact"/>
        <w:rPr>
          <w:rFonts w:ascii="Times New Roman" w:cs="Times New Roman" w:eastAsia="Times New Roman" w:hAnsi="Times New Roman"/>
          <w:sz w:val="18"/>
          <w:szCs w:val="18"/>
          <w:color w:val="auto"/>
        </w:rPr>
      </w:pPr>
    </w:p>
    <w:p>
      <w:pPr>
        <w:ind w:left="820" w:hanging="488"/>
        <w:spacing w:after="0" w:line="423" w:lineRule="auto"/>
        <w:tabs>
          <w:tab w:leader="none" w:pos="81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 Any reference to a specific provision of the Code includes any successor provision and the regulations promulgated under such provision.</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415" w:lineRule="auto"/>
        <w:tabs>
          <w:tab w:leader="none" w:pos="81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of the Board (or its successor(s)), or any other committee of the Board designated by the Board to administer this Plan pursuant to Section 10 of this Plan, and to the extent of any delegation by the Committee to a subcommittee pursuant to Section 10 of this Plan, such subcommittee.</w:t>
      </w:r>
    </w:p>
    <w:p>
      <w:pPr>
        <w:sectPr>
          <w:pgSz w:w="11900" w:h="16838" w:orient="portrait"/>
          <w:cols w:equalWidth="0" w:num="1">
            <w:col w:w="11240"/>
          </w:cols>
          <w:pgMar w:left="320" w:top="117" w:right="339" w:bottom="1440" w:gutter="0" w:footer="0" w:header="0"/>
        </w:sectPr>
      </w:pPr>
    </w:p>
    <w:bookmarkStart w:id="38" w:name="page39"/>
    <w:bookmarkEnd w:id="38"/>
    <w:p>
      <w:pPr>
        <w:ind w:left="488" w:hanging="488"/>
        <w:spacing w:after="0" w:line="423" w:lineRule="auto"/>
        <w:tabs>
          <w:tab w:leader="none" w:pos="4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par value $0.001 per share, of the Company or any security into which such common stock may be changed by reason of any transaction or event of the type referred to in Section 11 of this Plan.</w:t>
      </w:r>
    </w:p>
    <w:p>
      <w:pPr>
        <w:spacing w:after="0" w:line="53"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Synaptics Incorporated, a Delaware corporation, and its successors.</w:t>
      </w:r>
    </w:p>
    <w:p>
      <w:pPr>
        <w:spacing w:after="0" w:line="238" w:lineRule="exact"/>
        <w:rPr>
          <w:rFonts w:ascii="Times New Roman" w:cs="Times New Roman" w:eastAsia="Times New Roman" w:hAnsi="Times New Roman"/>
          <w:sz w:val="18"/>
          <w:szCs w:val="18"/>
          <w:color w:val="auto"/>
        </w:rPr>
      </w:pPr>
    </w:p>
    <w:p>
      <w:pPr>
        <w:jc w:val="both"/>
        <w:ind w:left="488" w:hanging="488"/>
        <w:spacing w:after="0" w:line="401" w:lineRule="auto"/>
        <w:tabs>
          <w:tab w:leader="none" w:pos="4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means the date provided for by the Committee on which a grant of Option Rights, Appreciation Rights, Performance Shares, Performance Units, Cash Incentive Awards, or other awards contemplated by Section 9 of this Plan, or a grant or sale of Restricted Stock, Restricted Stock Units, or other awards contemplated by Section 9 of this Plan, will become effective (which date will not be earlier than the date on which the Committee takes action with respect thereto).</w:t>
      </w:r>
    </w:p>
    <w:p>
      <w:pPr>
        <w:spacing w:after="0" w:line="74"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w:t>
      </w:r>
    </w:p>
    <w:p>
      <w:pPr>
        <w:spacing w:after="0" w:line="252" w:lineRule="exact"/>
        <w:rPr>
          <w:rFonts w:ascii="Times New Roman" w:cs="Times New Roman" w:eastAsia="Times New Roman" w:hAnsi="Times New Roman"/>
          <w:sz w:val="18"/>
          <w:szCs w:val="18"/>
          <w:color w:val="auto"/>
        </w:rPr>
      </w:pPr>
    </w:p>
    <w:p>
      <w:pPr>
        <w:jc w:val="both"/>
        <w:ind w:left="488" w:hanging="488"/>
        <w:spacing w:after="0" w:line="395" w:lineRule="auto"/>
        <w:tabs>
          <w:tab w:leader="none" w:pos="4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unless otherwise defined in the applicable Evidence of Award, (i) the Participant is unable to engage in any substantial gainful activity by reason of any medically determinable physical or mental impairment that can be expected to result in death or can be expected to last for a continuous period of not less than 12 months, or (ii)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 or, if applicable, any Subsidiary; provided, however, that to the extent any Option Right granted hereunder is intended to qualify as an Incentive Stock Option, “Disability” for purposes of such Option Right shall mean a “permanent and total disability” as defined in Section 22(e)(3) of the Code.</w:t>
      </w:r>
    </w:p>
    <w:p>
      <w:pPr>
        <w:spacing w:after="0" w:line="82"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October 29, 2019, the date this Plan was initially approved by the Stockholders.</w:t>
      </w:r>
    </w:p>
    <w:p>
      <w:pPr>
        <w:spacing w:after="0" w:line="238" w:lineRule="exact"/>
        <w:rPr>
          <w:rFonts w:ascii="Times New Roman" w:cs="Times New Roman" w:eastAsia="Times New Roman" w:hAnsi="Times New Roman"/>
          <w:sz w:val="18"/>
          <w:szCs w:val="18"/>
          <w:color w:val="auto"/>
        </w:rPr>
      </w:pPr>
    </w:p>
    <w:p>
      <w:pPr>
        <w:jc w:val="both"/>
        <w:ind w:left="488" w:hanging="488"/>
        <w:spacing w:after="0" w:line="401" w:lineRule="auto"/>
        <w:tabs>
          <w:tab w:leader="none" w:pos="4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74" w:lineRule="exact"/>
        <w:rPr>
          <w:rFonts w:ascii="Times New Roman" w:cs="Times New Roman" w:eastAsia="Times New Roman" w:hAnsi="Times New Roman"/>
          <w:sz w:val="18"/>
          <w:szCs w:val="18"/>
          <w:color w:val="auto"/>
        </w:rPr>
      </w:pPr>
    </w:p>
    <w:p>
      <w:pPr>
        <w:ind w:left="488" w:hanging="488"/>
        <w:spacing w:after="0" w:line="423" w:lineRule="auto"/>
        <w:tabs>
          <w:tab w:leader="none" w:pos="4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the rules and regulations thereunder, as such law, rules and regulations may be amended from time to time.</w:t>
      </w:r>
    </w:p>
    <w:p>
      <w:pPr>
        <w:spacing w:after="0" w:line="53"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means an executive officer of the Company as defined under the Exchange Act.</w:t>
      </w:r>
    </w:p>
    <w:p>
      <w:pPr>
        <w:spacing w:after="0" w:line="252" w:lineRule="exact"/>
        <w:rPr>
          <w:rFonts w:ascii="Times New Roman" w:cs="Times New Roman" w:eastAsia="Times New Roman" w:hAnsi="Times New Roman"/>
          <w:sz w:val="18"/>
          <w:szCs w:val="18"/>
          <w:color w:val="auto"/>
        </w:rPr>
      </w:pPr>
    </w:p>
    <w:p>
      <w:pPr>
        <w:ind w:left="488" w:hanging="488"/>
        <w:spacing w:after="0" w:line="423" w:lineRule="auto"/>
        <w:tabs>
          <w:tab w:leader="none" w:pos="4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Right that is intended to qualify as an “incentive stock option” under Section 422 of the Code or any successor provision.</w:t>
      </w:r>
    </w:p>
    <w:p>
      <w:pPr>
        <w:spacing w:after="0" w:line="53" w:lineRule="exact"/>
        <w:rPr>
          <w:rFonts w:ascii="Times New Roman" w:cs="Times New Roman" w:eastAsia="Times New Roman" w:hAnsi="Times New Roman"/>
          <w:sz w:val="18"/>
          <w:szCs w:val="18"/>
          <w:color w:val="auto"/>
        </w:rPr>
      </w:pPr>
    </w:p>
    <w:p>
      <w:pPr>
        <w:jc w:val="both"/>
        <w:ind w:left="488" w:hanging="488"/>
        <w:spacing w:after="0" w:line="407"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Objectives” means the measurable performance objective or objectives established pursuant to this Plan for Participants who have received grants of Performance Shares, Performance Units or Cash Incentive Awards or, when so determined by the Committee, Option Rights, Appreciation Rights, Restricted Stock,</w:t>
      </w:r>
    </w:p>
    <w:p>
      <w:pPr>
        <w:spacing w:after="0" w:line="200" w:lineRule="exact"/>
        <w:rPr>
          <w:sz w:val="20"/>
          <w:szCs w:val="20"/>
          <w:color w:val="auto"/>
        </w:rPr>
      </w:pPr>
    </w:p>
    <w:p>
      <w:pPr>
        <w:spacing w:after="0" w:line="39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8"/>
          </w:cols>
          <w:pgMar w:left="652" w:top="1161" w:right="339" w:bottom="1440" w:gutter="0" w:footer="0" w:header="0"/>
        </w:sectPr>
      </w:pPr>
    </w:p>
    <w:bookmarkStart w:id="39" w:name="page40"/>
    <w:bookmarkEnd w:id="39"/>
    <w:p>
      <w:pPr>
        <w:jc w:val="both"/>
        <w:ind w:left="488"/>
        <w:spacing w:after="0" w:line="399" w:lineRule="auto"/>
        <w:rPr>
          <w:sz w:val="20"/>
          <w:szCs w:val="20"/>
          <w:color w:val="auto"/>
        </w:rPr>
      </w:pPr>
      <w:r>
        <w:rPr>
          <w:rFonts w:ascii="Times New Roman" w:cs="Times New Roman" w:eastAsia="Times New Roman" w:hAnsi="Times New Roman"/>
          <w:sz w:val="18"/>
          <w:szCs w:val="18"/>
          <w:color w:val="auto"/>
        </w:rPr>
        <w:t>Restricted Stock Units, dividend equivalents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or that an adjustment thereto is appropriate, the Committee may in its discretion modify such Management Objectives or the acceptable levels of achievement, in whole or in part, as the Committee deems appropriate and equitable.</w:t>
      </w:r>
    </w:p>
    <w:p>
      <w:pPr>
        <w:spacing w:after="0" w:line="75" w:lineRule="exact"/>
        <w:rPr>
          <w:sz w:val="20"/>
          <w:szCs w:val="20"/>
          <w:color w:val="auto"/>
        </w:rPr>
      </w:pPr>
    </w:p>
    <w:p>
      <w:pPr>
        <w:jc w:val="both"/>
        <w:ind w:left="488" w:hanging="488"/>
        <w:spacing w:after="0" w:line="399" w:lineRule="auto"/>
        <w:tabs>
          <w:tab w:leader="none" w:pos="4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per Share” means, as of any particular date, the closing price of a share of Common Stock as reported for that date on the Nasdaq Stock Market or, if the shares of Common Stock are not then listed on the Nasdaq Stock Market, on any other national securities exchange on which the shares of Common Stock are listed, or if there are no sales on such date, on the next preceding trading day during which a sale occurred. If there is no regular public trading market for the shares of Common Stock, then the Market Value per Share shall be the fair market value as determined in good faith by the Committee. The Committee is authorized to adopt another method of determining the fair market value, and the value of a share of Common Stock determined using such method shall be deemed to be the Market Value per Share, provided such method in compliance with the fair market value pricing rules set forth in Section 409A of the Code to the extent applicable.</w:t>
      </w:r>
    </w:p>
    <w:p>
      <w:pPr>
        <w:spacing w:after="0" w:line="75"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means the optionee named in an Evidence of Award evidencing an outstanding Option Right.</w:t>
      </w:r>
    </w:p>
    <w:p>
      <w:pPr>
        <w:spacing w:after="0" w:line="238"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Price” means the purchase price payable on exercise of an Option Right.</w:t>
      </w:r>
    </w:p>
    <w:p>
      <w:pPr>
        <w:spacing w:after="0" w:line="238"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 means the right to purchase shares of Common Stock upon exercise of an award granted pursuant to Section 4 of this Plan.</w:t>
      </w:r>
    </w:p>
    <w:p>
      <w:pPr>
        <w:spacing w:after="0" w:line="238" w:lineRule="exact"/>
        <w:rPr>
          <w:rFonts w:ascii="Times New Roman" w:cs="Times New Roman" w:eastAsia="Times New Roman" w:hAnsi="Times New Roman"/>
          <w:sz w:val="18"/>
          <w:szCs w:val="18"/>
          <w:color w:val="auto"/>
        </w:rPr>
      </w:pPr>
    </w:p>
    <w:p>
      <w:pPr>
        <w:jc w:val="both"/>
        <w:ind w:left="488" w:hanging="488"/>
        <w:spacing w:after="0" w:line="396" w:lineRule="auto"/>
        <w:tabs>
          <w:tab w:leader="none" w:pos="4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is selected by the Committee to receive benefits under this Plan and who is at the time (i) a non-employee Director (which, for purposes of this Plan, means a Director who is not, at the relevant time, employed by the Company or one of its Subsidiaries), (ii) an officer or other employee of the Company or any Subsidiary (or an individual engaged to become an officer or other employee), or (iii) an individual consultant or advisor who renders or has rendered bona fide services to the Company or any Subsidiary (other than services in connection with the offering or sale of securities of the Company or a Subsidiary in a capital-raising transaction or as a market maker or promoter of securities of the Company or a Subsidiary); provided, however, that an individual referred to in clause (iii) may participate in this Plan only if such participation would not adversely affect either the Company’s eligibility to use Form S-8 to register the offering and sale of shares issuable under this Plan under the Securities Act of 1933, as amended, or the Company’s compliance with any other applicable laws. Only individuals described in the foregoing clauses (i), (ii) or (iii), in each case as determined by the Committee, are eligible to receive awards under this Plan. No individual shall have any right to be granted an award, even if an award was granted to such individual at any prior time or if a similarly situated individual is or was granted an award under similar circumstances.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161" w:right="339" w:bottom="1440" w:gutter="0" w:footer="0" w:header="0"/>
        </w:sectPr>
      </w:pPr>
    </w:p>
    <w:bookmarkStart w:id="40" w:name="page41"/>
    <w:bookmarkEnd w:id="40"/>
    <w:p>
      <w:pPr>
        <w:jc w:val="both"/>
        <w:ind w:left="488" w:hanging="488"/>
        <w:spacing w:after="0" w:line="407" w:lineRule="auto"/>
        <w:tabs>
          <w:tab w:leader="none" w:pos="4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means, in respect of a Cash Incentive Award, Performance Share or Performance Unit, a period of time established pursuant to Section 8 of this Plan within which the Management Objectives relating to such Cash Incentive Award, Performance Share or Performance Unit are to be achieved.</w:t>
      </w:r>
    </w:p>
    <w:p>
      <w:pPr>
        <w:spacing w:after="0" w:line="67" w:lineRule="exact"/>
        <w:rPr>
          <w:rFonts w:ascii="Times New Roman" w:cs="Times New Roman" w:eastAsia="Times New Roman" w:hAnsi="Times New Roman"/>
          <w:sz w:val="18"/>
          <w:szCs w:val="18"/>
          <w:color w:val="auto"/>
        </w:rPr>
      </w:pPr>
    </w:p>
    <w:p>
      <w:pPr>
        <w:ind w:left="488" w:hanging="488"/>
        <w:spacing w:after="0" w:line="423" w:lineRule="auto"/>
        <w:tabs>
          <w:tab w:leader="none" w:pos="4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means a bookkeeping entry that records the equivalent of one share of Common Stock awarded pursuant to Section 8 of this Plan.</w:t>
      </w:r>
    </w:p>
    <w:p>
      <w:pPr>
        <w:spacing w:after="0" w:line="53" w:lineRule="exact"/>
        <w:rPr>
          <w:sz w:val="20"/>
          <w:szCs w:val="20"/>
          <w:color w:val="auto"/>
        </w:rPr>
      </w:pPr>
    </w:p>
    <w:p>
      <w:pPr>
        <w:ind w:left="488" w:hanging="488"/>
        <w:spacing w:after="0" w:line="423" w:lineRule="auto"/>
        <w:tabs>
          <w:tab w:leader="none" w:pos="4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 means a bookkeeping entry awarded pursuant to Section 8 of this Plan that records a unit equivalent to $1.00 or such other value as is determined by the Committee.</w:t>
      </w:r>
    </w:p>
    <w:p>
      <w:pPr>
        <w:spacing w:after="0" w:line="53" w:lineRule="exact"/>
        <w:rPr>
          <w:rFonts w:ascii="Times New Roman" w:cs="Times New Roman" w:eastAsia="Times New Roman" w:hAnsi="Times New Roman"/>
          <w:sz w:val="18"/>
          <w:szCs w:val="18"/>
          <w:color w:val="auto"/>
        </w:rPr>
      </w:pPr>
    </w:p>
    <w:p>
      <w:pPr>
        <w:ind w:left="488" w:hanging="488"/>
        <w:spacing w:after="0" w:line="438" w:lineRule="auto"/>
        <w:tabs>
          <w:tab w:leader="none" w:pos="5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Synaptics Incorporated 2019 Equity and Incentive Compensation Plan, as amended or amended and restated from time to time.</w:t>
      </w:r>
    </w:p>
    <w:p>
      <w:pPr>
        <w:spacing w:after="0" w:line="41" w:lineRule="exact"/>
        <w:rPr>
          <w:rFonts w:ascii="Times New Roman" w:cs="Times New Roman" w:eastAsia="Times New Roman" w:hAnsi="Times New Roman"/>
          <w:sz w:val="18"/>
          <w:szCs w:val="18"/>
          <w:color w:val="auto"/>
        </w:rPr>
      </w:pPr>
    </w:p>
    <w:p>
      <w:pPr>
        <w:ind w:left="488" w:hanging="488"/>
        <w:spacing w:after="0" w:line="42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“Predecessor Plans” means the Synaptics Incorporated Amended and Restated 2010 Incentive Compensation Plan and the Synaptics Incorporated Amended and Restated 2001 Incentive Compensation Plan, as amended.</w:t>
      </w:r>
    </w:p>
    <w:p>
      <w:pPr>
        <w:spacing w:after="0" w:line="53" w:lineRule="exact"/>
        <w:rPr>
          <w:rFonts w:ascii="Times New Roman" w:cs="Times New Roman" w:eastAsia="Times New Roman" w:hAnsi="Times New Roman"/>
          <w:sz w:val="18"/>
          <w:szCs w:val="18"/>
          <w:color w:val="auto"/>
        </w:rPr>
      </w:pPr>
    </w:p>
    <w:p>
      <w:pPr>
        <w:jc w:val="both"/>
        <w:ind w:left="488" w:hanging="488"/>
        <w:spacing w:after="0" w:line="394" w:lineRule="auto"/>
        <w:tabs>
          <w:tab w:leader="none" w:pos="4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Award” means an award (i) of the same type (e.g., time-based restricted stock units) as the replaced award, (ii) that has a value at least equal to the value of the replaced award, (iii) that relates to publicly traded equity securities of the Company or its successor in the Change in Control or another entity that is affiliated with the Company or its successor following the Change in Control, (iv) if the Participant holding the replaced award is subject to U.S. federal income tax under the Code, the tax treatment of which under the Code is not less favorable to such Participant than the tax consequences of the replaced award, and (v) the other terms and conditions of which are not less favorable to the Participant holding the replaced award than the terms and conditions of the replaced award (including the provisions that would apply in the event of a subsequent Change in Control), in each case after giving effect to any changes to the replaced award in connection with the Change in Control permitted or required under the applicable Evidence of Award.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these conditions are satisfied will be made by the Committee, as constituted immediately before the Change in Control, in its sole discretion.</w:t>
      </w:r>
    </w:p>
    <w:p>
      <w:pPr>
        <w:spacing w:after="0" w:line="80" w:lineRule="exact"/>
        <w:rPr>
          <w:rFonts w:ascii="Times New Roman" w:cs="Times New Roman" w:eastAsia="Times New Roman" w:hAnsi="Times New Roman"/>
          <w:sz w:val="18"/>
          <w:szCs w:val="18"/>
          <w:color w:val="auto"/>
        </w:rPr>
      </w:pPr>
    </w:p>
    <w:p>
      <w:pPr>
        <w:ind w:left="488" w:hanging="488"/>
        <w:spacing w:after="0" w:line="438" w:lineRule="auto"/>
        <w:tabs>
          <w:tab w:leader="none" w:pos="4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of Common Stock granted or sold pursuant to Section 6 of this Plan as to which neither the substantial risk of forfeiture nor the prohibition on transfers has expired.</w:t>
      </w:r>
    </w:p>
    <w:p>
      <w:pPr>
        <w:spacing w:after="0" w:line="41" w:lineRule="exact"/>
        <w:rPr>
          <w:rFonts w:ascii="Times New Roman" w:cs="Times New Roman" w:eastAsia="Times New Roman" w:hAnsi="Times New Roman"/>
          <w:sz w:val="18"/>
          <w:szCs w:val="18"/>
          <w:color w:val="auto"/>
        </w:rPr>
      </w:pPr>
    </w:p>
    <w:p>
      <w:pPr>
        <w:ind w:left="488" w:right="20" w:hanging="488"/>
        <w:spacing w:after="0" w:line="423"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means an award made pursuant to Section 7 of this Plan of the right to receive shares of Common Stock, cash or a combination thereof at the end of the applicable Restriction Period.</w:t>
      </w:r>
    </w:p>
    <w:p>
      <w:pPr>
        <w:spacing w:after="0" w:line="53" w:lineRule="exact"/>
        <w:rPr>
          <w:rFonts w:ascii="Times New Roman" w:cs="Times New Roman" w:eastAsia="Times New Roman" w:hAnsi="Times New Roman"/>
          <w:sz w:val="18"/>
          <w:szCs w:val="18"/>
          <w:color w:val="auto"/>
        </w:rPr>
      </w:pPr>
    </w:p>
    <w:p>
      <w:pPr>
        <w:ind w:left="488" w:hanging="488"/>
        <w:spacing w:after="0" w:line="423" w:lineRule="auto"/>
        <w:tabs>
          <w:tab w:leader="none" w:pos="5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Period” means the period of time during which Restricted Stock Units are subject to restrictions, as provided in Section 7 of this Plan.</w:t>
      </w:r>
    </w:p>
    <w:p>
      <w:pPr>
        <w:spacing w:after="0" w:line="200" w:lineRule="exact"/>
        <w:rPr>
          <w:sz w:val="20"/>
          <w:szCs w:val="20"/>
          <w:color w:val="auto"/>
        </w:rPr>
      </w:pPr>
    </w:p>
    <w:p>
      <w:pPr>
        <w:spacing w:after="0" w:line="3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8"/>
          </w:cols>
          <w:pgMar w:left="652" w:top="1161" w:right="339" w:bottom="1440" w:gutter="0" w:footer="0" w:header="0"/>
        </w:sectPr>
      </w:pPr>
    </w:p>
    <w:bookmarkStart w:id="41" w:name="page42"/>
    <w:bookmarkEnd w:id="41"/>
    <w:p>
      <w:pPr>
        <w:ind w:left="820" w:hanging="488"/>
        <w:spacing w:after="0" w:line="423" w:lineRule="auto"/>
        <w:tabs>
          <w:tab w:leader="none" w:pos="82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means the excess of the Market Value per Share on the date when an Appreciation Right is exercised over the Base Price provided for with respect to the Appreciation Right.</w:t>
      </w:r>
    </w:p>
    <w:p>
      <w:pPr>
        <w:spacing w:after="0" w:line="53"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means an individual or entity that owns one or more shares of Common Stock.</w:t>
      </w:r>
    </w:p>
    <w:p>
      <w:pPr>
        <w:spacing w:after="0" w:line="238" w:lineRule="exact"/>
        <w:rPr>
          <w:rFonts w:ascii="Times New Roman" w:cs="Times New Roman" w:eastAsia="Times New Roman" w:hAnsi="Times New Roman"/>
          <w:sz w:val="18"/>
          <w:szCs w:val="18"/>
          <w:color w:val="auto"/>
        </w:rPr>
      </w:pPr>
    </w:p>
    <w:p>
      <w:pPr>
        <w:ind w:left="820" w:hanging="488"/>
        <w:spacing w:after="0" w:line="399" w:lineRule="auto"/>
        <w:tabs>
          <w:tab w:leader="none" w:pos="7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provided, however,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75" w:lineRule="exact"/>
        <w:rPr>
          <w:rFonts w:ascii="Times New Roman" w:cs="Times New Roman" w:eastAsia="Times New Roman" w:hAnsi="Times New Roman"/>
          <w:sz w:val="18"/>
          <w:szCs w:val="18"/>
          <w:color w:val="auto"/>
        </w:rPr>
      </w:pPr>
    </w:p>
    <w:p>
      <w:pPr>
        <w:ind w:left="820" w:hanging="488"/>
        <w:spacing w:after="0" w:line="407" w:lineRule="auto"/>
        <w:tabs>
          <w:tab w:leader="none" w:pos="8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Stockholder" means an employee of the Company or an affiliate, or an individual engaged to become such an employee, who, as of the date an Incentive Stock Option is granted to such individual, owns more than ten percent (10%) of the total combined voting power of all classes of shares then issued by the Company or a Subsidiary corporation.</w:t>
      </w:r>
    </w:p>
    <w:p>
      <w:pPr>
        <w:spacing w:after="0" w:line="67" w:lineRule="exact"/>
        <w:rPr>
          <w:rFonts w:ascii="Times New Roman" w:cs="Times New Roman" w:eastAsia="Times New Roman" w:hAnsi="Times New Roman"/>
          <w:sz w:val="18"/>
          <w:szCs w:val="18"/>
          <w:color w:val="auto"/>
        </w:rPr>
      </w:pPr>
    </w:p>
    <w:p>
      <w:pPr>
        <w:ind w:left="820" w:right="380" w:hanging="488"/>
        <w:spacing w:after="0" w:line="423" w:lineRule="auto"/>
        <w:tabs>
          <w:tab w:leader="none" w:pos="7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Power” means, at any time, the combined voting power of the then-outstanding securities entitled to vote generally in the election of Directors in the case of the Company or members of the board of directors or similar body in the case of another entity.</w:t>
      </w:r>
    </w:p>
    <w:p>
      <w:pPr>
        <w:spacing w:after="0" w:line="4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Available Under this Plan.</w:t>
      </w:r>
    </w:p>
    <w:p>
      <w:pPr>
        <w:spacing w:after="0" w:line="242"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 Available Under this Plan.</w:t>
      </w:r>
    </w:p>
    <w:p>
      <w:pPr>
        <w:spacing w:after="0" w:line="238" w:lineRule="exact"/>
        <w:rPr>
          <w:rFonts w:ascii="Times New Roman" w:cs="Times New Roman" w:eastAsia="Times New Roman" w:hAnsi="Times New Roman"/>
          <w:sz w:val="18"/>
          <w:szCs w:val="18"/>
          <w:color w:val="auto"/>
        </w:rPr>
      </w:pPr>
    </w:p>
    <w:p>
      <w:pPr>
        <w:jc w:val="both"/>
        <w:ind w:left="1300" w:hanging="482"/>
        <w:spacing w:after="0" w:line="397" w:lineRule="auto"/>
        <w:tabs>
          <w:tab w:leader="none" w:pos="129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11 of this Plan and the share counting rules set forth in Section 3(b) of this Plan, and except as provided in Section 22 of this Plan, the maximum number of shares of Common Stock available for issuance under this Plan for awards of (A) Option Rights or Appreciation Rights, (B) Restricted Stock, (C) Restricted Stock Units, (D) Performance Shares or Performance Units, (E) awards contemplated by Section 9 of this Plan, or (F) dividend equivalents paid with respect to awards made under this Plan will not exceed in the aggregate 7,588,000 shares of Common Stock. Such shares may be shares of original issuance or treasury shares or a combination of the foregoing.</w:t>
      </w:r>
    </w:p>
    <w:p>
      <w:pPr>
        <w:spacing w:after="0" w:line="78" w:lineRule="exact"/>
        <w:rPr>
          <w:rFonts w:ascii="Times New Roman" w:cs="Times New Roman" w:eastAsia="Times New Roman" w:hAnsi="Times New Roman"/>
          <w:sz w:val="18"/>
          <w:szCs w:val="18"/>
          <w:color w:val="auto"/>
        </w:rPr>
      </w:pPr>
    </w:p>
    <w:p>
      <w:pPr>
        <w:ind w:left="1300" w:hanging="482"/>
        <w:spacing w:after="0" w:line="438" w:lineRule="auto"/>
        <w:tabs>
          <w:tab w:leader="none" w:pos="129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available under Section 3(a)(i) of this Plan will be reduced by one share of Common Stock for every one share of Common Stock subject to each award granted under this Plan.</w:t>
      </w:r>
    </w:p>
    <w:p>
      <w:pPr>
        <w:spacing w:after="0" w:line="4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 Rules.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61" w:right="339" w:bottom="1440" w:gutter="0" w:footer="0" w:header="0"/>
        </w:sectPr>
      </w:pPr>
    </w:p>
    <w:bookmarkStart w:id="42" w:name="page43"/>
    <w:bookmarkEnd w:id="42"/>
    <w:p>
      <w:pPr>
        <w:jc w:val="both"/>
        <w:ind w:left="968" w:hanging="482"/>
        <w:spacing w:after="0" w:line="324" w:lineRule="auto"/>
        <w:tabs>
          <w:tab w:leader="none" w:pos="96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22 of this Plan, if any award granted under this Plan is cancelled or forfeited, expires, is settled for cash (in whole or in part), or it is determined during or at the conclusion of the term of an award that all or some portion of the shares of Common Stock with respect to which the award was granted will not be issuable on the basis that the conditions for such issuance will not be satisfied, the shares of Common Stock subject to such award will, to the extent of such cancellation, forfeiture, expiration, cash settlement, or unissuable amount, again be available under Section 3(a)(i) above.</w:t>
      </w:r>
    </w:p>
    <w:p>
      <w:pPr>
        <w:spacing w:after="0" w:line="6" w:lineRule="exact"/>
        <w:rPr>
          <w:rFonts w:ascii="Times New Roman" w:cs="Times New Roman" w:eastAsia="Times New Roman" w:hAnsi="Times New Roman"/>
          <w:sz w:val="18"/>
          <w:szCs w:val="18"/>
          <w:color w:val="auto"/>
        </w:rPr>
      </w:pPr>
    </w:p>
    <w:p>
      <w:pPr>
        <w:jc w:val="both"/>
        <w:ind w:left="968" w:hanging="482"/>
        <w:spacing w:after="0" w:line="401" w:lineRule="auto"/>
        <w:tabs>
          <w:tab w:leader="none" w:pos="9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any shares of Common Stock subject to an award granted under the Predecessor Plans are forfeited, or an award granted under the Predecessor Plans is cancelled or forfeited, expires, is settled for cash (in whole or in part), or is unearned (in whole or in part), the shares of Common Stock subject to such award will, to the extent of such cancellation, forfeiture, expiration, cash settlement, or unearned amount, be available for awards under this Plan.</w:t>
      </w:r>
    </w:p>
    <w:p>
      <w:pPr>
        <w:spacing w:after="0" w:line="74" w:lineRule="exact"/>
        <w:rPr>
          <w:rFonts w:ascii="Times New Roman" w:cs="Times New Roman" w:eastAsia="Times New Roman" w:hAnsi="Times New Roman"/>
          <w:sz w:val="18"/>
          <w:szCs w:val="18"/>
          <w:color w:val="auto"/>
        </w:rPr>
      </w:pPr>
    </w:p>
    <w:p>
      <w:pPr>
        <w:jc w:val="both"/>
        <w:ind w:left="968" w:hanging="482"/>
        <w:spacing w:after="0" w:line="394"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Section 3(a)(i) of this Plan; (B) shares of Common Stock withheld by the Company, tendered or otherwise used to satisfy tax withholding with respect to Option Rights or Appreciation Rights granted under this Plan will not be added (or added back, as applicable) to the aggregate number of shares of Common Stock available under Section 3(a)(i) of this Plan; (C) shares of Common Stock subject to an Appreciation Right that are not actually issued in connection with the settlement of such Appreciation Right on the exercise thereof will not be added back to the aggregate number of shares of Common Stock available under Section 3(a)(i) of this Plan; and (D) shares of Common Stock reacquired by the Company on the open market or otherwise using cash proceeds from the exercise of Option Rights will not be added (or added back, as applicable) to the aggregate number of shares of Common Stock available under Section 3(a)(i) of this Plan.</w:t>
      </w:r>
    </w:p>
    <w:p>
      <w:pPr>
        <w:spacing w:after="0" w:line="98" w:lineRule="exact"/>
        <w:rPr>
          <w:rFonts w:ascii="Times New Roman" w:cs="Times New Roman" w:eastAsia="Times New Roman" w:hAnsi="Times New Roman"/>
          <w:sz w:val="18"/>
          <w:szCs w:val="18"/>
          <w:color w:val="auto"/>
        </w:rPr>
      </w:pPr>
    </w:p>
    <w:p>
      <w:pPr>
        <w:ind w:left="968" w:hanging="482"/>
        <w:spacing w:after="0" w:line="423" w:lineRule="auto"/>
        <w:tabs>
          <w:tab w:leader="none" w:pos="9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this Plan, a Participant has elected to give up the right to receive compensation in exchange for shares of Common Stock based on fair market value, such shares of Common Stock will not count against the aggregate limit under Section 3(a)(i) of this Plan.</w:t>
      </w:r>
    </w:p>
    <w:p>
      <w:pPr>
        <w:spacing w:after="0" w:line="53" w:lineRule="exact"/>
        <w:rPr>
          <w:rFonts w:ascii="Times New Roman" w:cs="Times New Roman" w:eastAsia="Times New Roman" w:hAnsi="Times New Roman"/>
          <w:sz w:val="18"/>
          <w:szCs w:val="18"/>
          <w:color w:val="auto"/>
        </w:rPr>
      </w:pPr>
    </w:p>
    <w:p>
      <w:pPr>
        <w:jc w:val="both"/>
        <w:ind w:left="488" w:hanging="488"/>
        <w:spacing w:after="0" w:line="407" w:lineRule="auto"/>
        <w:tabs>
          <w:tab w:leader="none" w:pos="4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Incentive Stock Options.</w:t>
      </w:r>
      <w:r>
        <w:rPr>
          <w:rFonts w:ascii="Times New Roman" w:cs="Times New Roman" w:eastAsia="Times New Roman" w:hAnsi="Times New Roman"/>
          <w:sz w:val="18"/>
          <w:szCs w:val="18"/>
          <w:color w:val="auto"/>
        </w:rPr>
        <w:t xml:space="preserve"> Notwithstanding anything to the contrary contained in this Section 3 or elsewhere in this Plan, and subject to adjustment as provided in Section 11 of this Plan, the aggregate number of shares of Common Stock actually issued or transferred by the Company upon the exercise of Incentive Stock Options will not exceed 7,588,000 shares of Common Stock.</w:t>
      </w:r>
    </w:p>
    <w:p>
      <w:pPr>
        <w:spacing w:after="0" w:line="67" w:lineRule="exact"/>
        <w:rPr>
          <w:rFonts w:ascii="Times New Roman" w:cs="Times New Roman" w:eastAsia="Times New Roman" w:hAnsi="Times New Roman"/>
          <w:sz w:val="18"/>
          <w:szCs w:val="18"/>
          <w:color w:val="auto"/>
        </w:rPr>
      </w:pPr>
    </w:p>
    <w:p>
      <w:pPr>
        <w:jc w:val="both"/>
        <w:ind w:left="488" w:hanging="488"/>
        <w:spacing w:after="0" w:line="401" w:lineRule="auto"/>
        <w:tabs>
          <w:tab w:leader="none" w:pos="4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 Requirements.</w:t>
      </w:r>
      <w:r>
        <w:rPr>
          <w:rFonts w:ascii="Times New Roman" w:cs="Times New Roman" w:eastAsia="Times New Roman" w:hAnsi="Times New Roman"/>
          <w:sz w:val="18"/>
          <w:szCs w:val="18"/>
          <w:color w:val="auto"/>
        </w:rPr>
        <w:t xml:space="preserve"> Except as set forth below in this Section 3(d), no award granted under this Plan on or after the Effective Date may vest earlier than after a one-year vesting period or a one-year performance period, as applicable. However, up to 5% of the sum of (A) the number of shares available for issuance under the aggregate limit set forth in Section 3(a)(i) of this Plan plus (B) the number of shares that are returned to the aggregate number of shares of Common Stock available under Section 3(a)(i) of this Plan from time to time</w:t>
      </w:r>
    </w:p>
    <w:p>
      <w:pPr>
        <w:spacing w:after="0" w:line="200" w:lineRule="exact"/>
        <w:rPr>
          <w:sz w:val="20"/>
          <w:szCs w:val="20"/>
          <w:color w:val="auto"/>
        </w:rPr>
      </w:pPr>
    </w:p>
    <w:p>
      <w:pPr>
        <w:spacing w:after="0" w:line="3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8"/>
          </w:cols>
          <w:pgMar w:left="652" w:top="1120" w:right="339" w:bottom="1440" w:gutter="0" w:footer="0" w:header="0"/>
        </w:sectPr>
      </w:pPr>
    </w:p>
    <w:bookmarkStart w:id="43" w:name="page44"/>
    <w:bookmarkEnd w:id="43"/>
    <w:p>
      <w:pPr>
        <w:jc w:val="both"/>
        <w:ind w:left="820"/>
        <w:spacing w:after="0" w:line="395" w:lineRule="auto"/>
        <w:rPr>
          <w:sz w:val="20"/>
          <w:szCs w:val="20"/>
          <w:color w:val="auto"/>
        </w:rPr>
      </w:pPr>
      <w:r>
        <w:rPr>
          <w:rFonts w:ascii="Times New Roman" w:cs="Times New Roman" w:eastAsia="Times New Roman" w:hAnsi="Times New Roman"/>
          <w:sz w:val="18"/>
          <w:szCs w:val="18"/>
          <w:color w:val="auto"/>
        </w:rPr>
        <w:t>pursuant to awards granted under the Predecessor Plans that are outstanding on the Effective Date and are cancelled or forfeited, expire, are settled for cash (in whole or in part), or are unearned (in whole or in part) after the Effective Date, may be issued or delivered after the Effective Date in respect of awards that do not meet such minimum vesting requirements. In addition, nothing in this Section 3(d) shall limit the Company’s ability to grant awards that contain rights to accelerated vesting in connection with the award recipient’s death or Disability or in connection with a Change in Control (or the Committee’s authority to provide for the acceleration of an award, or portion thereof, in any circumstances), and any shares subject to any portion of an award that provides for acceleration, or that accelerates, in connection with the award recipient’s death or Disability, or in connection with a Change in Control, or pursuant to the Committee's authority, shall not count against the 5% pool of shares described in the immediately preceding sentence (the “5% Pool”). In addition, the minimum vesting criteria set forth in this Section 3(d) shall not apply to awards granted pursuant to an assumption of or substitution for another stock award (which stock award was granted by another person) in connection with a Change in Control or acquisition by the Company of the other person, and the shares subject to any such award shall not count against the 5% Pool. For purposes of awards granted to non-employee Directors, “one year” may mean the period of time from one annual stockholders meeting to the next annual stockholders meeting, provided that such period of time is not less than fifty (50) weeks.</w:t>
      </w:r>
    </w:p>
    <w:p>
      <w:pPr>
        <w:spacing w:after="0" w:line="215" w:lineRule="exact"/>
        <w:rPr>
          <w:sz w:val="20"/>
          <w:szCs w:val="20"/>
          <w:color w:val="auto"/>
        </w:rPr>
      </w:pPr>
    </w:p>
    <w:p>
      <w:pPr>
        <w:jc w:val="both"/>
        <w:ind w:left="820" w:hanging="488"/>
        <w:spacing w:after="0" w:line="396" w:lineRule="auto"/>
        <w:tabs>
          <w:tab w:leader="none" w:pos="81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xml:space="preserve"> Notwithstanding anything contained in this Section 3, or elsewhere in this Plan, to the contrary and subject to adjustment as provided in Section 11 of this Plan, in no event will any non-employee Director in any calendar year be granted compensation (including, without limitation, cash compensation) for the Director’s service as a member of the Board (including Board committees) in such year having an aggregate value (measured at the Date of Grant as applicable, and calculating the value of any awards based on the grant date fair value for financial reporting purposes) in excess of $750,000. For the avoidance of doubt, in a year in which a non-employee Director serves as an employee or consultant (including as an interim officer), such limit shall not apply to compensation approved to be paid to such non-employee Director by the other non-employee directors in respect of such service as an employee or consultant.</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409"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Rights. </w:t>
      </w:r>
      <w:r>
        <w:rPr>
          <w:rFonts w:ascii="Times New Roman" w:cs="Times New Roman" w:eastAsia="Times New Roman" w:hAnsi="Times New Roman"/>
          <w:sz w:val="18"/>
          <w:szCs w:val="18"/>
          <w:color w:val="auto"/>
        </w:rPr>
        <w:t>The Committee may, from time to time and upon such terms and conditions as it may determine, authorize the granting to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Option Rights. Each such grant may utilize any or all of the authorizations, and will be subject to all of the requirements, contained in the following provisions:</w:t>
      </w:r>
    </w:p>
    <w:p>
      <w:pPr>
        <w:spacing w:after="0" w:line="6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number of shares of Common Stock to which it pertains subject to the limitations set forth in Section 3 of this Plan.</w:t>
      </w:r>
    </w:p>
    <w:p>
      <w:pPr>
        <w:spacing w:after="0" w:line="211" w:lineRule="exact"/>
        <w:rPr>
          <w:rFonts w:ascii="Times New Roman" w:cs="Times New Roman" w:eastAsia="Times New Roman" w:hAnsi="Times New Roman"/>
          <w:sz w:val="18"/>
          <w:szCs w:val="18"/>
          <w:color w:val="auto"/>
        </w:rPr>
      </w:pPr>
    </w:p>
    <w:p>
      <w:pPr>
        <w:jc w:val="both"/>
        <w:ind w:left="820" w:right="40" w:hanging="488"/>
        <w:spacing w:after="0" w:line="328" w:lineRule="auto"/>
        <w:tabs>
          <w:tab w:leader="none" w:pos="8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an Option Price per share of Common Stock, which Option Price (except with respect to awards under Section 22 of this Plan) may not be less than the Market Value per Share on the Date of Grant (or not less than 110% of the Market Value per Share on the Date of Grant in the case of grants to Ten Percent Stockholders).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61" w:right="339" w:bottom="1440" w:gutter="0" w:footer="0" w:header="0"/>
        </w:sectPr>
      </w:pPr>
    </w:p>
    <w:bookmarkStart w:id="44" w:name="page45"/>
    <w:bookmarkEnd w:id="44"/>
    <w:p>
      <w:pPr>
        <w:jc w:val="both"/>
        <w:ind w:left="488" w:hanging="488"/>
        <w:spacing w:after="0" w:line="391" w:lineRule="auto"/>
        <w:tabs>
          <w:tab w:leader="none" w:pos="4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w:t>
      </w:r>
    </w:p>
    <w:p>
      <w:pPr>
        <w:spacing w:after="0" w:line="1" w:lineRule="exact"/>
        <w:rPr>
          <w:rFonts w:ascii="Times New Roman" w:cs="Times New Roman" w:eastAsia="Times New Roman" w:hAnsi="Times New Roman"/>
          <w:sz w:val="18"/>
          <w:szCs w:val="18"/>
          <w:color w:val="auto"/>
        </w:rPr>
      </w:pPr>
    </w:p>
    <w:p>
      <w:pPr>
        <w:ind w:left="4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by such other methods as may be approved by the Committee.</w:t>
      </w:r>
    </w:p>
    <w:p>
      <w:pPr>
        <w:spacing w:after="0" w:line="238" w:lineRule="exact"/>
        <w:rPr>
          <w:rFonts w:ascii="Times New Roman" w:cs="Times New Roman" w:eastAsia="Times New Roman" w:hAnsi="Times New Roman"/>
          <w:sz w:val="18"/>
          <w:szCs w:val="18"/>
          <w:color w:val="auto"/>
        </w:rPr>
      </w:pPr>
    </w:p>
    <w:p>
      <w:pPr>
        <w:ind w:left="488" w:hanging="488"/>
        <w:spacing w:after="0" w:line="438" w:lineRule="auto"/>
        <w:tabs>
          <w:tab w:leader="none" w:pos="4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41" w:lineRule="exact"/>
        <w:rPr>
          <w:rFonts w:ascii="Times New Roman" w:cs="Times New Roman" w:eastAsia="Times New Roman" w:hAnsi="Times New Roman"/>
          <w:sz w:val="18"/>
          <w:szCs w:val="18"/>
          <w:color w:val="auto"/>
        </w:rPr>
      </w:pPr>
    </w:p>
    <w:p>
      <w:pPr>
        <w:ind w:left="488" w:hanging="488"/>
        <w:spacing w:after="0" w:line="423" w:lineRule="auto"/>
        <w:tabs>
          <w:tab w:leader="none" w:pos="4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grants may be made to the same Participant whether or not any Option Rights previously granted to such Participant remain unexercised.</w:t>
      </w:r>
    </w:p>
    <w:p>
      <w:pPr>
        <w:spacing w:after="0" w:line="53" w:lineRule="exact"/>
        <w:rPr>
          <w:rFonts w:ascii="Times New Roman" w:cs="Times New Roman" w:eastAsia="Times New Roman" w:hAnsi="Times New Roman"/>
          <w:sz w:val="18"/>
          <w:szCs w:val="18"/>
          <w:color w:val="auto"/>
        </w:rPr>
      </w:pPr>
    </w:p>
    <w:p>
      <w:pPr>
        <w:jc w:val="both"/>
        <w:ind w:left="488" w:hanging="488"/>
        <w:spacing w:after="0" w:line="401" w:lineRule="auto"/>
        <w:tabs>
          <w:tab w:leader="none" w:pos="4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Optionee with the Company or any Subsidiary, if any, that is necessary before any Option Rights or installments thereof will become exercisable. Option Rights may provide for continued vesting or the earlier exercise of such Option Rights, including in the event of the retirement, death or Disability of a Participant, subject to the minimum vesting provisions of Section 3(d).</w:t>
      </w:r>
    </w:p>
    <w:p>
      <w:pPr>
        <w:spacing w:after="0" w:line="74" w:lineRule="exact"/>
        <w:rPr>
          <w:rFonts w:ascii="Times New Roman" w:cs="Times New Roman" w:eastAsia="Times New Roman" w:hAnsi="Times New Roman"/>
          <w:sz w:val="18"/>
          <w:szCs w:val="18"/>
          <w:color w:val="auto"/>
        </w:rPr>
      </w:pPr>
    </w:p>
    <w:p>
      <w:pPr>
        <w:ind w:left="488" w:hanging="488"/>
        <w:spacing w:after="0" w:line="423" w:lineRule="auto"/>
        <w:tabs>
          <w:tab w:leader="none" w:pos="4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Option Rights may specify Management Objectives that must (except as the Committee may otherwise provide) be achieved as a condition to the exercise of such rights.</w:t>
      </w:r>
    </w:p>
    <w:p>
      <w:pPr>
        <w:spacing w:after="0" w:line="53" w:lineRule="exact"/>
        <w:rPr>
          <w:rFonts w:ascii="Times New Roman" w:cs="Times New Roman" w:eastAsia="Times New Roman" w:hAnsi="Times New Roman"/>
          <w:sz w:val="18"/>
          <w:szCs w:val="18"/>
          <w:color w:val="auto"/>
        </w:rPr>
      </w:pPr>
    </w:p>
    <w:p>
      <w:pPr>
        <w:jc w:val="both"/>
        <w:ind w:left="488" w:hanging="488"/>
        <w:spacing w:after="0" w:line="407" w:lineRule="auto"/>
        <w:tabs>
          <w:tab w:leader="none" w:pos="4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26" w:lineRule="exact"/>
        <w:rPr>
          <w:rFonts w:ascii="Times New Roman" w:cs="Times New Roman" w:eastAsia="Times New Roman" w:hAnsi="Times New Roman"/>
          <w:sz w:val="18"/>
          <w:szCs w:val="18"/>
          <w:color w:val="auto"/>
        </w:rPr>
      </w:pPr>
    </w:p>
    <w:p>
      <w:pPr>
        <w:jc w:val="both"/>
        <w:ind w:left="488" w:hanging="488"/>
        <w:spacing w:after="0" w:line="333" w:lineRule="auto"/>
        <w:tabs>
          <w:tab w:leader="none" w:pos="4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Right will be exercisable more than 10 years from the Date of Grant (or 5 years from the Date of Grant in the case of Incentive Stock Options granted to a Ten Percent Stockholder). The Committee may provide in any Evidence of Award for the automatic exercise of an Option Right upon such terms and conditions as established by the Committee.</w:t>
      </w:r>
    </w:p>
    <w:p>
      <w:pPr>
        <w:spacing w:after="0" w:line="2" w:lineRule="exact"/>
        <w:rPr>
          <w:rFonts w:ascii="Times New Roman" w:cs="Times New Roman" w:eastAsia="Times New Roman" w:hAnsi="Times New Roman"/>
          <w:sz w:val="18"/>
          <w:szCs w:val="18"/>
          <w:color w:val="auto"/>
        </w:rPr>
      </w:pPr>
    </w:p>
    <w:p>
      <w:pPr>
        <w:ind w:left="488" w:hanging="488"/>
        <w:spacing w:after="0"/>
        <w:tabs>
          <w:tab w:leader="none" w:pos="4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not provide for any dividends or dividend equivalents thereon.</w:t>
      </w:r>
    </w:p>
    <w:p>
      <w:pPr>
        <w:spacing w:after="0" w:line="238" w:lineRule="exact"/>
        <w:rPr>
          <w:rFonts w:ascii="Times New Roman" w:cs="Times New Roman" w:eastAsia="Times New Roman" w:hAnsi="Times New Roman"/>
          <w:sz w:val="18"/>
          <w:szCs w:val="18"/>
          <w:color w:val="auto"/>
        </w:rPr>
      </w:pPr>
    </w:p>
    <w:p>
      <w:pPr>
        <w:ind w:left="488" w:right="20" w:hanging="488"/>
        <w:spacing w:after="0" w:line="423" w:lineRule="auto"/>
        <w:tabs>
          <w:tab w:leader="none" w:pos="4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200" w:lineRule="exact"/>
        <w:rPr>
          <w:sz w:val="20"/>
          <w:szCs w:val="20"/>
          <w:color w:val="auto"/>
        </w:rPr>
      </w:pPr>
    </w:p>
    <w:p>
      <w:pPr>
        <w:spacing w:after="0" w:line="3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8"/>
          </w:cols>
          <w:pgMar w:left="652" w:top="1161" w:right="339" w:bottom="1440" w:gutter="0" w:footer="0" w:header="0"/>
        </w:sectPr>
      </w:pPr>
    </w:p>
    <w:bookmarkStart w:id="45" w:name="page46"/>
    <w:bookmarkEnd w:id="45"/>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Appreciation Rights.</w:t>
      </w:r>
    </w:p>
    <w:p>
      <w:pPr>
        <w:spacing w:after="0" w:line="242" w:lineRule="exact"/>
        <w:rPr>
          <w:rFonts w:ascii="Times New Roman" w:cs="Times New Roman" w:eastAsia="Times New Roman" w:hAnsi="Times New Roman"/>
          <w:sz w:val="18"/>
          <w:szCs w:val="18"/>
          <w:b w:val="1"/>
          <w:bCs w:val="1"/>
          <w:color w:val="auto"/>
        </w:rPr>
      </w:pPr>
    </w:p>
    <w:p>
      <w:pPr>
        <w:jc w:val="both"/>
        <w:ind w:left="820" w:hanging="488"/>
        <w:spacing w:after="0" w:line="407" w:lineRule="auto"/>
        <w:tabs>
          <w:tab w:leader="none" w:pos="81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67" w:lineRule="exact"/>
        <w:rPr>
          <w:rFonts w:ascii="Times New Roman" w:cs="Times New Roman" w:eastAsia="Times New Roman" w:hAnsi="Times New Roman"/>
          <w:sz w:val="18"/>
          <w:szCs w:val="18"/>
          <w:color w:val="auto"/>
        </w:rPr>
      </w:pPr>
    </w:p>
    <w:p>
      <w:pPr>
        <w:ind w:left="820" w:hanging="488"/>
        <w:spacing w:after="0" w:line="423" w:lineRule="auto"/>
        <w:tabs>
          <w:tab w:leader="none" w:pos="8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may utilize any or all of the authorizations, and will be subject to all of the requirements, contained in the following provisions:</w:t>
      </w:r>
    </w:p>
    <w:p>
      <w:pPr>
        <w:spacing w:after="0" w:line="53" w:lineRule="exact"/>
        <w:rPr>
          <w:rFonts w:ascii="Times New Roman" w:cs="Times New Roman" w:eastAsia="Times New Roman" w:hAnsi="Times New Roman"/>
          <w:sz w:val="18"/>
          <w:szCs w:val="18"/>
          <w:color w:val="auto"/>
        </w:rPr>
      </w:pPr>
    </w:p>
    <w:p>
      <w:pPr>
        <w:ind w:left="1300" w:hanging="482"/>
        <w:spacing w:after="0" w:line="423" w:lineRule="auto"/>
        <w:tabs>
          <w:tab w:leader="none" w:pos="129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may specify that the amount payable on exercise of an Appreciation Right will be paid by the Company in cash, shares of Common Stock or any combination thereof.</w:t>
      </w:r>
    </w:p>
    <w:p>
      <w:pPr>
        <w:spacing w:after="0" w:line="66" w:lineRule="exact"/>
        <w:rPr>
          <w:rFonts w:ascii="Times New Roman" w:cs="Times New Roman" w:eastAsia="Times New Roman" w:hAnsi="Times New Roman"/>
          <w:sz w:val="18"/>
          <w:szCs w:val="18"/>
          <w:color w:val="auto"/>
        </w:rPr>
      </w:pPr>
    </w:p>
    <w:p>
      <w:pPr>
        <w:ind w:left="1300" w:right="20" w:hanging="482"/>
        <w:spacing w:after="0" w:line="423" w:lineRule="auto"/>
        <w:tabs>
          <w:tab w:leader="none" w:pos="129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that the amount payable on exercise of an Appreciation Right may not exceed a maximum specified by the Committee on the Date of Grant.</w:t>
      </w:r>
    </w:p>
    <w:p>
      <w:pPr>
        <w:spacing w:after="0" w:line="53"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waiting periods before exercise and permissible exercise dates or periods.</w:t>
      </w:r>
    </w:p>
    <w:p>
      <w:pPr>
        <w:spacing w:after="0" w:line="238" w:lineRule="exact"/>
        <w:rPr>
          <w:rFonts w:ascii="Times New Roman" w:cs="Times New Roman" w:eastAsia="Times New Roman" w:hAnsi="Times New Roman"/>
          <w:sz w:val="18"/>
          <w:szCs w:val="18"/>
          <w:color w:val="auto"/>
        </w:rPr>
      </w:pPr>
    </w:p>
    <w:p>
      <w:pPr>
        <w:jc w:val="both"/>
        <w:ind w:left="1300" w:hanging="482"/>
        <w:spacing w:after="0" w:line="401" w:lineRule="auto"/>
        <w:tabs>
          <w:tab w:leader="none" w:pos="129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Participant with the Company or any Subsidiary, if any, that is necessary before the Appreciation Rights or installments thereof will become exercisable. Appreciation Rights may provide for continued vesting or the earlier exercise of such Appreciation Rights, including in the event of the retirement, death or Disability of a Participant, subject to the minimum vesting provisions of Section 3(d).</w:t>
      </w:r>
    </w:p>
    <w:p>
      <w:pPr>
        <w:spacing w:after="0" w:line="74" w:lineRule="exact"/>
        <w:rPr>
          <w:rFonts w:ascii="Times New Roman" w:cs="Times New Roman" w:eastAsia="Times New Roman" w:hAnsi="Times New Roman"/>
          <w:sz w:val="18"/>
          <w:szCs w:val="18"/>
          <w:color w:val="auto"/>
        </w:rPr>
      </w:pPr>
    </w:p>
    <w:p>
      <w:pPr>
        <w:ind w:left="1300" w:hanging="482"/>
        <w:spacing w:after="0" w:line="423" w:lineRule="auto"/>
        <w:tabs>
          <w:tab w:leader="none" w:pos="129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Appreciation Rights may specify Management Objectives that must (except as the Committee may otherwise provide) be achieved as a condition of the exercise of such Appreciation Rights.</w:t>
      </w:r>
    </w:p>
    <w:p>
      <w:pPr>
        <w:spacing w:after="0" w:line="53"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Rights granted under this Plan may not provide for any dividends or dividend equivalents thereon.</w:t>
      </w:r>
    </w:p>
    <w:p>
      <w:pPr>
        <w:spacing w:after="0" w:line="238" w:lineRule="exact"/>
        <w:rPr>
          <w:rFonts w:ascii="Times New Roman" w:cs="Times New Roman" w:eastAsia="Times New Roman" w:hAnsi="Times New Roman"/>
          <w:sz w:val="18"/>
          <w:szCs w:val="18"/>
          <w:color w:val="auto"/>
        </w:rPr>
      </w:pPr>
    </w:p>
    <w:p>
      <w:pPr>
        <w:ind w:left="1300" w:hanging="482"/>
        <w:spacing w:after="0" w:line="423" w:lineRule="auto"/>
        <w:tabs>
          <w:tab w:leader="none" w:pos="129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grants of Appreciation Rights may be made to the same Participant regardless of whether any Appreciation Rights previously granted to the Participant remain unexercised.</w:t>
      </w:r>
    </w:p>
    <w:p>
      <w:pPr>
        <w:spacing w:after="0" w:line="53" w:lineRule="exact"/>
        <w:rPr>
          <w:rFonts w:ascii="Times New Roman" w:cs="Times New Roman" w:eastAsia="Times New Roman" w:hAnsi="Times New Roman"/>
          <w:sz w:val="18"/>
          <w:szCs w:val="18"/>
          <w:color w:val="auto"/>
        </w:rPr>
      </w:pPr>
    </w:p>
    <w:p>
      <w:pPr>
        <w:ind w:left="1300" w:right="20" w:hanging="482"/>
        <w:spacing w:after="0" w:line="423" w:lineRule="auto"/>
        <w:tabs>
          <w:tab w:leader="none" w:pos="1295"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5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regarding Appreciation Rights:</w:t>
      </w:r>
    </w:p>
    <w:p>
      <w:pPr>
        <w:spacing w:after="0" w:line="238" w:lineRule="exact"/>
        <w:rPr>
          <w:rFonts w:ascii="Times New Roman" w:cs="Times New Roman" w:eastAsia="Times New Roman" w:hAnsi="Times New Roman"/>
          <w:sz w:val="18"/>
          <w:szCs w:val="18"/>
          <w:color w:val="auto"/>
        </w:rPr>
      </w:pPr>
    </w:p>
    <w:p>
      <w:pPr>
        <w:ind w:left="1300" w:right="20" w:hanging="482"/>
        <w:spacing w:after="0" w:line="438" w:lineRule="auto"/>
        <w:tabs>
          <w:tab w:leader="none" w:pos="129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in respect of each Appreciation Right a Base Price, which (except with respect to awards under Section 22 of this Plan) may not be less than the Market Value per Share on the Date of Grant;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57" w:right="339" w:bottom="1440" w:gutter="0" w:footer="0" w:header="0"/>
        </w:sectPr>
      </w:pPr>
    </w:p>
    <w:bookmarkStart w:id="46" w:name="page47"/>
    <w:bookmarkEnd w:id="46"/>
    <w:p>
      <w:pPr>
        <w:jc w:val="both"/>
        <w:ind w:left="1300" w:hanging="482"/>
        <w:spacing w:after="0" w:line="407" w:lineRule="auto"/>
        <w:tabs>
          <w:tab w:leader="none" w:pos="129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409"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The Committee may, from time to time and upon such terms and conditions as it may determine, authorize the grant or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to Participants. Each such grant or sale may utilize any or all of the authorizations, and will be subject to all of the requirements, contained in the following provisions:</w:t>
      </w:r>
    </w:p>
    <w:p>
      <w:pPr>
        <w:spacing w:after="0" w:line="66" w:lineRule="exact"/>
        <w:rPr>
          <w:rFonts w:ascii="Times New Roman" w:cs="Times New Roman" w:eastAsia="Times New Roman" w:hAnsi="Times New Roman"/>
          <w:sz w:val="18"/>
          <w:szCs w:val="18"/>
          <w:color w:val="auto"/>
        </w:rPr>
      </w:pPr>
    </w:p>
    <w:p>
      <w:pPr>
        <w:jc w:val="both"/>
        <w:ind w:left="820" w:hanging="488"/>
        <w:spacing w:after="0" w:line="415" w:lineRule="auto"/>
        <w:tabs>
          <w:tab w:leader="none" w:pos="8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w:t>
      </w:r>
    </w:p>
    <w:p>
      <w:pPr>
        <w:spacing w:after="0" w:line="60" w:lineRule="exact"/>
        <w:rPr>
          <w:rFonts w:ascii="Times New Roman" w:cs="Times New Roman" w:eastAsia="Times New Roman" w:hAnsi="Times New Roman"/>
          <w:sz w:val="18"/>
          <w:szCs w:val="18"/>
          <w:color w:val="auto"/>
        </w:rPr>
      </w:pPr>
    </w:p>
    <w:p>
      <w:pPr>
        <w:ind w:left="820" w:hanging="488"/>
        <w:spacing w:after="0" w:line="423" w:lineRule="auto"/>
        <w:tabs>
          <w:tab w:leader="none" w:pos="8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53" w:lineRule="exact"/>
        <w:rPr>
          <w:rFonts w:ascii="Times New Roman" w:cs="Times New Roman" w:eastAsia="Times New Roman" w:hAnsi="Times New Roman"/>
          <w:sz w:val="18"/>
          <w:szCs w:val="18"/>
          <w:color w:val="auto"/>
        </w:rPr>
      </w:pPr>
    </w:p>
    <w:p>
      <w:pPr>
        <w:jc w:val="both"/>
        <w:ind w:left="820" w:right="20" w:hanging="488"/>
        <w:spacing w:after="0" w:line="407" w:lineRule="auto"/>
        <w:tabs>
          <w:tab w:leader="none" w:pos="8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Section 6(e) of this Plan (except as the Committee may otherwise provide).</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401" w:lineRule="auto"/>
        <w:tabs>
          <w:tab w:leader="none" w:pos="8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74" w:lineRule="exact"/>
        <w:rPr>
          <w:rFonts w:ascii="Times New Roman" w:cs="Times New Roman" w:eastAsia="Times New Roman" w:hAnsi="Times New Roman"/>
          <w:sz w:val="18"/>
          <w:szCs w:val="18"/>
          <w:color w:val="auto"/>
        </w:rPr>
      </w:pPr>
    </w:p>
    <w:p>
      <w:pPr>
        <w:ind w:left="820" w:right="20" w:hanging="488"/>
        <w:spacing w:after="0" w:line="423" w:lineRule="auto"/>
        <w:tabs>
          <w:tab w:leader="none" w:pos="81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Restricted Stock may specify Management Objectives that, if achieved, will result in termination or early termination of the restrictions applicable to such Restricted Stock.</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Restricted Stock may provide for continued vesting or the earlier termination of restrictions on such Restricted Stock, including in the event of the retirement, death or Disability of a Participant, subject to the minimum vesting provisions of Section 3(d).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grant or sale of Restricted Stock will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61" w:right="339" w:bottom="1440" w:gutter="0" w:footer="0" w:header="0"/>
        </w:sectPr>
      </w:pPr>
    </w:p>
    <w:bookmarkStart w:id="47" w:name="page48"/>
    <w:bookmarkEnd w:id="47"/>
    <w:p>
      <w:pPr>
        <w:jc w:val="both"/>
        <w:ind w:left="820"/>
        <w:spacing w:after="0" w:line="407" w:lineRule="auto"/>
        <w:rPr>
          <w:sz w:val="20"/>
          <w:szCs w:val="20"/>
          <w:color w:val="auto"/>
        </w:rPr>
      </w:pPr>
      <w:r>
        <w:rPr>
          <w:rFonts w:ascii="Times New Roman" w:cs="Times New Roman" w:eastAsia="Times New Roman" w:hAnsi="Times New Roman"/>
          <w:sz w:val="18"/>
          <w:szCs w:val="18"/>
          <w:color w:val="auto"/>
        </w:rPr>
        <w:t>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63" w:lineRule="exact"/>
        <w:rPr>
          <w:sz w:val="20"/>
          <w:szCs w:val="20"/>
          <w:color w:val="auto"/>
        </w:rPr>
      </w:pPr>
    </w:p>
    <w:p>
      <w:pPr>
        <w:jc w:val="both"/>
        <w:ind w:left="340" w:hanging="332"/>
        <w:spacing w:after="0" w:line="409"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The Committee may, from time to time and upon such terms and conditions as it may determine, authorize the granting or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Restricted Stock Units to Participants. Each such grant or sale may utilize any or all of the authorizations, and will be subject to all of the requirements, contained in the following provisions:</w:t>
      </w:r>
    </w:p>
    <w:p>
      <w:pPr>
        <w:spacing w:after="0" w:line="66" w:lineRule="exact"/>
        <w:rPr>
          <w:rFonts w:ascii="Times New Roman" w:cs="Times New Roman" w:eastAsia="Times New Roman" w:hAnsi="Times New Roman"/>
          <w:sz w:val="18"/>
          <w:szCs w:val="18"/>
          <w:color w:val="auto"/>
        </w:rPr>
      </w:pPr>
    </w:p>
    <w:p>
      <w:pPr>
        <w:jc w:val="both"/>
        <w:ind w:left="820" w:hanging="488"/>
        <w:spacing w:after="0" w:line="415" w:lineRule="auto"/>
        <w:tabs>
          <w:tab w:leader="none" w:pos="8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the achievement of Management Objectives) during the Restriction Period as the Committee may specify.</w:t>
      </w:r>
    </w:p>
    <w:p>
      <w:pPr>
        <w:spacing w:after="0" w:line="60" w:lineRule="exact"/>
        <w:rPr>
          <w:rFonts w:ascii="Times New Roman" w:cs="Times New Roman" w:eastAsia="Times New Roman" w:hAnsi="Times New Roman"/>
          <w:sz w:val="18"/>
          <w:szCs w:val="18"/>
          <w:color w:val="auto"/>
        </w:rPr>
      </w:pPr>
    </w:p>
    <w:p>
      <w:pPr>
        <w:ind w:left="820" w:hanging="488"/>
        <w:spacing w:after="0" w:line="423" w:lineRule="auto"/>
        <w:tabs>
          <w:tab w:leader="none" w:pos="8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Restricted Stock Units may provide for continued vesting or the earlier lapse or other modification of the Restriction Period, including in the event of the retirement, death or Disability of a Participant, subject to the minimum vesting provisions of Section 3(d).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396" w:lineRule="auto"/>
        <w:tabs>
          <w:tab w:leader="none" w:pos="8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crediting of dividend equivalents on such Restricted Stock Units on a deferred and contingent basis and/or the deemed reinvestment of dividend equivalents in additional Restricted Stock Units, payable, either in cash or in additional shares of Common Stock; provided, however, that dividend equivalents or other distributions on shares of Common Stock underlying Restricted Stock Units will be deferred until and paid contingent upon the vesting of such Restricted Stock Units (and will be forfeited to the extent such underlying Restricted Stock Units are forfeited).</w:t>
      </w:r>
    </w:p>
    <w:p>
      <w:pPr>
        <w:spacing w:after="0" w:line="79"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80" w:lineRule="exact"/>
        <w:rPr>
          <w:rFonts w:ascii="Times New Roman" w:cs="Times New Roman" w:eastAsia="Times New Roman" w:hAnsi="Times New Roman"/>
          <w:sz w:val="18"/>
          <w:szCs w:val="18"/>
          <w:color w:val="auto"/>
        </w:rPr>
      </w:pPr>
    </w:p>
    <w:p>
      <w:pPr>
        <w:ind w:left="820" w:hanging="488"/>
        <w:spacing w:after="0" w:line="423" w:lineRule="auto"/>
        <w:tabs>
          <w:tab w:leader="none" w:pos="8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49" w:lineRule="exact"/>
        <w:rPr>
          <w:rFonts w:ascii="Times New Roman" w:cs="Times New Roman" w:eastAsia="Times New Roman" w:hAnsi="Times New Roman"/>
          <w:sz w:val="18"/>
          <w:szCs w:val="18"/>
          <w:color w:val="auto"/>
        </w:rPr>
      </w:pPr>
    </w:p>
    <w:p>
      <w:pPr>
        <w:ind w:left="340" w:right="20" w:hanging="332"/>
        <w:spacing w:after="0" w:line="427"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Incentive Awards, Performance Shares and Performance Units. </w:t>
      </w:r>
      <w:r>
        <w:rPr>
          <w:rFonts w:ascii="Times New Roman" w:cs="Times New Roman" w:eastAsia="Times New Roman" w:hAnsi="Times New Roman"/>
          <w:sz w:val="18"/>
          <w:szCs w:val="18"/>
          <w:color w:val="auto"/>
        </w:rPr>
        <w:t>The Committee may, from time to time and upon such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may determine, authorize the granting of Cash Incentive Awards, Performance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61" w:right="339" w:bottom="1440" w:gutter="0" w:footer="0" w:header="0"/>
        </w:sectPr>
      </w:pPr>
    </w:p>
    <w:bookmarkStart w:id="48" w:name="page49"/>
    <w:bookmarkEnd w:id="48"/>
    <w:p>
      <w:pPr>
        <w:ind w:left="340"/>
        <w:spacing w:after="0" w:line="423" w:lineRule="auto"/>
        <w:rPr>
          <w:sz w:val="20"/>
          <w:szCs w:val="20"/>
          <w:color w:val="auto"/>
        </w:rPr>
      </w:pPr>
      <w:r>
        <w:rPr>
          <w:rFonts w:ascii="Times New Roman" w:cs="Times New Roman" w:eastAsia="Times New Roman" w:hAnsi="Times New Roman"/>
          <w:sz w:val="18"/>
          <w:szCs w:val="18"/>
          <w:color w:val="auto"/>
        </w:rPr>
        <w:t>Shares and Performance Units. Each such grant may utilize any or all of the authorizations, and will be subject to all of the requirements, contained in the following provisions:</w:t>
      </w:r>
    </w:p>
    <w:p>
      <w:pPr>
        <w:spacing w:after="0" w:line="53" w:lineRule="exact"/>
        <w:rPr>
          <w:sz w:val="20"/>
          <w:szCs w:val="20"/>
          <w:color w:val="auto"/>
        </w:rPr>
      </w:pPr>
    </w:p>
    <w:p>
      <w:pPr>
        <w:ind w:left="820" w:hanging="488"/>
        <w:spacing w:after="0" w:line="423" w:lineRule="auto"/>
        <w:tabs>
          <w:tab w:leader="none" w:pos="8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or Disability of a Participant, subject to the minimum vesting provisions of Section 3(d).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403" w:lineRule="auto"/>
        <w:tabs>
          <w:tab w:leader="none" w:pos="8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specify Management Objectives which, if achieved, will result in payment or early payment of the award, and each grant may specify in respect of such specified Management Objectives a minimum acceptable level or levels of achievement and may set forth a formula for determining the number of Performance Shares or Performance Units, or amount payable with respect to a Cash Incentive Award, that will be earned if performance is at or above the minimum or threshold level or levels, or is at or above the target level or levels, but falls short of maximum achievement of the specified Management Objectives.</w:t>
      </w:r>
    </w:p>
    <w:p>
      <w:pPr>
        <w:spacing w:after="0" w:line="71"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Stock or Restricted Stock Units or in any combination thereof.</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 Cash Incentive Award, Performance Shares or Performance Units may specify that the amount payable or the number of shares of Common Stock, Restricted Stock or Restricted Stock Units payable with respect thereto may not exceed a maximum specified by the Committee on the Date of Grant.</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399" w:lineRule="auto"/>
        <w:tabs>
          <w:tab w:leader="none" w:pos="8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on the Date of Grant of Performance Shares or Performance Units, provide for the crediting of dividend equivalents to the holder thereof either in cash or in additional shares of Common Stock and/or the deemed reinvestment of dividend equivalents in additional Performance Shares or Performance Units, subject in all cases to deferral and payment on a contingent basis based on the Participant’s earning of the Performance Shares or Performance Units, as applicable, with respect to which such dividend equivalents are paid (and will be forfeited to the extent the underlying Performance Shares or Performance Units are forfeited).</w:t>
      </w:r>
    </w:p>
    <w:p>
      <w:pPr>
        <w:spacing w:after="0" w:line="74" w:lineRule="exact"/>
        <w:rPr>
          <w:rFonts w:ascii="Times New Roman" w:cs="Times New Roman" w:eastAsia="Times New Roman" w:hAnsi="Times New Roman"/>
          <w:sz w:val="18"/>
          <w:szCs w:val="18"/>
          <w:color w:val="auto"/>
        </w:rPr>
      </w:pPr>
    </w:p>
    <w:p>
      <w:pPr>
        <w:ind w:left="820" w:hanging="488"/>
        <w:spacing w:after="0" w:line="438" w:lineRule="auto"/>
        <w:tabs>
          <w:tab w:leader="none" w:pos="8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3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Awards.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61" w:right="339" w:bottom="1440" w:gutter="0" w:footer="0" w:header="0"/>
        </w:sectPr>
      </w:pPr>
    </w:p>
    <w:bookmarkStart w:id="49" w:name="page50"/>
    <w:bookmarkEnd w:id="49"/>
    <w:p>
      <w:pPr>
        <w:jc w:val="both"/>
        <w:ind w:left="820" w:hanging="488"/>
        <w:spacing w:after="0" w:line="396" w:lineRule="auto"/>
        <w:tabs>
          <w:tab w:leader="none" w:pos="8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applicable limits set forth in Section 3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Section 9 will be purchased for such consideration, paid for at such time, by such methods, and in such forms, including, without limitation, shares of Common Stock, other awards, notes or other property, as the Committee determines.</w:t>
      </w:r>
    </w:p>
    <w:p>
      <w:pPr>
        <w:spacing w:after="0" w:line="8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as an element of or supplement to any other award granted under this Plan, may also be granted pursuant to this Section 9.</w:t>
      </w:r>
    </w:p>
    <w:p>
      <w:pPr>
        <w:spacing w:after="0" w:line="238" w:lineRule="exact"/>
        <w:rPr>
          <w:rFonts w:ascii="Times New Roman" w:cs="Times New Roman" w:eastAsia="Times New Roman" w:hAnsi="Times New Roman"/>
          <w:sz w:val="18"/>
          <w:szCs w:val="18"/>
          <w:color w:val="auto"/>
        </w:rPr>
      </w:pPr>
    </w:p>
    <w:p>
      <w:pPr>
        <w:jc w:val="both"/>
        <w:ind w:left="820" w:hanging="488"/>
        <w:spacing w:after="0" w:line="401" w:lineRule="auto"/>
        <w:tabs>
          <w:tab w:leader="none" w:pos="8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authorize the grant of fully vested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 and subject to the minimum vesting provisions of Section 3(d).</w:t>
      </w:r>
    </w:p>
    <w:p>
      <w:pPr>
        <w:spacing w:after="0" w:line="74" w:lineRule="exact"/>
        <w:rPr>
          <w:rFonts w:ascii="Times New Roman" w:cs="Times New Roman" w:eastAsia="Times New Roman" w:hAnsi="Times New Roman"/>
          <w:sz w:val="18"/>
          <w:szCs w:val="18"/>
          <w:color w:val="auto"/>
        </w:rPr>
      </w:pPr>
    </w:p>
    <w:p>
      <w:pPr>
        <w:jc w:val="both"/>
        <w:ind w:left="820" w:hanging="488"/>
        <w:spacing w:after="0" w:line="399" w:lineRule="auto"/>
        <w:tabs>
          <w:tab w:leader="none" w:pos="8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at or after the Date of Grant, authorize the crediting of dividends or dividend equivalents on awards granted under this Section 9 on a deferred and contingent basis and/or the deemed reinvestment of dividend equivalents in additional awards, payable, either in cash or in additional shares of Common Stock; provided, however, that dividend equivalents or other distributions on shares of Common Stock underlying awards granted under this Section 9 will be deferred until and paid contingent upon the earning of such awards (and will be forfeited to the extent the applicable requirements for payment of the underlying awards are not satisfied).</w:t>
      </w:r>
    </w:p>
    <w:p>
      <w:pPr>
        <w:spacing w:after="0" w:line="74"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awards under this Section 9 may provide for the earning or vesting of, or earlier elimination of restrictions applicable to, such award, including in the event of the retirement, death or Disability of a Participant, subject to the minimum vesting provisions of Section 3(d).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this Plan.</w:t>
      </w:r>
    </w:p>
    <w:p>
      <w:pPr>
        <w:spacing w:after="0" w:line="256"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will be administered by the Committee. Subject to the express share limits and provisions of this Plan (including the minimum vesting provisions of Section 3(d), the Committee is authorized to do all things necessary or desirable in connection with the authorization of awards and the administration of this Plan, including, without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61" w:right="339" w:bottom="1440" w:gutter="0" w:footer="0" w:header="0"/>
        </w:sectPr>
      </w:pPr>
    </w:p>
    <w:bookmarkStart w:id="50" w:name="page51"/>
    <w:bookmarkEnd w:id="50"/>
    <w:p>
      <w:pPr>
        <w:jc w:val="both"/>
        <w:ind w:left="488"/>
        <w:spacing w:after="0" w:line="394" w:lineRule="auto"/>
        <w:rPr>
          <w:sz w:val="20"/>
          <w:szCs w:val="20"/>
          <w:color w:val="auto"/>
        </w:rPr>
      </w:pPr>
      <w:r>
        <w:rPr>
          <w:rFonts w:ascii="Times New Roman" w:cs="Times New Roman" w:eastAsia="Times New Roman" w:hAnsi="Times New Roman"/>
          <w:sz w:val="18"/>
          <w:szCs w:val="18"/>
          <w:color w:val="auto"/>
        </w:rPr>
        <w:t>limitation (but subject to the express share limits and provisions of this Plan), the authority to (i) determine the persons eligible to receive awards under this Plan; (ii) grant awards to such persons, determine the price (if any) at which securities will be offered or awarded and the number of securities to be offered or awarded to any of such persons (in the case of securities-based awards), determine the other specific terms and conditions of awards (including any vesting or exercisability requirements as to such awards or that no delayed exercisability or vesting is required), establish the events (if any) on which vesting or exercisability may accelerate (which may include, without limitation, specified terminations of employment or services or other circumstances), and establish the events (if any) of termination, expiration or reversion of such awards; (iii) construe and interpret this Plan and any agreements defining the rights and obligations of the Company, its Subsidiaries, and participants under this Plan, make any and all determinations under this Plan and any such agreements, correct any defect, supply any omission, or reconcile any inconsistency in this Plan and any agreements, and prescribe, amend and rescind rules and regulations relating to the administration of this Plan or the awards granted under this Plan; (iv) cancel, modify, or waive the Corporation’s rights with respect to, or modify, discontinue, suspend, or terminate any or all outstanding awards, subject to any required consent under Section 18(d); or (v) accelerate, waive or extend the vesting or exercisability, or modify or extend the term of, any or all such outstanding awards in such circumstances as the Committee may determine to be appropriate. The Committee may from time to time delegate all or any part of its authority under this Plan to a subcommittee thereof. To the extent of any such delegation, references in this Plan to the Committee will be deemed to be references to such subcommittee to the extent of such delegated authority. The Board may also assume administration of this Plan or certain portions of this Plan, in which case references in this Plan to the Committee will be deemed to be referenced to the Board to the extent the Board has assumed administration of such aspect of this Plan.</w:t>
      </w:r>
    </w:p>
    <w:p>
      <w:pPr>
        <w:spacing w:after="0" w:line="82" w:lineRule="exact"/>
        <w:rPr>
          <w:sz w:val="20"/>
          <w:szCs w:val="20"/>
          <w:color w:val="auto"/>
        </w:rPr>
      </w:pPr>
    </w:p>
    <w:p>
      <w:pPr>
        <w:jc w:val="both"/>
        <w:ind w:left="488" w:hanging="488"/>
        <w:spacing w:after="0" w:line="397" w:lineRule="auto"/>
        <w:tabs>
          <w:tab w:leader="none" w:pos="4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binding on all persons. No member of the Committee, the Board or any subcommittee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78" w:lineRule="exact"/>
        <w:rPr>
          <w:rFonts w:ascii="Times New Roman" w:cs="Times New Roman" w:eastAsia="Times New Roman" w:hAnsi="Times New Roman"/>
          <w:sz w:val="18"/>
          <w:szCs w:val="18"/>
          <w:color w:val="auto"/>
        </w:rPr>
      </w:pPr>
    </w:p>
    <w:p>
      <w:pPr>
        <w:jc w:val="both"/>
        <w:ind w:left="488" w:hanging="488"/>
        <w:spacing w:after="0" w:line="400" w:lineRule="auto"/>
        <w:tabs>
          <w:tab w:leader="none" w:pos="4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No individual to whom such delegation has been made shall be liable for any action or determination made in good faith pursuant to such delegation. The Committee may, by resolution, authorize one or more officers of the Company to do one or both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8"/>
          </w:cols>
          <w:pgMar w:left="652" w:top="1161" w:right="339" w:bottom="1440" w:gutter="0" w:footer="0" w:header="0"/>
        </w:sectPr>
      </w:pPr>
    </w:p>
    <w:bookmarkStart w:id="51" w:name="page52"/>
    <w:bookmarkEnd w:id="51"/>
    <w:p>
      <w:pPr>
        <w:jc w:val="both"/>
        <w:ind w:left="820"/>
        <w:spacing w:after="0" w:line="399" w:lineRule="auto"/>
        <w:rPr>
          <w:sz w:val="20"/>
          <w:szCs w:val="20"/>
          <w:color w:val="auto"/>
        </w:rPr>
      </w:pPr>
      <w:r>
        <w:rPr>
          <w:rFonts w:ascii="Times New Roman" w:cs="Times New Roman" w:eastAsia="Times New Roman" w:hAnsi="Times New Roman"/>
          <w:sz w:val="18"/>
          <w:szCs w:val="18"/>
          <w:color w:val="auto"/>
        </w:rPr>
        <w:t>on the same basis as the Committee: (i) designate employees to be recipients of awards under this Plan; and (ii) determine the size of any such awards; provided, however, that (A) the Committee will not delegate such responsibilities to any such officer for awards granted to an employee who is an officer, Director, Ten Percent Stockholder, as determined by the Committee in accordance with Section 16 of the Exchange Act; (B) the resolution providing for such authorization shall set forth the total number of shares of Common Stock such officer(s) may grant; and (C) the officer(s) will report periodically to the Committee regarding the nature and scope of the awards granted pursuant to the authority delegated.</w:t>
      </w:r>
    </w:p>
    <w:p>
      <w:pPr>
        <w:spacing w:after="0" w:line="71" w:lineRule="exact"/>
        <w:rPr>
          <w:sz w:val="20"/>
          <w:szCs w:val="20"/>
          <w:color w:val="auto"/>
        </w:rPr>
      </w:pPr>
    </w:p>
    <w:p>
      <w:pPr>
        <w:jc w:val="both"/>
        <w:ind w:left="340" w:hanging="332"/>
        <w:spacing w:after="0" w:line="394" w:lineRule="auto"/>
        <w:tabs>
          <w:tab w:leader="none" w:pos="3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The Committee shall make or provide for such adjustments in the number of and kind of shares of Common Stock covered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Option Rights, Appreciation Rights, Restricted Stock, Restricted Stock Units, Performance Shares and Performance Units granted hereunder and, if applicable, in the number of and kind of shares of Common Stock covered by other awards granted pursuant to Section 9 of this Plan, in the Option Price and Base Price provided in outstanding Option Rights and Appreciation Rights, respectively, in Cash Incentive Awards, and in other award terms, as the Committee, in its sole discretion, exercised in good faith, determines are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Section 3 of this Plan as the Committee in its sole discretion, exercised in good faith, determines is appropriate to reflect any transaction or event described in this Section 11; provided, however, that any such adjustment to the number specified in Section 3(c) of this Plan will be made only if and to the extent that such adjustment would not cause any Option Right intended to qualify as an Incentive Stock Option to fail to so qualify. With respect to awards of Incentive Stock Options, no adjustment may be authorized to the extent that such authority would cause this Plan to violate Code Section 422(b). In any event, previously granted Option Rights or Appreciation Rights shall be subject only to such adjustments as are necessary to maintain the relative proportionate interest the Option Rights and Appreciation Rights represented immediately prior to any such event and to preserve, without exceeding, the value of such Option Rights or Appreciation Rights.</w:t>
      </w:r>
    </w:p>
    <w:p>
      <w:pPr>
        <w:spacing w:after="0" w:line="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and Effect of a Change in Control.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61" w:right="339" w:bottom="1440" w:gutter="0" w:footer="0" w:header="0"/>
        </w:sectPr>
      </w:pPr>
    </w:p>
    <w:bookmarkStart w:id="52" w:name="page53"/>
    <w:bookmarkEnd w:id="52"/>
    <w:p>
      <w:pPr>
        <w:ind w:left="488" w:right="20" w:hanging="488"/>
        <w:spacing w:after="0" w:line="423" w:lineRule="auto"/>
        <w:tabs>
          <w:tab w:leader="none" w:pos="4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except as may be otherwise prescribed by the Committee in an Evidence of Award made under this Plan, a “Change in Control” will be deemed to have occurred upon the occurrence (after the Effective Date) of any of the following events:</w:t>
      </w:r>
    </w:p>
    <w:p>
      <w:pPr>
        <w:spacing w:after="0" w:line="53" w:lineRule="exact"/>
        <w:rPr>
          <w:rFonts w:ascii="Times New Roman" w:cs="Times New Roman" w:eastAsia="Times New Roman" w:hAnsi="Times New Roman"/>
          <w:sz w:val="18"/>
          <w:szCs w:val="18"/>
          <w:color w:val="auto"/>
        </w:rPr>
      </w:pPr>
    </w:p>
    <w:p>
      <w:pPr>
        <w:jc w:val="both"/>
        <w:ind w:left="968" w:hanging="482"/>
        <w:spacing w:after="0" w:line="407" w:lineRule="auto"/>
        <w:tabs>
          <w:tab w:leader="none" w:pos="96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of a nature that would be required to be reported in response to Item 6(e) of Schedule 14A of Regulation 14A promulgated under the Exchange Act, or if Item 6(e) is no longer in effect, any regulations issued by the Securities and Exchange Commission pursuant to the Exchange Act which serve similar purposes;</w:t>
      </w:r>
    </w:p>
    <w:p>
      <w:pPr>
        <w:spacing w:after="0" w:line="67" w:lineRule="exact"/>
        <w:rPr>
          <w:rFonts w:ascii="Times New Roman" w:cs="Times New Roman" w:eastAsia="Times New Roman" w:hAnsi="Times New Roman"/>
          <w:sz w:val="18"/>
          <w:szCs w:val="18"/>
          <w:color w:val="auto"/>
        </w:rPr>
      </w:pPr>
    </w:p>
    <w:p>
      <w:pPr>
        <w:jc w:val="both"/>
        <w:ind w:left="968" w:hanging="482"/>
        <w:spacing w:after="0" w:line="400" w:lineRule="auto"/>
        <w:tabs>
          <w:tab w:leader="none" w:pos="9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no longer constitute a majority of the members of the Board: (1) the individuals who, as of the Effective Date, constitute the Board (the “Current Directors”); (2) the individuals who thereafter are elected to the Board and whose election, or nomination for election, to the Board was approved by a vote of a majority of all of the Current Directors then still in office (such directors becoming “Additional Directors” immediately following their election); and (3) the individuals who are elected to the Board and whose election, or nomination for election, to the Board was approved by a vote of a majority of all of the Current Directors and Additional Directors then still in office (such directors also becoming “Additional Directors” immediately following their election);</w:t>
      </w:r>
    </w:p>
    <w:p>
      <w:pPr>
        <w:spacing w:after="0" w:line="76" w:lineRule="exact"/>
        <w:rPr>
          <w:rFonts w:ascii="Times New Roman" w:cs="Times New Roman" w:eastAsia="Times New Roman" w:hAnsi="Times New Roman"/>
          <w:sz w:val="18"/>
          <w:szCs w:val="18"/>
          <w:color w:val="auto"/>
        </w:rPr>
      </w:pPr>
    </w:p>
    <w:p>
      <w:pPr>
        <w:jc w:val="both"/>
        <w:ind w:left="968" w:hanging="482"/>
        <w:spacing w:after="0" w:line="407"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or exchange offer is made whereby the effect of such offer is to take over and control the Company, and such offer is consummated for the equity securities of the Company representing more than 50% of the combined voting power of the Company’s then outstanding voting securities;</w:t>
      </w:r>
    </w:p>
    <w:p>
      <w:pPr>
        <w:spacing w:after="0" w:line="67" w:lineRule="exact"/>
        <w:rPr>
          <w:rFonts w:ascii="Times New Roman" w:cs="Times New Roman" w:eastAsia="Times New Roman" w:hAnsi="Times New Roman"/>
          <w:sz w:val="18"/>
          <w:szCs w:val="18"/>
          <w:color w:val="auto"/>
        </w:rPr>
      </w:pPr>
    </w:p>
    <w:p>
      <w:pPr>
        <w:jc w:val="both"/>
        <w:ind w:left="968" w:hanging="482"/>
        <w:spacing w:after="0" w:line="397" w:lineRule="auto"/>
        <w:tabs>
          <w:tab w:leader="none" w:pos="9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approved by the Stockholders of a merger, consolidation, recapitalization, or reorganization of the Company, a reverse stock split of outstanding voting securities, or consummation of any such transaction if Stockholder approval is not obtained, other than any such transaction that would result in more than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78" w:lineRule="exact"/>
        <w:rPr>
          <w:rFonts w:ascii="Times New Roman" w:cs="Times New Roman" w:eastAsia="Times New Roman" w:hAnsi="Times New Roman"/>
          <w:sz w:val="18"/>
          <w:szCs w:val="18"/>
          <w:color w:val="auto"/>
        </w:rPr>
      </w:pPr>
    </w:p>
    <w:p>
      <w:pPr>
        <w:jc w:val="both"/>
        <w:ind w:left="968" w:hanging="482"/>
        <w:spacing w:after="0" w:line="407" w:lineRule="auto"/>
        <w:tabs>
          <w:tab w:leader="none" w:pos="96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approved by the Stockholders of a plan of complete liquidation of the 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67" w:lineRule="exact"/>
        <w:rPr>
          <w:rFonts w:ascii="Times New Roman" w:cs="Times New Roman" w:eastAsia="Times New Roman" w:hAnsi="Times New Roman"/>
          <w:sz w:val="18"/>
          <w:szCs w:val="18"/>
          <w:color w:val="auto"/>
        </w:rPr>
      </w:pPr>
    </w:p>
    <w:p>
      <w:pPr>
        <w:jc w:val="both"/>
        <w:ind w:left="968" w:hanging="482"/>
        <w:spacing w:after="0" w:line="415" w:lineRule="auto"/>
        <w:tabs>
          <w:tab w:leader="none" w:pos="95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that term is used in Sections 13(d) and 14(d) of the Exchange Act) is or becomes the “beneficial owner” (as defined in Rule 13d-3 of the Exchange Act), directly or indirectly of more than 50% of the total voting power represented by the Company’s then outstanding voting securities.</w:t>
      </w:r>
    </w:p>
    <w:p>
      <w:pPr>
        <w:spacing w:after="0" w:line="200" w:lineRule="exact"/>
        <w:rPr>
          <w:sz w:val="20"/>
          <w:szCs w:val="20"/>
          <w:color w:val="auto"/>
        </w:rPr>
      </w:pP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8"/>
          </w:cols>
          <w:pgMar w:left="652" w:top="1161" w:right="339" w:bottom="1440" w:gutter="0" w:footer="0" w:header="0"/>
        </w:sectPr>
      </w:pPr>
    </w:p>
    <w:bookmarkStart w:id="53" w:name="page54"/>
    <w:bookmarkEnd w:id="53"/>
    <w:p>
      <w:pPr>
        <w:ind w:left="488" w:hanging="488"/>
        <w:spacing w:after="0" w:line="423" w:lineRule="auto"/>
        <w:tabs>
          <w:tab w:leader="none" w:pos="4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an Evidence of Award or another written agreement between a Participant and the Company and notwithstanding the Plan’s minimum vesting requirements, if a Change in Control occurs, then:</w:t>
      </w:r>
    </w:p>
    <w:p>
      <w:pPr>
        <w:spacing w:after="0" w:line="53" w:lineRule="exact"/>
        <w:rPr>
          <w:rFonts w:ascii="Times New Roman" w:cs="Times New Roman" w:eastAsia="Times New Roman" w:hAnsi="Times New Roman"/>
          <w:sz w:val="18"/>
          <w:szCs w:val="18"/>
          <w:color w:val="auto"/>
        </w:rPr>
      </w:pPr>
    </w:p>
    <w:p>
      <w:pPr>
        <w:jc w:val="both"/>
        <w:ind w:left="968" w:hanging="482"/>
        <w:spacing w:after="0" w:line="407" w:lineRule="auto"/>
        <w:tabs>
          <w:tab w:leader="none" w:pos="9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and Appreciation Rights issued that are not yet fully vested and exercisable as of the time of the Change in Control shall immediately become vested and exercisable in full, except to the extent that a Replacement Award is provided to the Participant in accordance with the terms described herein;</w:t>
      </w:r>
    </w:p>
    <w:p>
      <w:pPr>
        <w:spacing w:after="0" w:line="67" w:lineRule="exact"/>
        <w:rPr>
          <w:rFonts w:ascii="Times New Roman" w:cs="Times New Roman" w:eastAsia="Times New Roman" w:hAnsi="Times New Roman"/>
          <w:sz w:val="18"/>
          <w:szCs w:val="18"/>
          <w:color w:val="auto"/>
        </w:rPr>
      </w:pPr>
    </w:p>
    <w:p>
      <w:pPr>
        <w:jc w:val="both"/>
        <w:ind w:left="968" w:hanging="482"/>
        <w:spacing w:after="0" w:line="407" w:lineRule="auto"/>
        <w:tabs>
          <w:tab w:leader="none" w:pos="9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deferral of settlement and forfeiture conditions applicable to Restricted Stock, Restricted Stock Units, or other awards granted under Section 9 that vest solely based on continued service (and not based on the achievement of Management Objectives) shall lapse and such awards shall be deemed fully vested as of immediately prior to the Change in Control, except to the extent that a Replacement Award is provided to the Participant in accordance with the terms described herein;</w:t>
      </w:r>
    </w:p>
    <w:p>
      <w:pPr>
        <w:spacing w:after="0" w:line="67" w:lineRule="exact"/>
        <w:rPr>
          <w:rFonts w:ascii="Times New Roman" w:cs="Times New Roman" w:eastAsia="Times New Roman" w:hAnsi="Times New Roman"/>
          <w:sz w:val="18"/>
          <w:szCs w:val="18"/>
          <w:color w:val="auto"/>
        </w:rPr>
      </w:pPr>
    </w:p>
    <w:p>
      <w:pPr>
        <w:jc w:val="both"/>
        <w:ind w:left="968" w:hanging="482"/>
        <w:spacing w:after="0" w:line="395"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Cash Incentive Awards, Performance Shares, Performance Units, and other awards granted under the Plan that are subject to the achievement of Management Objectives (other than the awards described in Section 12(b)(iv) below), the Management Objectives applicable thereto shall be deemed satisfied at target and the applicable performance period shall be deemed completed as of immediately prior to the Change in Control. Such awards will be replaced with a Replacement Award that will vest thereafter pursuant to the service-based vesting schedule set forth in the applicable Evidence of Award unless the successor or acquiring entity in the Change in Control does not provide a Replacement Award. If such Replacement Award is not provided, then any remaining restrictions, deferral of settlement and forfeiture conditions applicable to such award shall lapse and such award shall be deemed fully vested as of immediately prior to the Change in Control; and</w:t>
      </w:r>
    </w:p>
    <w:p>
      <w:pPr>
        <w:spacing w:after="0" w:line="82" w:lineRule="exact"/>
        <w:rPr>
          <w:rFonts w:ascii="Times New Roman" w:cs="Times New Roman" w:eastAsia="Times New Roman" w:hAnsi="Times New Roman"/>
          <w:sz w:val="18"/>
          <w:szCs w:val="18"/>
          <w:color w:val="auto"/>
        </w:rPr>
      </w:pPr>
    </w:p>
    <w:p>
      <w:pPr>
        <w:jc w:val="both"/>
        <w:ind w:left="968" w:hanging="482"/>
        <w:spacing w:after="0" w:line="398" w:lineRule="auto"/>
        <w:tabs>
          <w:tab w:leader="none" w:pos="9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Restricted Stock Units granted with Management Objectives that the Company describes as “Market Stock Units,” a prorated portion of such Market Stock Units shall vest based on actual performance of the Management Objectives through the date of the Change in Control. The remainder of the Market Stock Units (that did not vest in accordance with the immediately preceding sentence) will vest in accordance with their regular vesting schedule as set forth in the Evidence of Award unless the successor or acquiring entity in the Change in Control does not provide a Replacement Award for such remaining Market Stock Units. If such Replacement Award is not provided, then any remaining restrictions, deferral of settlement and forfeiture conditions applicable to such Market Stock Units shall lapse and such Market Stock Units shall be deemed fully vested as of immediately prior to the Change in Control.</w:t>
      </w:r>
    </w:p>
    <w:p>
      <w:pPr>
        <w:spacing w:after="0" w:line="75" w:lineRule="exact"/>
        <w:rPr>
          <w:rFonts w:ascii="Times New Roman" w:cs="Times New Roman" w:eastAsia="Times New Roman" w:hAnsi="Times New Roman"/>
          <w:sz w:val="18"/>
          <w:szCs w:val="18"/>
          <w:color w:val="auto"/>
        </w:rPr>
      </w:pPr>
    </w:p>
    <w:p>
      <w:pPr>
        <w:jc w:val="both"/>
        <w:ind w:left="488" w:hanging="488"/>
        <w:spacing w:after="0" w:line="401" w:lineRule="auto"/>
        <w:tabs>
          <w:tab w:leader="none" w:pos="4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agreement between a Participant and the Company or an affiliate, in the event that the Company’s auditors determine that any payment or transfer by the Company under this Plan to or for the benefit of a Participant (a “Payment”) would be nondeductible by the Company for federal income tax purposes because of the provisions concerning “excess parachute payments” in Code Section 280G, then, except to the extent otherwise determined by the Committee, the aggregate present value of all Payments to such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8"/>
          </w:cols>
          <w:pgMar w:left="652" w:top="1161" w:right="339" w:bottom="1440" w:gutter="0" w:footer="0" w:header="0"/>
        </w:sectPr>
      </w:pPr>
    </w:p>
    <w:bookmarkStart w:id="54" w:name="page55"/>
    <w:bookmarkEnd w:id="54"/>
    <w:p>
      <w:pPr>
        <w:jc w:val="both"/>
        <w:ind w:left="820"/>
        <w:spacing w:after="0" w:line="399" w:lineRule="auto"/>
        <w:rPr>
          <w:sz w:val="20"/>
          <w:szCs w:val="20"/>
          <w:color w:val="auto"/>
        </w:rPr>
      </w:pPr>
      <w:r>
        <w:rPr>
          <w:rFonts w:ascii="Times New Roman" w:cs="Times New Roman" w:eastAsia="Times New Roman" w:hAnsi="Times New Roman"/>
          <w:sz w:val="18"/>
          <w:szCs w:val="18"/>
          <w:color w:val="auto"/>
        </w:rPr>
        <w:t>Participant shall be reduced (but not below zero) to the amount, expressed as a present value, that maximizes the aggregate present value of the Payments without causing any Payment to be nondeductible by the Company because of Code Section 280G (the “Reduced Amount”); provided that the foregoing reduction in the Payments shall not apply if the after-tax value to the Participant of the Payments prior to reduction in accordance herewith is greater than the after-tax value to the Participant if the Payments are reduced in accordance herewith. All determinations under and relating to this Section 12(c) shall be made by the Committee in its sole and absolute discretion.</w:t>
      </w:r>
    </w:p>
    <w:p>
      <w:pPr>
        <w:spacing w:after="0" w:line="71" w:lineRule="exact"/>
        <w:rPr>
          <w:sz w:val="20"/>
          <w:szCs w:val="20"/>
          <w:color w:val="auto"/>
        </w:rPr>
      </w:pPr>
    </w:p>
    <w:p>
      <w:pPr>
        <w:jc w:val="both"/>
        <w:ind w:left="340" w:hanging="332"/>
        <w:spacing w:after="0" w:line="40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(cash and equity) granted under this Plan and held by the Company’s Executive Officers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recoupment or forfeiture (a) to the extent that such Executive Officer is determined to have engaged in fraud or intentional illegal conduct that caused the Company’s material non-compliance with any applicable financial reporting requirements and resulted in a financial restatement, the result of which is that the amount received from such award would have been lower had it been calculated on the basis of such restated results, or (b) required by applicable laws, rules, regulations or listing requirements. Such clawback, recoupment or forfeiture, in addition to any other remedies available under applicable laws, rules, regulations or listing requirements, shall occur through the cancellation of such awards (to the extent then-outstanding), the recoupment of any amounts realized with respect to such awards, or a combination of the foregoing, to the extent of the overpayment.</w:t>
      </w:r>
    </w:p>
    <w:p>
      <w:pPr>
        <w:spacing w:after="0" w:line="73" w:lineRule="exact"/>
        <w:rPr>
          <w:rFonts w:ascii="Times New Roman" w:cs="Times New Roman" w:eastAsia="Times New Roman" w:hAnsi="Times New Roman"/>
          <w:sz w:val="18"/>
          <w:szCs w:val="18"/>
          <w:color w:val="auto"/>
        </w:rPr>
      </w:pPr>
    </w:p>
    <w:p>
      <w:pPr>
        <w:jc w:val="both"/>
        <w:ind w:left="340"/>
        <w:spacing w:after="0" w:line="3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granted under the Plan will also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The implementation of any clawback policy will not be deemed a triggering event for purposes of any definition of “good reason” for resignation or any “constructive termination” that may be applicable to an award granted under this Plan.</w:t>
      </w:r>
    </w:p>
    <w:p>
      <w:pPr>
        <w:spacing w:after="0" w:line="70" w:lineRule="exact"/>
        <w:rPr>
          <w:rFonts w:ascii="Times New Roman" w:cs="Times New Roman" w:eastAsia="Times New Roman" w:hAnsi="Times New Roman"/>
          <w:sz w:val="18"/>
          <w:szCs w:val="18"/>
          <w:color w:val="auto"/>
        </w:rPr>
      </w:pPr>
    </w:p>
    <w:p>
      <w:pPr>
        <w:jc w:val="both"/>
        <w:ind w:left="340" w:hanging="332"/>
        <w:spacing w:after="0" w:line="397"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Non-U.S. Participants. </w:t>
      </w:r>
      <w:r>
        <w:rPr>
          <w:rFonts w:ascii="Times New Roman" w:cs="Times New Roman" w:eastAsia="Times New Roman" w:hAnsi="Times New Roman"/>
          <w:sz w:val="18"/>
          <w:szCs w:val="18"/>
          <w:color w:val="auto"/>
        </w:rPr>
        <w:t>In order to facilitate the making of any grant or combination of grants under this Plan, the Committee may provide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7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61" w:right="339" w:bottom="1440" w:gutter="0" w:footer="0" w:header="0"/>
        </w:sectPr>
      </w:pPr>
    </w:p>
    <w:bookmarkStart w:id="55" w:name="page56"/>
    <w:bookmarkEnd w:id="55"/>
    <w:p>
      <w:pPr>
        <w:jc w:val="both"/>
        <w:ind w:left="820" w:hanging="488"/>
        <w:spacing w:after="0" w:line="395" w:lineRule="auto"/>
        <w:tabs>
          <w:tab w:leader="none" w:pos="8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Committee, no Option Right, Appreciation Right, Restricted Stock, Restricted Stock Unit, Performance Share, Performance Unit, Cash Incentive Award, award contemplated by Section 9 of this Plan or dividend equivalents paid with respect to awards made under this Plan will be transferable by the Participant except by will or the laws of descent and distribution, nor will any such award be subject in any manner to anticipation, alienation, sale, assignment, pledge, encumbrance, attachment or garnishment. In no event will any such award granted under this Plan be transferred for value.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96" w:lineRule="exact"/>
        <w:rPr>
          <w:rFonts w:ascii="Times New Roman" w:cs="Times New Roman" w:eastAsia="Times New Roman" w:hAnsi="Times New Roman"/>
          <w:sz w:val="18"/>
          <w:szCs w:val="18"/>
          <w:color w:val="auto"/>
        </w:rPr>
      </w:pPr>
    </w:p>
    <w:p>
      <w:pPr>
        <w:jc w:val="both"/>
        <w:ind w:left="820" w:hanging="488"/>
        <w:spacing w:after="0" w:line="401" w:lineRule="auto"/>
        <w:tabs>
          <w:tab w:leader="none" w:pos="81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Section 6 of this Plan, will be subject to further restrictions on transfer.</w:t>
      </w:r>
    </w:p>
    <w:p>
      <w:pPr>
        <w:spacing w:after="0" w:line="70" w:lineRule="exact"/>
        <w:rPr>
          <w:rFonts w:ascii="Times New Roman" w:cs="Times New Roman" w:eastAsia="Times New Roman" w:hAnsi="Times New Roman"/>
          <w:sz w:val="18"/>
          <w:szCs w:val="18"/>
          <w:color w:val="auto"/>
        </w:rPr>
      </w:pPr>
    </w:p>
    <w:p>
      <w:pPr>
        <w:jc w:val="both"/>
        <w:ind w:left="340" w:hanging="332"/>
        <w:spacing w:after="0" w:line="394"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Taxes; No Guarantee of Tax Treatment. </w:t>
      </w:r>
      <w:r>
        <w:rPr>
          <w:rFonts w:ascii="Times New Roman" w:cs="Times New Roman" w:eastAsia="Times New Roman" w:hAnsi="Times New Roman"/>
          <w:sz w:val="18"/>
          <w:szCs w:val="18"/>
          <w:color w:val="auto"/>
        </w:rPr>
        <w:t>To the extent that the Company is required to withhold federal, state, local or foreign taxes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payment made or benefit realized by a Participant or other person under this Plan, it will be a condition to the receipt of such payment or the realization of such benefit that the Participant or such other person make arrangements satisfactory to the Company for payment of the balance of such taxes required to be withheld, which arrangements (in the discretion of the Committee) may include relinquishment of a portion of such benefit. If a Participant’s benefit is to be received in the form of Common Stock, then, unless otherwise determined by the Committee, the Company will withhold from the shares required to be delivered to the Participant, shares of Common Stock having a value equal to the amount required to be withheld under applicable income and employment tax laws. The shares so withheld by the Company for tax withholding will be valued at an amount equal to the Market Value per Share of such shares of Common Stock on the date the benefit is to be included in the Participant’s income. In no event will the value of the shares of Common Stock to be withheld and delivered pursuant to this Section to satisfy applicable withholding obligations exceed the maximum statutory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Committee may require for the payment of any withholding obligation that may arise in connection with the disposition of shares of Common Stock acquired upon the exercise of Option Rights. Notwithstanding any provisions of this Plan, the Company does not guarantee to any Participant or any other person with an interest in an award that (x) any award intended to be exempt from Code Section 409A shall be so exempt, (y) any award intended to comply with Code Section 409A or Code Section 422 shall so comply, or (z) any award shall otherwise receive a specific tax treatment under any other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61" w:right="339" w:bottom="1440" w:gutter="0" w:footer="0" w:header="0"/>
        </w:sectPr>
      </w:pPr>
    </w:p>
    <w:bookmarkStart w:id="56" w:name="page57"/>
    <w:bookmarkEnd w:id="56"/>
    <w:p>
      <w:pPr>
        <w:ind w:left="340" w:right="20"/>
        <w:spacing w:after="0" w:line="423" w:lineRule="auto"/>
        <w:rPr>
          <w:sz w:val="20"/>
          <w:szCs w:val="20"/>
          <w:color w:val="auto"/>
        </w:rPr>
      </w:pPr>
      <w:r>
        <w:rPr>
          <w:rFonts w:ascii="Times New Roman" w:cs="Times New Roman" w:eastAsia="Times New Roman" w:hAnsi="Times New Roman"/>
          <w:sz w:val="18"/>
          <w:szCs w:val="18"/>
          <w:color w:val="auto"/>
        </w:rPr>
        <w:t>tax law, nor in any such case will the Company or any affiliate indemnify, defend or hold harmless any individual with respect to the tax consequences of any award.</w:t>
      </w:r>
    </w:p>
    <w:p>
      <w:pPr>
        <w:spacing w:after="0" w:line="49"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 of the Code.</w:t>
      </w:r>
    </w:p>
    <w:p>
      <w:pPr>
        <w:spacing w:after="0" w:line="242" w:lineRule="exact"/>
        <w:rPr>
          <w:rFonts w:ascii="Times New Roman" w:cs="Times New Roman" w:eastAsia="Times New Roman" w:hAnsi="Times New Roman"/>
          <w:sz w:val="18"/>
          <w:szCs w:val="18"/>
          <w:color w:val="auto"/>
        </w:rPr>
      </w:pPr>
    </w:p>
    <w:p>
      <w:pPr>
        <w:jc w:val="both"/>
        <w:ind w:left="820" w:hanging="488"/>
        <w:spacing w:after="0" w:line="399" w:lineRule="auto"/>
        <w:tabs>
          <w:tab w:leader="none" w:pos="8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it is intended that this Plan and any grants made hereunder comply with the provisions of Section 409A of the Code, so that the income inclusion provisions of Section 409A(a)(1) of the Code do not apply to the Participants. The provisions of this Plan and any grants made hereunder will be construed and interpreted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88" w:lineRule="exact"/>
        <w:rPr>
          <w:rFonts w:ascii="Times New Roman" w:cs="Times New Roman" w:eastAsia="Times New Roman" w:hAnsi="Times New Roman"/>
          <w:sz w:val="18"/>
          <w:szCs w:val="18"/>
          <w:color w:val="auto"/>
        </w:rPr>
      </w:pPr>
    </w:p>
    <w:p>
      <w:pPr>
        <w:jc w:val="both"/>
        <w:ind w:left="820" w:hanging="488"/>
        <w:spacing w:after="0" w:line="399" w:lineRule="auto"/>
        <w:tabs>
          <w:tab w:leader="none" w:pos="8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74" w:lineRule="exact"/>
        <w:rPr>
          <w:rFonts w:ascii="Times New Roman" w:cs="Times New Roman" w:eastAsia="Times New Roman" w:hAnsi="Times New Roman"/>
          <w:sz w:val="18"/>
          <w:szCs w:val="18"/>
          <w:color w:val="auto"/>
        </w:rPr>
      </w:pPr>
    </w:p>
    <w:p>
      <w:pPr>
        <w:jc w:val="both"/>
        <w:ind w:left="820" w:hanging="488"/>
        <w:spacing w:after="0" w:line="396" w:lineRule="auto"/>
        <w:tabs>
          <w:tab w:leader="none" w:pos="8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79" w:lineRule="exact"/>
        <w:rPr>
          <w:rFonts w:ascii="Times New Roman" w:cs="Times New Roman" w:eastAsia="Times New Roman" w:hAnsi="Times New Roman"/>
          <w:sz w:val="18"/>
          <w:szCs w:val="18"/>
          <w:color w:val="auto"/>
        </w:rPr>
      </w:pPr>
    </w:p>
    <w:p>
      <w:pPr>
        <w:jc w:val="both"/>
        <w:ind w:left="820" w:hanging="488"/>
        <w:spacing w:after="0" w:line="400" w:lineRule="auto"/>
        <w:tabs>
          <w:tab w:leader="none" w:pos="81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76"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61" w:right="339" w:bottom="1440" w:gutter="0" w:footer="0" w:header="0"/>
        </w:sectPr>
      </w:pPr>
    </w:p>
    <w:bookmarkStart w:id="57" w:name="page58"/>
    <w:bookmarkEnd w:id="57"/>
    <w:p>
      <w:pPr>
        <w:jc w:val="both"/>
        <w:ind w:left="820"/>
        <w:spacing w:after="0" w:line="401" w:lineRule="auto"/>
        <w:rPr>
          <w:sz w:val="20"/>
          <w:szCs w:val="20"/>
          <w:color w:val="auto"/>
        </w:rPr>
      </w:pPr>
      <w:r>
        <w:rPr>
          <w:rFonts w:ascii="Times New Roman" w:cs="Times New Roman" w:eastAsia="Times New Roman" w:hAnsi="Times New Roman"/>
          <w:sz w:val="18"/>
          <w:szCs w:val="18"/>
          <w:color w:val="auto"/>
        </w:rPr>
        <w:t>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71"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p>
    <w:p>
      <w:pPr>
        <w:spacing w:after="0" w:line="242" w:lineRule="exact"/>
        <w:rPr>
          <w:rFonts w:ascii="Times New Roman" w:cs="Times New Roman" w:eastAsia="Times New Roman" w:hAnsi="Times New Roman"/>
          <w:sz w:val="18"/>
          <w:szCs w:val="18"/>
          <w:color w:val="auto"/>
        </w:rPr>
      </w:pPr>
    </w:p>
    <w:p>
      <w:pPr>
        <w:ind w:left="820" w:hanging="488"/>
        <w:spacing w:after="0" w:line="423" w:lineRule="auto"/>
        <w:tabs>
          <w:tab w:leader="none" w:pos="8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at any time and from time to time amend this Plan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then required by applicable law or deemed necessary or advisable by the Board, any amendment to this Plan shall be subject to Stockholder approval.</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398" w:lineRule="auto"/>
        <w:tabs>
          <w:tab w:leader="none" w:pos="8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adjustments in connection with a corporate transaction or event described in Section 11 of this Plan or in connection with a Change in Control as provided herein, the terms of outstanding awards may not be amended to reduce the Option Price of outstanding Option Rights or the Base Price of outstanding Appreciation Rights, or cancel outstanding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Section 18(b) is intended to prohibit the repricing of “underwater” Option Rights and Appreciation Rights and will not be construed to prohibit the adjustments provided for in Section 11 of this Plan. Notwithstanding any provision of this Plan to the contrary, this Section 18(b) may not be amended without approval by the Stockholders.</w:t>
      </w:r>
    </w:p>
    <w:p>
      <w:pPr>
        <w:spacing w:after="0" w:line="75" w:lineRule="exact"/>
        <w:rPr>
          <w:rFonts w:ascii="Times New Roman" w:cs="Times New Roman" w:eastAsia="Times New Roman" w:hAnsi="Times New Roman"/>
          <w:sz w:val="18"/>
          <w:szCs w:val="18"/>
          <w:color w:val="auto"/>
        </w:rPr>
      </w:pPr>
    </w:p>
    <w:p>
      <w:pPr>
        <w:jc w:val="both"/>
        <w:ind w:left="820" w:hanging="488"/>
        <w:spacing w:after="0" w:line="395" w:lineRule="auto"/>
        <w:tabs>
          <w:tab w:leader="none" w:pos="8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Section 409A of the Code, but subject to the paragraph that follows, including (without limitation)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dividends or dividend equivalents or other awards made pursuant to Section 9 of this Plan subject to any vesting schedule or transfer restriction, or who holds shares of Common Stock subject to any transfer restriction imposed pursuant to Section 15(b) of this Plan, the Committee may, in its sole discretion but subject to the minimum vesting provisions of Section 3(d), provide for continued vesting or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fully earned or the time when such transfer restriction will terminate or may waive any other limitation or requirement under any such award.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61" w:right="339" w:bottom="1440" w:gutter="0" w:footer="0" w:header="0"/>
        </w:sectPr>
      </w:pPr>
    </w:p>
    <w:bookmarkStart w:id="58" w:name="page59"/>
    <w:bookmarkEnd w:id="58"/>
    <w:p>
      <w:pPr>
        <w:jc w:val="both"/>
        <w:ind w:left="820" w:hanging="488"/>
        <w:spacing w:after="0" w:line="266" w:lineRule="auto"/>
        <w:tabs>
          <w:tab w:leader="none" w:pos="8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18(b) of this Plan, the Committee may amend the terms of any award theretofore granted under this Plan prospectively or retroactively. Except for adjustments made pursuant to Section 11 of this Plan, no such amendment will materially impair the rights of any Participant without his or her consent; ; provided that Participant consent shall not be required for an amendment: (x) to the extent the Committee deems such amendment necessary to comply with any applicable law or the listing requirements of any principal securities exchange or market on which the shares are then traded; (y) to the extent the Committee deems such amendment necessary to preserve favorable accounting or tax treatment of any award for the Company; or (z) to the extent the Committee determines that such amendment does not materially and adversely affect the value of an award or that such action is in the best interest of the affected Participant or any other person(s) as may then have an interest in the award.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45" w:lineRule="exact"/>
        <w:rPr>
          <w:rFonts w:ascii="Times New Roman" w:cs="Times New Roman" w:eastAsia="Times New Roman" w:hAnsi="Times New Roman"/>
          <w:sz w:val="18"/>
          <w:szCs w:val="18"/>
          <w:color w:val="auto"/>
        </w:rPr>
      </w:pPr>
    </w:p>
    <w:p>
      <w:pPr>
        <w:ind w:left="340" w:hanging="332"/>
        <w:spacing w:after="0" w:line="427"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Plan and all grants and awards and actions taken hereunder will be governed by and construed in accordance with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substantive laws of the State of Delaware.</w:t>
      </w:r>
    </w:p>
    <w:p>
      <w:pPr>
        <w:spacing w:after="0" w:line="46" w:lineRule="exact"/>
        <w:rPr>
          <w:rFonts w:ascii="Times New Roman" w:cs="Times New Roman" w:eastAsia="Times New Roman" w:hAnsi="Times New Roman"/>
          <w:sz w:val="18"/>
          <w:szCs w:val="18"/>
          <w:color w:val="auto"/>
        </w:rPr>
      </w:pPr>
    </w:p>
    <w:p>
      <w:pPr>
        <w:jc w:val="both"/>
        <w:ind w:left="340" w:hanging="332"/>
        <w:spacing w:after="0" w:line="392"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Date/Termination. </w:t>
      </w:r>
      <w:r>
        <w:rPr>
          <w:rFonts w:ascii="Times New Roman" w:cs="Times New Roman" w:eastAsia="Times New Roman" w:hAnsi="Times New Roman"/>
          <w:sz w:val="18"/>
          <w:szCs w:val="18"/>
          <w:color w:val="auto"/>
        </w:rPr>
        <w:t>This Plan will be effective as of the Effective Date. No grants will be made on or after the Effective Date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 Plans, provided that outstanding awards granted under the Predecessor Plans will continue unaffected following the Effective Date. No grant will be made under this Plan on or after the tenth anniversary of the earlier of (i) the date this Plan was most recently adopted by the Board and</w:t>
      </w:r>
    </w:p>
    <w:p>
      <w:pPr>
        <w:spacing w:after="0" w:line="2" w:lineRule="exact"/>
        <w:rPr>
          <w:rFonts w:ascii="Times New Roman" w:cs="Times New Roman" w:eastAsia="Times New Roman" w:hAnsi="Times New Roman"/>
          <w:sz w:val="18"/>
          <w:szCs w:val="18"/>
          <w:color w:val="auto"/>
        </w:rPr>
      </w:pPr>
    </w:p>
    <w:p>
      <w:pPr>
        <w:jc w:val="both"/>
        <w:ind w:left="340" w:hanging="8"/>
        <w:spacing w:after="0" w:line="415" w:lineRule="auto"/>
        <w:tabs>
          <w:tab w:leader="none" w:pos="61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Company's stockholders have most recently approved this Plan, but all grants made prior to such tenth anniversary date will continue in effect thereafter subject to the terms thereof and of this Plan. For clarification purposes, the terms and conditions of this Plan shall not apply to or otherwise impact previously granted and outstanding awards under the Predecessor Plans, as applicable.</w:t>
      </w:r>
    </w:p>
    <w:p>
      <w:pPr>
        <w:spacing w:after="0" w:line="5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42" w:lineRule="exact"/>
        <w:rPr>
          <w:rFonts w:ascii="Times New Roman" w:cs="Times New Roman" w:eastAsia="Times New Roman" w:hAnsi="Times New Roman"/>
          <w:sz w:val="18"/>
          <w:szCs w:val="18"/>
          <w:color w:val="auto"/>
        </w:rPr>
      </w:pPr>
    </w:p>
    <w:p>
      <w:pPr>
        <w:ind w:left="820" w:hanging="488"/>
        <w:spacing w:after="0" w:line="423" w:lineRule="auto"/>
        <w:tabs>
          <w:tab w:leader="none" w:pos="8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issue any fractional shares of Common Stock pursuant to this Plan. The Committee may provide for the elimination of fractions without consideration or for the settlement of fractions in cash.</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407" w:lineRule="auto"/>
        <w:tabs>
          <w:tab w:leader="none" w:pos="8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396" w:lineRule="auto"/>
        <w:tabs>
          <w:tab w:leader="none" w:pos="81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establish the effect (if any) of a termination of employment or service on the rights and benefits under each award under this Plan and in so doing may make distinctions based upon the cause of termination and type of award. If the Participant is not an employee of the Company or one of its Subsidiaries, is not a member of the Board, and provides other services to the Company or one of its Subsidiaries, the Committee shall be the sole judge for purposes of this Plan and awards hereunder of whether the Participant continues to render services to the Company or one of its Subsidiaries and the date, if any, upon which such services shall be deemed to have terminated. For purposes of this Plan and any award hereunder, if an entity ceases to be a Subsidiary of the Company, a termination of employment or service shall be deemed to have occurred with respect to each Participant who is employed by or provides services to such entity and who does not satisfy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093" w:right="339" w:bottom="1440" w:gutter="0" w:footer="0" w:header="0"/>
        </w:sectPr>
      </w:pPr>
    </w:p>
    <w:bookmarkStart w:id="59" w:name="page60"/>
    <w:bookmarkEnd w:id="59"/>
    <w:p>
      <w:pPr>
        <w:jc w:val="both"/>
        <w:ind w:left="488" w:right="20"/>
        <w:spacing w:after="0" w:line="438" w:lineRule="auto"/>
        <w:rPr>
          <w:sz w:val="20"/>
          <w:szCs w:val="20"/>
          <w:color w:val="auto"/>
        </w:rPr>
      </w:pPr>
      <w:r>
        <w:rPr>
          <w:rFonts w:ascii="Times New Roman" w:cs="Times New Roman" w:eastAsia="Times New Roman" w:hAnsi="Times New Roman"/>
          <w:sz w:val="17"/>
          <w:szCs w:val="17"/>
          <w:color w:val="auto"/>
        </w:rPr>
        <w:t>requirements for eligibility to receive awards under this Plan (as set forth in the definition of “Participant” in Section 2 of this Plan) after giving effect to the transaction or other event giving rise to the change in status (unless the Subsidiary that is sold, spun-off or otherwise divested (or its successor or a direct or indirect parent of such Subsidiary or successor) assumes the Participant’s award(s) in connection with such transaction).</w:t>
      </w:r>
    </w:p>
    <w:p>
      <w:pPr>
        <w:spacing w:after="0" w:line="50" w:lineRule="exact"/>
        <w:rPr>
          <w:sz w:val="20"/>
          <w:szCs w:val="20"/>
          <w:color w:val="auto"/>
        </w:rPr>
      </w:pPr>
    </w:p>
    <w:p>
      <w:pPr>
        <w:jc w:val="both"/>
        <w:ind w:left="488" w:hanging="488"/>
        <w:spacing w:after="0" w:line="407" w:lineRule="auto"/>
        <w:tabs>
          <w:tab w:leader="none" w:pos="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obligated to issue shares, and no award under this Plan may be exercised by the holder thereof if such issuance or exercise, and the receipt of cash or stock thereunder, would be, in the opinion of counsel selected by the Company, contrary to law or the regulations of any duly constituted authority having jurisdiction over this Plan.</w:t>
      </w:r>
    </w:p>
    <w:p>
      <w:pPr>
        <w:spacing w:after="0" w:line="67" w:lineRule="exact"/>
        <w:rPr>
          <w:rFonts w:ascii="Times New Roman" w:cs="Times New Roman" w:eastAsia="Times New Roman" w:hAnsi="Times New Roman"/>
          <w:sz w:val="18"/>
          <w:szCs w:val="18"/>
          <w:color w:val="auto"/>
        </w:rPr>
      </w:pPr>
    </w:p>
    <w:p>
      <w:pPr>
        <w:jc w:val="both"/>
        <w:ind w:left="488" w:hanging="488"/>
        <w:spacing w:after="0" w:line="398" w:lineRule="auto"/>
        <w:tabs>
          <w:tab w:leader="none" w:pos="4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express policy of the Company or one of its Subsidiaries (as applicable), or the Committee, otherwise provides, or except as otherwise required by applicable law, the employment relationship shall not be considered terminated in the case of: (i) sick leave, (ii) military leave, or (iii) any other leave of absence authorized by the Company or one of its Subsidiaries, or the Committee; provided that, unless reemployment upon the expiration of such leave is guaranteed by contract or law or the Committee otherwise provides, such leave is for a period of not more than three months. In the case of any employee of the Company or one of its Subsidiaries on an approved leave of absence, continued vesting of the award while on leave from the employ of the Company or one of its Subsidiaries may be suspended until the employee returns to service, unless the Committee otherwise provides or applicable law otherwise requires. In no event shall an award be exercised after the expiration of any applicable maximum term of the award.</w:t>
      </w:r>
    </w:p>
    <w:p>
      <w:pPr>
        <w:spacing w:after="0" w:line="75" w:lineRule="exact"/>
        <w:rPr>
          <w:rFonts w:ascii="Times New Roman" w:cs="Times New Roman" w:eastAsia="Times New Roman" w:hAnsi="Times New Roman"/>
          <w:sz w:val="18"/>
          <w:szCs w:val="18"/>
          <w:color w:val="auto"/>
        </w:rPr>
      </w:pPr>
    </w:p>
    <w:p>
      <w:pPr>
        <w:jc w:val="both"/>
        <w:ind w:left="488" w:hanging="488"/>
        <w:spacing w:after="0" w:line="407" w:lineRule="auto"/>
        <w:tabs>
          <w:tab w:leader="none" w:pos="4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67" w:lineRule="exact"/>
        <w:rPr>
          <w:rFonts w:ascii="Times New Roman" w:cs="Times New Roman" w:eastAsia="Times New Roman" w:hAnsi="Times New Roman"/>
          <w:sz w:val="18"/>
          <w:szCs w:val="18"/>
          <w:color w:val="auto"/>
        </w:rPr>
      </w:pPr>
    </w:p>
    <w:p>
      <w:pPr>
        <w:jc w:val="both"/>
        <w:ind w:left="488" w:hanging="488"/>
        <w:spacing w:after="0" w:line="401" w:lineRule="auto"/>
        <w:tabs>
          <w:tab w:leader="none" w:pos="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74" w:lineRule="exact"/>
        <w:rPr>
          <w:rFonts w:ascii="Times New Roman" w:cs="Times New Roman" w:eastAsia="Times New Roman" w:hAnsi="Times New Roman"/>
          <w:sz w:val="18"/>
          <w:szCs w:val="18"/>
          <w:color w:val="auto"/>
        </w:rPr>
      </w:pPr>
    </w:p>
    <w:p>
      <w:pPr>
        <w:jc w:val="both"/>
        <w:ind w:left="488" w:hanging="488"/>
        <w:spacing w:after="0" w:line="399" w:lineRule="auto"/>
        <w:tabs>
          <w:tab w:leader="none" w:pos="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8"/>
          </w:cols>
          <w:pgMar w:left="652" w:top="1161" w:right="339" w:bottom="1440" w:gutter="0" w:footer="0" w:header="0"/>
        </w:sectPr>
      </w:pPr>
    </w:p>
    <w:bookmarkStart w:id="60" w:name="page61"/>
    <w:bookmarkEnd w:id="60"/>
    <w:p>
      <w:pPr>
        <w:ind w:left="820"/>
        <w:spacing w:after="0"/>
        <w:rPr>
          <w:sz w:val="20"/>
          <w:szCs w:val="20"/>
          <w:color w:val="auto"/>
        </w:rPr>
      </w:pPr>
      <w:r>
        <w:rPr>
          <w:rFonts w:ascii="Times New Roman" w:cs="Times New Roman" w:eastAsia="Times New Roman" w:hAnsi="Times New Roman"/>
          <w:sz w:val="18"/>
          <w:szCs w:val="18"/>
          <w:color w:val="auto"/>
        </w:rPr>
        <w:t>prohibited from providing information voluntarily to the Securities and Exchange Commission pursuant to Section 21F of the Exchange Act.</w:t>
      </w:r>
    </w:p>
    <w:p>
      <w:pPr>
        <w:spacing w:after="0" w:line="239" w:lineRule="exact"/>
        <w:rPr>
          <w:sz w:val="20"/>
          <w:szCs w:val="20"/>
          <w:color w:val="auto"/>
        </w:rPr>
      </w:pPr>
    </w:p>
    <w:p>
      <w:pPr>
        <w:jc w:val="both"/>
        <w:ind w:left="820" w:hanging="488"/>
        <w:spacing w:after="0" w:line="396" w:lineRule="auto"/>
        <w:tabs>
          <w:tab w:leader="none" w:pos="8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payable under this Plan shall be payable in shares or from the general assets of the Company, and no special or separate reserve, fund or deposit shall be made to assure payment of such awards. No Participant or other person shall have any right, title or interest in any fund or in any specific asset of the Company or any Subsidiary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Company or any Subsidiary and any Participant or other person. To the extent that a Participant or other person acquires a right to receive payment pursuant to any award hereunder, such right shall be no greater than the right of any unsecured general creditor of the Company.</w:t>
      </w:r>
    </w:p>
    <w:p>
      <w:pPr>
        <w:spacing w:after="0" w:line="93" w:lineRule="exact"/>
        <w:rPr>
          <w:rFonts w:ascii="Times New Roman" w:cs="Times New Roman" w:eastAsia="Times New Roman" w:hAnsi="Times New Roman"/>
          <w:sz w:val="18"/>
          <w:szCs w:val="18"/>
          <w:color w:val="auto"/>
        </w:rPr>
      </w:pPr>
    </w:p>
    <w:p>
      <w:pPr>
        <w:jc w:val="both"/>
        <w:ind w:left="820" w:hanging="488"/>
        <w:spacing w:after="0" w:line="394" w:lineRule="auto"/>
        <w:tabs>
          <w:tab w:leader="none" w:pos="8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this Plan, the Evidences of Award and the awards granted hereunder shall not limit, affect, or restrict in any way the right or power of the Company or any Subsidiary (or any of their respective stockholders, boards of directors or committees thereof (or any subcommittees), as the case may be) to make or authorize: (a) any adjustment, recapitalization, reorganization or other change in the capital structure or business of the Company or any Subsidiary, (b) any merger, amalgamation, consolidation or change in the ownership of the Company or any Subsidiary, (c) any issue of bonds, debentures, capital, preferred or prior preference stock ahead of or affecting the capital stock (or the rights thereof) of the Company or any Subsidiary, (d) any dissolution or liquidation of the Company or any Subsidiary, (e) any sale or transfer of all or any part of the assets or business of the Company or any Subsidiary, (f) any other award, grant, or payment of incentives or other compensation under any other plan or authority (or any other action with respect to any benefit, incentive or compensation), or (g) any other corporate act or proceeding by the Company or any Subsidiary. No Participant or other person shall have any claim under any award or award agreement against any member of the Board or the Committee, or the Company or any employees, officers or agents of the Company or any Subsidiary, as a result of any such action. Awards need not be structured so as to be deductible for tax purposes.</w:t>
      </w:r>
    </w:p>
    <w:p>
      <w:pPr>
        <w:spacing w:after="0" w:line="82" w:lineRule="exact"/>
        <w:rPr>
          <w:rFonts w:ascii="Times New Roman" w:cs="Times New Roman" w:eastAsia="Times New Roman" w:hAnsi="Times New Roman"/>
          <w:sz w:val="18"/>
          <w:szCs w:val="18"/>
          <w:color w:val="auto"/>
        </w:rPr>
      </w:pPr>
    </w:p>
    <w:p>
      <w:pPr>
        <w:jc w:val="both"/>
        <w:ind w:left="820" w:hanging="488"/>
        <w:spacing w:after="0" w:line="399" w:lineRule="auto"/>
        <w:tabs>
          <w:tab w:leader="none" w:pos="8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shall dispose of shares acquired through exercise of an Incentive Stock Option within either (i) two (2) years after the date the Incentive Stock Option is granted or (ii) one (1) year after the date the Incentive Stock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within seven (7) days of the date the Participant makes such an election.</w:t>
      </w:r>
    </w:p>
    <w:p>
      <w:pPr>
        <w:spacing w:after="0" w:line="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Stock-Based Awards in Substitution for Awards Granted by Another Company. </w:t>
      </w:r>
      <w:r>
        <w:rPr>
          <w:rFonts w:ascii="Times New Roman" w:cs="Times New Roman" w:eastAsia="Times New Roman" w:hAnsi="Times New Roman"/>
          <w:sz w:val="18"/>
          <w:szCs w:val="18"/>
          <w:color w:val="auto"/>
        </w:rPr>
        <w:t>Notwithstanding anything in this Plan to the contrary: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61" w:right="339" w:bottom="1440" w:gutter="0" w:footer="0" w:header="0"/>
        </w:sectPr>
      </w:pPr>
    </w:p>
    <w:bookmarkStart w:id="61" w:name="page62"/>
    <w:bookmarkEnd w:id="61"/>
    <w:p>
      <w:pPr>
        <w:jc w:val="both"/>
        <w:ind w:left="488" w:hanging="488"/>
        <w:spacing w:after="0" w:line="395" w:lineRule="auto"/>
        <w:tabs>
          <w:tab w:leader="none" w:pos="4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96" w:lineRule="exact"/>
        <w:rPr>
          <w:rFonts w:ascii="Times New Roman" w:cs="Times New Roman" w:eastAsia="Times New Roman" w:hAnsi="Times New Roman"/>
          <w:sz w:val="18"/>
          <w:szCs w:val="18"/>
          <w:color w:val="auto"/>
        </w:rPr>
      </w:pPr>
    </w:p>
    <w:p>
      <w:pPr>
        <w:jc w:val="both"/>
        <w:ind w:left="488" w:hanging="488"/>
        <w:spacing w:after="0" w:line="397" w:lineRule="auto"/>
        <w:tabs>
          <w:tab w:leader="none" w:pos="4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provided, however,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78" w:lineRule="exact"/>
        <w:rPr>
          <w:rFonts w:ascii="Times New Roman" w:cs="Times New Roman" w:eastAsia="Times New Roman" w:hAnsi="Times New Roman"/>
          <w:sz w:val="18"/>
          <w:szCs w:val="18"/>
          <w:color w:val="auto"/>
        </w:rPr>
      </w:pPr>
    </w:p>
    <w:p>
      <w:pPr>
        <w:jc w:val="both"/>
        <w:ind w:left="488" w:hanging="488"/>
        <w:spacing w:after="0" w:line="399" w:lineRule="auto"/>
        <w:tabs>
          <w:tab w:leader="none" w:pos="4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that are issued or transferred by, or that are subject to any awards that are granted by, or become obligations of, the Company under Sections 22(a) or 22(b) of this Plan will not reduce the shares of Common Stock available for issuance or transfer under this Plan or otherwise count against the limits contained in Section 3 of this Plan. In addition, no shares of Common Stock subject to an award that is granted by, or becomes an obligation of, the Company under Sections 22(a) or 22(b) of this Plan will be added to the aggregate limit contained in Section 3(a)(i) of this Plan.</w:t>
      </w:r>
    </w:p>
    <w:p>
      <w:pPr>
        <w:spacing w:after="0" w:line="200" w:lineRule="exact"/>
        <w:rPr>
          <w:sz w:val="20"/>
          <w:szCs w:val="20"/>
          <w:color w:val="auto"/>
        </w:rPr>
      </w:pPr>
    </w:p>
    <w:p>
      <w:pPr>
        <w:spacing w:after="0" w:line="3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8"/>
          </w:cols>
          <w:pgMar w:left="652" w:top="116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RESTRICTED STOCK UNIT AWARD AGREEMENT</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Date of Grant: %%OPTION_DATE,'Month DD, YYYY'%-%</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Grantee: %%FIRST_NAME_MIDDLE_NAME_LAST_NAME%-%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RSUs Granted: %%TOTAL_SHARES_GRANTED,'999,999,999'%-%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 Number: %%OPTION_NUMBER%-%</w:t>
      </w:r>
    </w:p>
    <w:p>
      <w:pPr>
        <w:spacing w:after="0" w:line="200" w:lineRule="exact"/>
        <w:rPr>
          <w:sz w:val="20"/>
          <w:szCs w:val="20"/>
          <w:color w:val="auto"/>
        </w:rPr>
      </w:pPr>
    </w:p>
    <w:p>
      <w:pPr>
        <w:spacing w:after="0" w:line="27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Non-Employee Director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as of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xml:space="preserve"> referenced above, by and between Synaptics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xml:space="preserve"> referenced above.</w:t>
      </w:r>
    </w:p>
    <w:p>
      <w:pPr>
        <w:spacing w:after="0" w:line="168" w:lineRule="exact"/>
        <w:rPr>
          <w:sz w:val="20"/>
          <w:szCs w:val="20"/>
          <w:color w:val="auto"/>
        </w:rPr>
      </w:pPr>
    </w:p>
    <w:p>
      <w:pPr>
        <w:ind w:left="660" w:right="20" w:hanging="652"/>
        <w:spacing w:after="0" w:line="23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Synaptics Incorporated Amended and Restated 2019 Equity and Incentive Compensation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auto"/>
        </w:rPr>
      </w:pPr>
    </w:p>
    <w:p>
      <w:pPr>
        <w:jc w:val="both"/>
        <w:ind w:left="660" w:hanging="652"/>
        <w:spacing w:after="0" w:line="225"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 of RSUs</w:t>
      </w:r>
      <w:r>
        <w:rPr>
          <w:rFonts w:ascii="Times New Roman" w:cs="Times New Roman" w:eastAsia="Times New Roman" w:hAnsi="Times New Roman"/>
          <w:sz w:val="18"/>
          <w:szCs w:val="18"/>
          <w:color w:val="auto"/>
        </w:rPr>
        <w:t>. Subject to and upon the terms, conditions and restrictions set forth in this Agreement, including any additional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the Plan, pursuant to authorization under resolutions of the Committee or the Board, the Company has granted to the Grantee as of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referenced above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Each RSU shall represent the right of the Grantee to receive one share of Common Stock subject to and upon the terms and conditions of this Agreement and the Plan, as applicable.</w:t>
      </w:r>
    </w:p>
    <w:p>
      <w:pPr>
        <w:spacing w:after="0" w:line="155"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Transfer of RSUs</w:t>
      </w:r>
      <w:r>
        <w:rPr>
          <w:rFonts w:ascii="Times New Roman" w:cs="Times New Roman" w:eastAsia="Times New Roman" w:hAnsi="Times New Roman"/>
          <w:sz w:val="18"/>
          <w:szCs w:val="18"/>
          <w:color w:val="auto"/>
        </w:rPr>
        <w:t>. Subject to Section 15 of the Plan, neither the RSUs evidenced hereby nor any interest therein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Common Stock underlying such RSUs shall be transferable prior to payment to the Grantee pursuant to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hereof other than by will or pursuant to the laws of descent and distribution.</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RSUs</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Regular Vesting</w:t>
      </w:r>
      <w:r>
        <w:rPr>
          <w:rFonts w:ascii="Times New Roman" w:cs="Times New Roman" w:eastAsia="Times New Roman" w:hAnsi="Times New Roman"/>
          <w:sz w:val="18"/>
          <w:szCs w:val="18"/>
          <w:color w:val="auto"/>
        </w:rPr>
        <w:t>. Except as otherwise provided in, and subject to the terms and conditions of, this Agreement and the Plan, as applicable, the RSUs covered by this Agreement shall be subject to service based vesting conditions outlined below. The RSUs shall vest in equal quarterly installments of twenty-five percent (25%) of the total number of RSUs covered by this Agreement over a one year period, commencing on the first quarterly vesting date following the Date of Grant until fully vested on the earlier of the first anniversary of the Grant Date or the date of the Company’s next annual meeting of stockholders following the Grant Date, subject to the Grantee’s continued service as a member of the Board through each such date:</w:t>
      </w:r>
    </w:p>
    <w:p>
      <w:pPr>
        <w:ind w:left="66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p>
    <w:p>
      <w:pPr>
        <w:jc w:val="both"/>
        <w:ind w:left="740" w:hanging="327"/>
        <w:spacing w:after="0" w:line="212" w:lineRule="auto"/>
        <w:tabs>
          <w:tab w:leader="none" w:pos="73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Upon Specific Events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b w:val="1"/>
          <w:bCs w:val="1"/>
          <w:color w:val="auto"/>
        </w:rPr>
        <w:t>Section 4(a)</w:t>
      </w:r>
      <w:r>
        <w:rPr>
          <w:rFonts w:ascii="Times New Roman" w:cs="Times New Roman" w:eastAsia="Times New Roman" w:hAnsi="Times New Roman"/>
          <w:sz w:val="18"/>
          <w:szCs w:val="18"/>
          <w:color w:val="auto"/>
        </w:rPr>
        <w:t xml:space="preserve"> above, if at any time before a Vesting Date (as defined below) or forfeiture of the RSUs, and while the Grantee is continuously providing services as a member of the Board, a Change in Control occurs, then RSUs will be subject to Section 12 of the Plan such that the Change in Control will constitute a Vesting Date for the RSUs and they will become nonforfeitable and payable to the Grantee in accordance with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hereof, except to the extent that a “</w:t>
      </w:r>
      <w:r>
        <w:rPr>
          <w:rFonts w:ascii="Times New Roman" w:cs="Times New Roman" w:eastAsia="Times New Roman" w:hAnsi="Times New Roman"/>
          <w:sz w:val="18"/>
          <w:szCs w:val="18"/>
          <w:b w:val="1"/>
          <w:bCs w:val="1"/>
          <w:i w:val="1"/>
          <w:iCs w:val="1"/>
          <w:color w:val="auto"/>
        </w:rPr>
        <w:t>Replacement Award</w:t>
      </w:r>
      <w:r>
        <w:rPr>
          <w:rFonts w:ascii="Times New Roman" w:cs="Times New Roman" w:eastAsia="Times New Roman" w:hAnsi="Times New Roman"/>
          <w:sz w:val="18"/>
          <w:szCs w:val="18"/>
          <w:color w:val="auto"/>
        </w:rPr>
        <w:t>” (as defined in the Plan) is provided to the Grantee to continue, replace or assume the RSUs covered by this Agreement.</w:t>
      </w:r>
    </w:p>
    <w:p>
      <w:pPr>
        <w:spacing w:after="0" w:line="3" w:lineRule="exact"/>
        <w:rPr>
          <w:rFonts w:ascii="Times New Roman" w:cs="Times New Roman" w:eastAsia="Times New Roman" w:hAnsi="Times New Roman"/>
          <w:sz w:val="18"/>
          <w:szCs w:val="18"/>
          <w:color w:val="auto"/>
        </w:rPr>
      </w:pPr>
    </w:p>
    <w:p>
      <w:pPr>
        <w:ind w:left="74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p>
    <w:p>
      <w:pPr>
        <w:spacing w:after="0" w:line="1" w:lineRule="exact"/>
        <w:rPr>
          <w:sz w:val="20"/>
          <w:szCs w:val="20"/>
          <w:color w:val="auto"/>
        </w:rPr>
      </w:pPr>
    </w:p>
    <w:p>
      <w:pPr>
        <w:jc w:val="both"/>
        <w:ind w:left="740" w:hanging="327"/>
        <w:spacing w:after="0" w:line="214" w:lineRule="auto"/>
        <w:tabs>
          <w:tab w:leader="none" w:pos="7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Condition</w:t>
      </w:r>
      <w:r>
        <w:rPr>
          <w:rFonts w:ascii="Times New Roman" w:cs="Times New Roman" w:eastAsia="Times New Roman" w:hAnsi="Times New Roman"/>
          <w:sz w:val="18"/>
          <w:szCs w:val="18"/>
          <w:color w:val="auto"/>
        </w:rPr>
        <w:t xml:space="preserve">. Except as otherwise provided in the Plan or elsewhere in this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the RSUs covered by this Agreement shall become nonforfeitable and payable to the Grantee pursuant to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hereof per the applicable schedule in </w:t>
      </w:r>
      <w:r>
        <w:rPr>
          <w:rFonts w:ascii="Times New Roman" w:cs="Times New Roman" w:eastAsia="Times New Roman" w:hAnsi="Times New Roman"/>
          <w:sz w:val="18"/>
          <w:szCs w:val="18"/>
          <w:b w:val="1"/>
          <w:bCs w:val="1"/>
          <w:u w:val="single" w:color="auto"/>
          <w:color w:val="auto"/>
        </w:rPr>
        <w:t>Subsections (4)(a) and (b)</w:t>
      </w:r>
      <w:r>
        <w:rPr>
          <w:rFonts w:ascii="Times New Roman" w:cs="Times New Roman" w:eastAsia="Times New Roman" w:hAnsi="Times New Roman"/>
          <w:sz w:val="18"/>
          <w:szCs w:val="18"/>
          <w:color w:val="auto"/>
        </w:rPr>
        <w:t xml:space="preserve"> above if the Grantee remains in the continuous engagement as a member of the Board until each such date or event (the date on which such RSU (or portion thereof) becomes nonforfeitable, the “</w:t>
      </w:r>
      <w:r>
        <w:rPr>
          <w:rFonts w:ascii="Times New Roman" w:cs="Times New Roman" w:eastAsia="Times New Roman" w:hAnsi="Times New Roman"/>
          <w:sz w:val="18"/>
          <w:szCs w:val="18"/>
          <w:b w:val="1"/>
          <w:bCs w:val="1"/>
          <w:i w:val="1"/>
          <w:iCs w:val="1"/>
          <w:color w:val="auto"/>
        </w:rPr>
        <w:t>Vesting Date</w:t>
      </w:r>
      <w:r>
        <w:rPr>
          <w:rFonts w:ascii="Times New Roman" w:cs="Times New Roman" w:eastAsia="Times New Roman" w:hAnsi="Times New Roman"/>
          <w:sz w:val="18"/>
          <w:szCs w:val="18"/>
          <w:color w:val="auto"/>
        </w:rPr>
        <w:t xml:space="preserve">”). Except as otherwise provided in the Plan or elsewhere in this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and except as otherwise determined by the Committee or the Board in its sole discretion, any RSUs (or portions thereof) that do not so become nonforfeitable will be forfeited, including if the Grantee ceases to continuously serve as a member of the Board prior to the Vesting Date applicable to such portion of the RSUs. For purposes of this Agreement, “continuously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63" w:name="page64"/>
    <w:bookmarkEnd w:id="63"/>
    <w:p>
      <w:pPr>
        <w:ind w:left="732"/>
        <w:spacing w:after="0"/>
        <w:rPr>
          <w:sz w:val="20"/>
          <w:szCs w:val="20"/>
          <w:color w:val="auto"/>
        </w:rPr>
      </w:pPr>
      <w:r>
        <w:rPr>
          <w:rFonts w:ascii="Times New Roman" w:cs="Times New Roman" w:eastAsia="Times New Roman" w:hAnsi="Times New Roman"/>
          <w:sz w:val="18"/>
          <w:szCs w:val="18"/>
          <w:color w:val="auto"/>
        </w:rPr>
        <w:t>serve” (or substantially similar terms) means the absence of any interruption or termination of the Grantee’s service as a member of the Board.</w:t>
      </w:r>
    </w:p>
    <w:p>
      <w:pPr>
        <w:spacing w:after="0" w:line="208" w:lineRule="exact"/>
        <w:rPr>
          <w:sz w:val="20"/>
          <w:szCs w:val="20"/>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and Time of Payment of RSUs.</w:t>
      </w:r>
    </w:p>
    <w:p>
      <w:pPr>
        <w:spacing w:after="0" w:line="6" w:lineRule="exact"/>
        <w:rPr>
          <w:rFonts w:ascii="Times New Roman" w:cs="Times New Roman" w:eastAsia="Times New Roman" w:hAnsi="Times New Roman"/>
          <w:sz w:val="18"/>
          <w:szCs w:val="18"/>
          <w:color w:val="auto"/>
        </w:rPr>
      </w:pPr>
    </w:p>
    <w:p>
      <w:pPr>
        <w:jc w:val="both"/>
        <w:ind w:left="732" w:hanging="327"/>
        <w:spacing w:after="0" w:line="218" w:lineRule="auto"/>
        <w:tabs>
          <w:tab w:leader="none" w:pos="7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for the RSUs, after and to the extent they have become nonforfeitable as of the Vesting Date, shall be made in the form of Common Stock. Except as provided in </w:t>
      </w:r>
      <w:r>
        <w:rPr>
          <w:rFonts w:ascii="Times New Roman" w:cs="Times New Roman" w:eastAsia="Times New Roman" w:hAnsi="Times New Roman"/>
          <w:sz w:val="18"/>
          <w:szCs w:val="18"/>
          <w:b w:val="1"/>
          <w:bCs w:val="1"/>
          <w:u w:val="single" w:color="auto"/>
          <w:color w:val="auto"/>
        </w:rPr>
        <w:t>Section 5(b)</w:t>
      </w:r>
      <w:r>
        <w:rPr>
          <w:rFonts w:ascii="Times New Roman" w:cs="Times New Roman" w:eastAsia="Times New Roman" w:hAnsi="Times New Roman"/>
          <w:sz w:val="18"/>
          <w:szCs w:val="18"/>
          <w:color w:val="auto"/>
        </w:rPr>
        <w:t>, payment shall be made as soon as administratively practicable following (but no later than thirty (30) days following) the Vesting Date applicable to such portion of the RSUs.</w:t>
      </w:r>
    </w:p>
    <w:p>
      <w:pPr>
        <w:spacing w:after="0" w:line="167" w:lineRule="exact"/>
        <w:rPr>
          <w:rFonts w:ascii="Times New Roman" w:cs="Times New Roman" w:eastAsia="Times New Roman" w:hAnsi="Times New Roman"/>
          <w:sz w:val="18"/>
          <w:szCs w:val="18"/>
          <w:color w:val="auto"/>
        </w:rPr>
      </w:pPr>
    </w:p>
    <w:p>
      <w:pPr>
        <w:jc w:val="both"/>
        <w:ind w:left="732" w:hanging="327"/>
        <w:spacing w:after="0" w:line="221" w:lineRule="auto"/>
        <w:tabs>
          <w:tab w:leader="none" w:pos="7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u w:val="single" w:color="auto"/>
          <w:color w:val="auto"/>
        </w:rPr>
        <w:t>Section 5(a)</w:t>
      </w:r>
      <w:r>
        <w:rPr>
          <w:rFonts w:ascii="Times New Roman" w:cs="Times New Roman" w:eastAsia="Times New Roman" w:hAnsi="Times New Roman"/>
          <w:sz w:val="18"/>
          <w:szCs w:val="18"/>
          <w:color w:val="auto"/>
        </w:rPr>
        <w:t xml:space="preserve">, to the extent that the RSUs become vested on the date of a Change in Control in accordance with Section 12 of the Plan, Grantee will receive payment for vested RSUs in shares of Common Stock on the date of the Change in Control; provided, however, that if such Change in Control would not qualify as a permissible date of distribution under Section 409A(a)(2)(A) of the Code, and the regulations thereunder, and where Section 409A of the Code applies to such distribution, the Grantee is entitled to receive the corresponding payment on the date that would have otherwise applied pursuant to </w:t>
      </w:r>
      <w:r>
        <w:rPr>
          <w:rFonts w:ascii="Times New Roman" w:cs="Times New Roman" w:eastAsia="Times New Roman" w:hAnsi="Times New Roman"/>
          <w:sz w:val="18"/>
          <w:szCs w:val="18"/>
          <w:b w:val="1"/>
          <w:bCs w:val="1"/>
          <w:u w:val="single" w:color="auto"/>
          <w:color w:val="auto"/>
        </w:rPr>
        <w:t>Section 5(a)</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32" w:hanging="327"/>
        <w:spacing w:after="0" w:line="250" w:lineRule="auto"/>
        <w:tabs>
          <w:tab w:leader="none" w:pos="7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provided by Section 409A of the Code and permitted by the Committee, no shares of Common Stock may be issued to the Grantee at a time earlier than otherwise expressly provided in this Agreement.</w:t>
      </w:r>
    </w:p>
    <w:p>
      <w:pPr>
        <w:spacing w:after="0" w:line="145" w:lineRule="exact"/>
        <w:rPr>
          <w:rFonts w:ascii="Times New Roman" w:cs="Times New Roman" w:eastAsia="Times New Roman" w:hAnsi="Times New Roman"/>
          <w:sz w:val="18"/>
          <w:szCs w:val="18"/>
          <w:color w:val="auto"/>
        </w:rPr>
      </w:pPr>
    </w:p>
    <w:p>
      <w:pPr>
        <w:ind w:left="732" w:right="20" w:hanging="327"/>
        <w:spacing w:after="0" w:line="239" w:lineRule="auto"/>
        <w:tabs>
          <w:tab w:leader="none" w:pos="7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obligations to the Grantee with respect to the RSUs that become vested in accordance with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will be satisfied in full upon the issuance of Common Stock corresponding to such RSUs.</w:t>
      </w:r>
    </w:p>
    <w:p>
      <w:pPr>
        <w:spacing w:after="0" w:line="16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Equivalents; Voting and Other Rights.</w:t>
      </w:r>
    </w:p>
    <w:p>
      <w:pPr>
        <w:ind w:left="732" w:hanging="327"/>
        <w:spacing w:after="0" w:line="226" w:lineRule="auto"/>
        <w:tabs>
          <w:tab w:leader="none" w:pos="7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above.</w:t>
      </w:r>
    </w:p>
    <w:p>
      <w:pPr>
        <w:spacing w:after="0" w:line="166" w:lineRule="exact"/>
        <w:rPr>
          <w:rFonts w:ascii="Times New Roman" w:cs="Times New Roman" w:eastAsia="Times New Roman" w:hAnsi="Times New Roman"/>
          <w:sz w:val="18"/>
          <w:szCs w:val="18"/>
          <w:color w:val="auto"/>
        </w:rPr>
      </w:pPr>
    </w:p>
    <w:p>
      <w:pPr>
        <w:jc w:val="both"/>
        <w:ind w:left="732" w:hanging="327"/>
        <w:spacing w:after="0" w:line="225" w:lineRule="auto"/>
        <w:tabs>
          <w:tab w:leader="none" w:pos="7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payment of vested RSUs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above, the Grantee shall receive additional shares of Common Stock or cash equal in value to the accrued dividend equivalents (without interest). The amount of dividend equivalents for each vested RSU shall equal the dividends paid on one share of Common Stock for each dividend whose record date occurs during the period between the Date of Grant and the payment of the vested RSUs in accordance with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above.</w:t>
      </w:r>
    </w:p>
    <w:p>
      <w:pPr>
        <w:spacing w:after="0" w:line="159" w:lineRule="exact"/>
        <w:rPr>
          <w:rFonts w:ascii="Times New Roman" w:cs="Times New Roman" w:eastAsia="Times New Roman" w:hAnsi="Times New Roman"/>
          <w:sz w:val="18"/>
          <w:szCs w:val="18"/>
          <w:color w:val="auto"/>
        </w:rPr>
      </w:pPr>
    </w:p>
    <w:p>
      <w:pPr>
        <w:jc w:val="both"/>
        <w:ind w:left="732" w:hanging="327"/>
        <w:spacing w:after="0" w:line="231" w:lineRule="auto"/>
        <w:tabs>
          <w:tab w:leader="none" w:pos="7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54" w:lineRule="exact"/>
        <w:rPr>
          <w:rFonts w:ascii="Times New Roman" w:cs="Times New Roman" w:eastAsia="Times New Roman" w:hAnsi="Times New Roman"/>
          <w:sz w:val="18"/>
          <w:szCs w:val="18"/>
          <w:color w:val="auto"/>
        </w:rPr>
      </w:pPr>
    </w:p>
    <w:p>
      <w:pPr>
        <w:ind w:left="652" w:hanging="652"/>
        <w:spacing w:after="0" w:line="239"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The RSUs and the number of shares of Common Stock issuable for each RSU, and the other terms and conditions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evidenced by this Agreement, are subject to adjustment as provided in Section 11 of the Plan.</w:t>
      </w:r>
    </w:p>
    <w:p>
      <w:pPr>
        <w:spacing w:after="0" w:line="168" w:lineRule="exact"/>
        <w:rPr>
          <w:rFonts w:ascii="Times New Roman" w:cs="Times New Roman" w:eastAsia="Times New Roman" w:hAnsi="Times New Roman"/>
          <w:sz w:val="18"/>
          <w:szCs w:val="18"/>
          <w:color w:val="auto"/>
        </w:rPr>
      </w:pPr>
    </w:p>
    <w:p>
      <w:pPr>
        <w:jc w:val="both"/>
        <w:ind w:left="652" w:hanging="652"/>
        <w:spacing w:after="0" w:line="218"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Obligations</w:t>
      </w:r>
      <w:r>
        <w:rPr>
          <w:rFonts w:ascii="Times New Roman" w:cs="Times New Roman" w:eastAsia="Times New Roman" w:hAnsi="Times New Roman"/>
          <w:sz w:val="18"/>
          <w:szCs w:val="18"/>
          <w:color w:val="auto"/>
        </w:rPr>
        <w:t>. The Grantee acknowledges that the vesting and settlement of RSUs will give rise to tax obligations. The Grantee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responsible for all federal, state, local and foreign taxes resulting from the award, vesting or settlement. The Company may satisfy any tax obligations, at its election, by (a) withholding shares of Common Stock subject to the RSUs, (b) requiring the Grantee to remit cash to the Company, (c) arranging for a sell-to-cover brokerage transaction, or (d) any other method permitted under the Plan. In no event will the market value of the Common Stock to be withheld, sold and/or delivered pursuant to this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to satisfy applicable taxes exceed the maximum amount of taxes or other amounts that could be required to be withheld.</w:t>
      </w:r>
    </w:p>
    <w:p>
      <w:pPr>
        <w:spacing w:after="0" w:line="167" w:lineRule="exact"/>
        <w:rPr>
          <w:rFonts w:ascii="Times New Roman" w:cs="Times New Roman" w:eastAsia="Times New Roman" w:hAnsi="Times New Roman"/>
          <w:sz w:val="18"/>
          <w:szCs w:val="18"/>
          <w:color w:val="auto"/>
        </w:rPr>
      </w:pPr>
    </w:p>
    <w:p>
      <w:pPr>
        <w:jc w:val="both"/>
        <w:ind w:left="652" w:hanging="652"/>
        <w:spacing w:after="0" w:line="227" w:lineRule="auto"/>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 The Company shall make reasonable efforts to comply with all applicable federal and state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55" w:lineRule="exact"/>
        <w:rPr>
          <w:rFonts w:ascii="Times New Roman" w:cs="Times New Roman" w:eastAsia="Times New Roman" w:hAnsi="Times New Roman"/>
          <w:sz w:val="18"/>
          <w:szCs w:val="18"/>
          <w:color w:val="auto"/>
        </w:rPr>
      </w:pPr>
    </w:p>
    <w:p>
      <w:pPr>
        <w:jc w:val="both"/>
        <w:ind w:left="652" w:hanging="652"/>
        <w:spacing w:after="0" w:line="232" w:lineRule="auto"/>
        <w:tabs>
          <w:tab w:leader="none" w:pos="64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or Exemption From Section 409A of the Code</w:t>
      </w:r>
      <w:r>
        <w:rPr>
          <w:rFonts w:ascii="Times New Roman" w:cs="Times New Roman" w:eastAsia="Times New Roman" w:hAnsi="Times New Roman"/>
          <w:sz w:val="18"/>
          <w:szCs w:val="18"/>
          <w:color w:val="auto"/>
        </w:rPr>
        <w:t>. To the extent applicable, it is intended that this Agreement and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or be exempt from the provisions of Section 409A of the Code. This Agreement and the Plan shall be administered in a manner consistent with this intent, and any provision that would cause this Agreement or the Plan to fail to satisfy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404" w:right="339" w:bottom="1440" w:gutter="0" w:footer="0" w:header="0"/>
        </w:sectPr>
      </w:pPr>
    </w:p>
    <w:bookmarkStart w:id="64" w:name="page65"/>
    <w:bookmarkEnd w:id="64"/>
    <w:p>
      <w:pPr>
        <w:ind w:left="652"/>
        <w:spacing w:after="0" w:line="222" w:lineRule="auto"/>
        <w:rPr>
          <w:sz w:val="20"/>
          <w:szCs w:val="20"/>
          <w:color w:val="auto"/>
        </w:rPr>
      </w:pPr>
      <w:r>
        <w:rPr>
          <w:rFonts w:ascii="Times New Roman" w:cs="Times New Roman" w:eastAsia="Times New Roman" w:hAnsi="Times New Roman"/>
          <w:sz w:val="18"/>
          <w:szCs w:val="18"/>
          <w:color w:val="auto"/>
        </w:rPr>
        <w:t>shall have no force or effect until amended to comply with or be exempt from Section 409A of the Code (which amendment may be retroactive to the extent permitted by Section 409A of the Code and may be made by the Company without the consent of the Grantee). Notwithstanding the</w:t>
      </w:r>
    </w:p>
    <w:p>
      <w:pPr>
        <w:spacing w:after="0" w:line="2" w:lineRule="exact"/>
        <w:rPr>
          <w:sz w:val="20"/>
          <w:szCs w:val="20"/>
          <w:color w:val="auto"/>
        </w:rPr>
      </w:pPr>
    </w:p>
    <w:p>
      <w:pPr>
        <w:ind w:left="652"/>
        <w:spacing w:after="0" w:line="226" w:lineRule="auto"/>
        <w:rPr>
          <w:sz w:val="20"/>
          <w:szCs w:val="20"/>
          <w:color w:val="auto"/>
        </w:rPr>
      </w:pPr>
      <w:r>
        <w:rPr>
          <w:rFonts w:ascii="Times New Roman" w:cs="Times New Roman" w:eastAsia="Times New Roman" w:hAnsi="Times New Roman"/>
          <w:sz w:val="18"/>
          <w:szCs w:val="18"/>
          <w:color w:val="auto"/>
        </w:rPr>
        <w:t>foregoing, the Company is not guaranteeing any particular tax outcome, and the Grantee shall remain solely liable for any and all tax consequences associated with the RSUs.</w:t>
      </w:r>
    </w:p>
    <w:p>
      <w:pPr>
        <w:spacing w:after="0" w:line="153" w:lineRule="exact"/>
        <w:rPr>
          <w:sz w:val="20"/>
          <w:szCs w:val="20"/>
          <w:color w:val="auto"/>
        </w:rPr>
      </w:pPr>
    </w:p>
    <w:p>
      <w:pPr>
        <w:ind w:left="652" w:hanging="652"/>
        <w:spacing w:after="0" w:line="255" w:lineRule="auto"/>
        <w:tabs>
          <w:tab w:leader="none" w:pos="6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Any reference in this Agreement to Section 409A of the Code will also include any proposed, temporary or final regulations,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guidance, promulgated with respect to such Section by the U.S. Department of the Treasury or the U.S. Internal Revenue Service.</w:t>
      </w:r>
    </w:p>
    <w:p>
      <w:pPr>
        <w:spacing w:after="0" w:line="140" w:lineRule="exact"/>
        <w:rPr>
          <w:rFonts w:ascii="Times New Roman" w:cs="Times New Roman" w:eastAsia="Times New Roman" w:hAnsi="Times New Roman"/>
          <w:sz w:val="18"/>
          <w:szCs w:val="18"/>
          <w:color w:val="auto"/>
        </w:rPr>
      </w:pPr>
    </w:p>
    <w:p>
      <w:pPr>
        <w:ind w:left="652" w:right="20" w:hanging="652"/>
        <w:spacing w:after="0" w:line="239"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Future Awards</w:t>
      </w:r>
      <w:r>
        <w:rPr>
          <w:rFonts w:ascii="Times New Roman" w:cs="Times New Roman" w:eastAsia="Times New Roman" w:hAnsi="Times New Roman"/>
          <w:sz w:val="18"/>
          <w:szCs w:val="18"/>
          <w:color w:val="auto"/>
        </w:rPr>
        <w:t>. The grant of the RSUs under this Agreement to the Grantee is a voluntary, discretionary award being made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one-time basis and it does not constitute a commitment to make any future awards.</w:t>
      </w:r>
    </w:p>
    <w:p>
      <w:pPr>
        <w:spacing w:after="0" w:line="168" w:lineRule="exact"/>
        <w:rPr>
          <w:rFonts w:ascii="Times New Roman" w:cs="Times New Roman" w:eastAsia="Times New Roman" w:hAnsi="Times New Roman"/>
          <w:sz w:val="18"/>
          <w:szCs w:val="18"/>
          <w:color w:val="auto"/>
        </w:rPr>
      </w:pPr>
    </w:p>
    <w:p>
      <w:pPr>
        <w:jc w:val="both"/>
        <w:ind w:left="652" w:hanging="652"/>
        <w:spacing w:after="0" w:line="225"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Other Benefits</w:t>
      </w:r>
      <w:r>
        <w:rPr>
          <w:rFonts w:ascii="Times New Roman" w:cs="Times New Roman" w:eastAsia="Times New Roman" w:hAnsi="Times New Roman"/>
          <w:sz w:val="18"/>
          <w:szCs w:val="18"/>
          <w:color w:val="auto"/>
        </w:rPr>
        <w:t>. Any economic or other benefit to the Grantee under this Agreement or the Plan shall not be taken into account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the Grantee.</w:t>
      </w:r>
    </w:p>
    <w:p>
      <w:pPr>
        <w:spacing w:after="0" w:line="155" w:lineRule="exact"/>
        <w:rPr>
          <w:rFonts w:ascii="Times New Roman" w:cs="Times New Roman" w:eastAsia="Times New Roman" w:hAnsi="Times New Roman"/>
          <w:sz w:val="18"/>
          <w:szCs w:val="18"/>
          <w:color w:val="auto"/>
        </w:rPr>
      </w:pPr>
    </w:p>
    <w:p>
      <w:pPr>
        <w:jc w:val="both"/>
        <w:ind w:left="652" w:hanging="652"/>
        <w:spacing w:after="0" w:line="225"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Any amendment to the Plan shall be deemed to be an amendment to this Agreement to the extent that the amendment is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no amendment shall materially adversely affect the rights of the Grantee under this Agreement without the Grantee’s written consent, and (b) the Grantee’s consent shall not be required to an amendment that is deemed necessary by the Company to ensure compliance with Section 409A of the Code.</w:t>
      </w:r>
    </w:p>
    <w:p>
      <w:pPr>
        <w:spacing w:after="0" w:line="155" w:lineRule="exact"/>
        <w:rPr>
          <w:rFonts w:ascii="Times New Roman" w:cs="Times New Roman" w:eastAsia="Times New Roman" w:hAnsi="Times New Roman"/>
          <w:sz w:val="18"/>
          <w:szCs w:val="18"/>
          <w:color w:val="auto"/>
        </w:rPr>
      </w:pPr>
    </w:p>
    <w:p>
      <w:pPr>
        <w:jc w:val="both"/>
        <w:ind w:left="652" w:hanging="652"/>
        <w:spacing w:after="0" w:line="232"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any provision so invalidated shall be deemed to be separable from the other provisions hereof, and the remaining provisions hereof shall continue to be valid and fully enforceable.</w:t>
      </w:r>
    </w:p>
    <w:p>
      <w:pPr>
        <w:spacing w:after="0" w:line="155" w:lineRule="exact"/>
        <w:rPr>
          <w:rFonts w:ascii="Times New Roman" w:cs="Times New Roman" w:eastAsia="Times New Roman" w:hAnsi="Times New Roman"/>
          <w:sz w:val="18"/>
          <w:szCs w:val="18"/>
          <w:color w:val="auto"/>
        </w:rPr>
      </w:pPr>
    </w:p>
    <w:p>
      <w:pPr>
        <w:jc w:val="both"/>
        <w:ind w:left="652" w:hanging="652"/>
        <w:spacing w:after="0" w:line="220"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 to Plan and Compensation Recovery Policy</w:t>
      </w:r>
      <w:r>
        <w:rPr>
          <w:rFonts w:ascii="Times New Roman" w:cs="Times New Roman" w:eastAsia="Times New Roman" w:hAnsi="Times New Roman"/>
          <w:sz w:val="18"/>
          <w:szCs w:val="18"/>
          <w:color w:val="auto"/>
        </w:rPr>
        <w:t>. This Agreement is subject to the terms and conditions of the Plan. In the event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Moreover, this Agreement and the RSUs granted hereunder are subject to the Company’s Compensation Recovery Policy, as amended from time to time, to the extent applicable, and to any clawback or recovery required by applicable law or stock exchange listing standards.</w:t>
      </w:r>
    </w:p>
    <w:p>
      <w:pPr>
        <w:spacing w:after="0" w:line="157" w:lineRule="exact"/>
        <w:rPr>
          <w:rFonts w:ascii="Times New Roman" w:cs="Times New Roman" w:eastAsia="Times New Roman" w:hAnsi="Times New Roman"/>
          <w:sz w:val="18"/>
          <w:szCs w:val="18"/>
          <w:color w:val="auto"/>
        </w:rPr>
      </w:pPr>
    </w:p>
    <w:p>
      <w:pPr>
        <w:jc w:val="both"/>
        <w:ind w:left="652" w:hanging="652"/>
        <w:spacing w:after="0" w:line="232"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in its sole discretion, deliver any documents related to the RSUs and the Grantee’s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future awards that may be granted under the Plan, by electronic means or request the Grantee’s consent to participate in the Plan by electronic means. The Grantee hereby consents to receive such documents by electronic delivery and, if requested,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404" w:right="339" w:bottom="1440" w:gutter="0" w:footer="0" w:header="0"/>
        </w:sectPr>
      </w:pPr>
    </w:p>
    <w:bookmarkStart w:id="65" w:name="page66"/>
    <w:bookmarkEnd w:id="65"/>
    <w:p>
      <w:pPr>
        <w:ind w:left="652"/>
        <w:spacing w:after="0" w:line="237" w:lineRule="auto"/>
        <w:rPr>
          <w:sz w:val="20"/>
          <w:szCs w:val="20"/>
          <w:color w:val="auto"/>
        </w:rPr>
      </w:pPr>
      <w:r>
        <w:rPr>
          <w:rFonts w:ascii="Times New Roman" w:cs="Times New Roman" w:eastAsia="Times New Roman" w:hAnsi="Times New Roman"/>
          <w:sz w:val="18"/>
          <w:szCs w:val="18"/>
          <w:color w:val="auto"/>
        </w:rPr>
        <w:t>participate in the Plan through an on-line or electronic system established and maintained by the Company or another third party designated by the Company.</w:t>
      </w:r>
    </w:p>
    <w:p>
      <w:pPr>
        <w:spacing w:after="0" w:line="168" w:lineRule="exact"/>
        <w:rPr>
          <w:sz w:val="20"/>
          <w:szCs w:val="20"/>
          <w:color w:val="auto"/>
        </w:rPr>
      </w:pPr>
    </w:p>
    <w:p>
      <w:pPr>
        <w:ind w:left="652" w:hanging="652"/>
        <w:spacing w:after="0" w:line="239"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and construed with the internal substantive laws of the State of Delaware, without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any principle of law that would result in the application of the law of any other jurisdiction.</w:t>
      </w:r>
    </w:p>
    <w:p>
      <w:pPr>
        <w:spacing w:after="0" w:line="154" w:lineRule="exact"/>
        <w:rPr>
          <w:rFonts w:ascii="Times New Roman" w:cs="Times New Roman" w:eastAsia="Times New Roman" w:hAnsi="Times New Roman"/>
          <w:sz w:val="18"/>
          <w:szCs w:val="18"/>
          <w:color w:val="auto"/>
        </w:rPr>
      </w:pPr>
    </w:p>
    <w:p>
      <w:pPr>
        <w:ind w:left="652" w:hanging="652"/>
        <w:spacing w:after="0" w:line="255"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shall inure to the benefit of, and be binding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successors, administrators, heirs, legal representatives and assigns of the Grantee, and the successors and assigns of the Company.</w:t>
      </w:r>
    </w:p>
    <w:p>
      <w:pPr>
        <w:spacing w:after="0" w:line="140" w:lineRule="exact"/>
        <w:rPr>
          <w:rFonts w:ascii="Times New Roman" w:cs="Times New Roman" w:eastAsia="Times New Roman" w:hAnsi="Times New Roman"/>
          <w:sz w:val="18"/>
          <w:szCs w:val="18"/>
          <w:color w:val="auto"/>
        </w:rPr>
      </w:pPr>
    </w:p>
    <w:p>
      <w:pPr>
        <w:jc w:val="both"/>
        <w:ind w:left="652" w:hanging="652"/>
        <w:spacing w:after="0" w:line="232"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The Grantee acknowledges that the Grantee (a) has received a copy of the Plan, (b) has had an opportunity to review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and the Plan, (c) understands the terms and conditions of this Agreement and the Plan and (d) agrees to such terms and conditions.</w:t>
      </w:r>
    </w:p>
    <w:p>
      <w:pPr>
        <w:spacing w:after="0" w:line="155" w:lineRule="exact"/>
        <w:rPr>
          <w:rFonts w:ascii="Times New Roman" w:cs="Times New Roman" w:eastAsia="Times New Roman" w:hAnsi="Times New Roman"/>
          <w:sz w:val="18"/>
          <w:szCs w:val="18"/>
          <w:color w:val="auto"/>
        </w:rPr>
      </w:pPr>
    </w:p>
    <w:p>
      <w:pPr>
        <w:ind w:left="652" w:hanging="652"/>
        <w:spacing w:after="0" w:line="239"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will constitute one and the same agreement.</w:t>
      </w:r>
    </w:p>
    <w:p>
      <w:pPr>
        <w:spacing w:after="0" w:line="1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32"/>
          </w:cols>
          <w:pgMar w:left="328" w:top="1404" w:right="339" w:bottom="1440" w:gutter="0" w:footer="0" w:header="0"/>
        </w:sectPr>
      </w:pPr>
    </w:p>
    <w:bookmarkStart w:id="66" w:name="page67"/>
    <w:bookmarkEnd w:id="66"/>
    <w:p>
      <w:pPr>
        <w:ind w:left="3500"/>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-19050</wp:posOffset>
            </wp:positionV>
            <wp:extent cx="6000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Grantee Acknowledgment and Acceptance</w:t>
      </w:r>
    </w:p>
    <w:p>
      <w:pPr>
        <w:spacing w:after="0" w:line="25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-7620</wp:posOffset>
            </wp:positionV>
            <wp:extent cx="6000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419"/>
          </w:cols>
          <w:pgMar w:left="1040" w:top="1413"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Rahul Patel, certify that:</w:t>
      </w:r>
    </w:p>
    <w:p>
      <w:pPr>
        <w:spacing w:after="0" w:line="252"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right="140" w:firstLine="656"/>
        <w:spacing w:after="0" w:line="268" w:lineRule="auto"/>
        <w:tabs>
          <w:tab w:leader="none" w:pos="8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right="440" w:firstLine="656"/>
        <w:spacing w:after="0" w:line="268" w:lineRule="auto"/>
        <w:tabs>
          <w:tab w:leader="none" w:pos="8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right="380" w:firstLine="656"/>
        <w:spacing w:after="0" w:line="268" w:lineRule="auto"/>
        <w:tabs>
          <w:tab w:leader="none" w:pos="8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right="180" w:firstLine="656"/>
        <w:spacing w:after="0" w:line="268" w:lineRule="auto"/>
        <w:tabs>
          <w:tab w:leader="none" w:pos="8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right="60" w:firstLine="656"/>
        <w:spacing w:after="0" w:line="287" w:lineRule="auto"/>
        <w:tabs>
          <w:tab w:leader="none" w:pos="8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right="280" w:firstLine="656"/>
        <w:spacing w:after="0" w:line="287" w:lineRule="auto"/>
        <w:tabs>
          <w:tab w:leader="none" w:pos="8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5, 2026</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Rahul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3557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Rahul Patel</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Ken Rizvi, certify that:</w:t>
      </w:r>
    </w:p>
    <w:p>
      <w:pPr>
        <w:spacing w:after="0" w:line="252"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right="140" w:firstLine="656"/>
        <w:spacing w:after="0" w:line="268" w:lineRule="auto"/>
        <w:tabs>
          <w:tab w:leader="none" w:pos="8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right="440" w:firstLine="656"/>
        <w:spacing w:after="0" w:line="268" w:lineRule="auto"/>
        <w:tabs>
          <w:tab w:leader="none" w:pos="8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right="380" w:firstLine="656"/>
        <w:spacing w:after="0" w:line="268" w:lineRule="auto"/>
        <w:tabs>
          <w:tab w:leader="none" w:pos="8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right="180" w:firstLine="656"/>
        <w:spacing w:after="0" w:line="268" w:lineRule="auto"/>
        <w:tabs>
          <w:tab w:leader="none" w:pos="8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right="60" w:firstLine="656"/>
        <w:spacing w:after="0" w:line="287" w:lineRule="auto"/>
        <w:tabs>
          <w:tab w:leader="none" w:pos="8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right="280" w:firstLine="656"/>
        <w:spacing w:after="0" w:line="287" w:lineRule="auto"/>
        <w:tabs>
          <w:tab w:leader="none" w:pos="8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February 5, 2026</w:t>
      </w:r>
    </w:p>
    <w:p>
      <w:pPr>
        <w:spacing w:after="0" w:line="52"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/s/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24765</wp:posOffset>
            </wp:positionV>
            <wp:extent cx="29660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Ken Rizvi</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52" w:lineRule="exact"/>
        <w:rPr>
          <w:sz w:val="20"/>
          <w:szCs w:val="20"/>
          <w:color w:val="auto"/>
        </w:rPr>
      </w:pPr>
    </w:p>
    <w:p>
      <w:pPr>
        <w:ind w:right="180" w:firstLine="200"/>
        <w:spacing w:after="0" w:line="262"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December 27, 2025, as filed with the Securities and Exchange Commission on the date hereof (the “Report”), I, Rahul Patel, President and Chief Executive Officer of the Company, certify, to the best of my knowledge and belief, pursuant to 18 U.S.C. § 1350, as adopted pursuant to § 906 of the Sarbanes-Oxley Act of 2002, that:</w:t>
      </w:r>
    </w:p>
    <w:p>
      <w:pPr>
        <w:spacing w:after="0" w:line="203" w:lineRule="exact"/>
        <w:rPr>
          <w:sz w:val="20"/>
          <w:szCs w:val="20"/>
          <w:color w:val="auto"/>
        </w:rPr>
      </w:pPr>
    </w:p>
    <w:p>
      <w:pPr>
        <w:ind w:right="100" w:firstLine="8"/>
        <w:spacing w:after="0" w:line="287" w:lineRule="auto"/>
        <w:tabs>
          <w:tab w:leader="none" w:pos="4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79" w:lineRule="exact"/>
        <w:rPr>
          <w:rFonts w:ascii="Arial" w:cs="Arial" w:eastAsia="Arial" w:hAnsi="Arial"/>
          <w:sz w:val="18"/>
          <w:szCs w:val="18"/>
          <w:color w:val="auto"/>
        </w:rPr>
      </w:pPr>
    </w:p>
    <w:p>
      <w:pPr>
        <w:ind w:right="240" w:firstLine="8"/>
        <w:spacing w:after="0" w:line="287" w:lineRule="auto"/>
        <w:tabs>
          <w:tab w:leader="none" w:pos="4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Rahul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8315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Rahul Patel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2026</w:t>
      </w:r>
    </w:p>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52"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December 27, 2025, as filed with the Securities and Exchange Commission on the date hereof (the “Report”), I, Ken Rizvi, Chief Financial Officer of the Company, certify, to the best of my knowledge and belief, pursuant to 18 U.S.C. § 1350, as adopted pursuant to § 906 of the Sarbanes-Oxley Act of 2002, that:</w:t>
      </w:r>
    </w:p>
    <w:p>
      <w:pPr>
        <w:spacing w:after="0" w:line="203" w:lineRule="exact"/>
        <w:rPr>
          <w:sz w:val="20"/>
          <w:szCs w:val="20"/>
          <w:color w:val="auto"/>
        </w:rPr>
      </w:pPr>
    </w:p>
    <w:p>
      <w:pPr>
        <w:ind w:right="140" w:firstLine="8"/>
        <w:spacing w:after="0" w:line="287" w:lineRule="auto"/>
        <w:tabs>
          <w:tab w:leader="none" w:pos="4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79" w:lineRule="exact"/>
        <w:rPr>
          <w:rFonts w:ascii="Arial" w:cs="Arial" w:eastAsia="Arial" w:hAnsi="Arial"/>
          <w:sz w:val="18"/>
          <w:szCs w:val="18"/>
          <w:color w:val="auto"/>
        </w:rPr>
      </w:pPr>
    </w:p>
    <w:p>
      <w:pPr>
        <w:ind w:right="240" w:firstLine="8"/>
        <w:spacing w:after="0" w:line="287" w:lineRule="auto"/>
        <w:tabs>
          <w:tab w:leader="none" w:pos="4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8315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 Rizvi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2026</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2"/>
    </w:lvl>
  </w:abstractNum>
  <w:abstractNum w:abstractNumId="7">
    <w:nsid w:val="6CEAF087"/>
    <w:multiLevelType w:val="hybridMultilevel"/>
    <w:lvl w:ilvl="0">
      <w:lvlJc w:val="left"/>
      <w:lvlText w:val="(%1)"/>
      <w:numFmt w:val="decimal"/>
      <w:start w:val="3"/>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04"/>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lvl w:ilvl="1">
      <w:lvlJc w:val="left"/>
      <w:lvlText w:val="(%2)"/>
      <w:numFmt w:val="lowerLetter"/>
      <w:start w:val="1"/>
    </w:lvl>
  </w:abstractNum>
  <w:abstractNum w:abstractNumId="12">
    <w:nsid w:val="419AC241"/>
    <w:multiLevelType w:val="hybridMultilevel"/>
    <w:lvl w:ilvl="0">
      <w:lvlJc w:val="left"/>
      <w:lvlText w:val="(%1)"/>
      <w:numFmt w:val="lowerLetter"/>
      <w:start w:val="9"/>
    </w:lvl>
  </w:abstractNum>
  <w:abstractNum w:abstractNumId="13">
    <w:nsid w:val="5577F8E1"/>
    <w:multiLevelType w:val="hybridMultilevel"/>
    <w:lvl w:ilvl="0">
      <w:lvlJc w:val="left"/>
      <w:lvlText w:val="(%1)"/>
      <w:numFmt w:val="lowerLetter"/>
      <w:start w:val="20"/>
    </w:lvl>
  </w:abstractNum>
  <w:abstractNum w:abstractNumId="14">
    <w:nsid w:val="440BADFC"/>
    <w:multiLevelType w:val="hybridMultilevel"/>
    <w:lvl w:ilvl="0">
      <w:lvlJc w:val="left"/>
      <w:lvlText w:val="(%1)"/>
      <w:numFmt w:val="lowerLetter"/>
      <w:start w:val="25"/>
    </w:lvl>
  </w:abstractNum>
  <w:abstractNum w:abstractNumId="15">
    <w:nsid w:val="5072367"/>
    <w:multiLevelType w:val="hybridMultilevel"/>
    <w:lvl w:ilvl="0">
      <w:lvlJc w:val="left"/>
      <w:lvlText w:val="(%1)"/>
      <w:numFmt w:val="lowerLetter"/>
      <w:start w:val="27"/>
    </w:lvl>
  </w:abstractNum>
  <w:abstractNum w:abstractNumId="16">
    <w:nsid w:val="3804823E"/>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17">
    <w:nsid w:val="77465F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
    <w:nsid w:val="7724C67E"/>
    <w:multiLevelType w:val="hybridMultilevel"/>
    <w:lvl w:ilvl="0">
      <w:lvlJc w:val="left"/>
      <w:lvlText w:val="%1"/>
      <w:numFmt w:val="lowerLetter"/>
      <w:start w:val="1"/>
    </w:lvl>
    <w:lvl w:ilvl="1">
      <w:lvlJc w:val="left"/>
      <w:lvlText w:val="(%2)"/>
      <w:numFmt w:val="lowerRoman"/>
      <w:start w:val="1"/>
    </w:lvl>
  </w:abstractNum>
  <w:abstractNum w:abstractNumId="19">
    <w:nsid w:val="5C482A97"/>
    <w:multiLevelType w:val="hybridMultilevel"/>
    <w:lvl w:ilvl="0">
      <w:lvlJc w:val="left"/>
      <w:lvlText w:val="(%1)"/>
      <w:numFmt w:val="lowerLetter"/>
      <w:start w:val="3"/>
    </w:lvl>
    <w:lvl w:ilvl="1">
      <w:lvlJc w:val="left"/>
      <w:lvlText w:val="%2"/>
      <w:numFmt w:val="lowerRoman"/>
      <w:start w:val="1"/>
    </w:lvl>
  </w:abstractNum>
  <w:abstractNum w:abstractNumId="20">
    <w:nsid w:val="2463B9EA"/>
    <w:multiLevelType w:val="hybridMultilevel"/>
    <w:lvl w:ilvl="0">
      <w:lvlJc w:val="left"/>
      <w:lvlText w:val="%1"/>
      <w:numFmt w:val="decimal"/>
      <w:start w:val="1"/>
    </w:lvl>
    <w:lvl w:ilvl="1">
      <w:lvlJc w:val="left"/>
      <w:lvlText w:val="(%2)"/>
      <w:numFmt w:val="lowerLetter"/>
      <w:start w:val="5"/>
    </w:lvl>
  </w:abstractNum>
  <w:abstractNum w:abstractNumId="21">
    <w:nsid w:val="5E884ADC"/>
    <w:multiLevelType w:val="hybridMultilevel"/>
    <w:lvl w:ilvl="0">
      <w:lvlJc w:val="left"/>
      <w:lvlText w:val="%1."/>
      <w:numFmt w:val="decimal"/>
      <w:start w:val="4"/>
    </w:lvl>
    <w:lvl w:ilvl="1">
      <w:lvlJc w:val="left"/>
      <w:lvlText w:val="(%2)"/>
      <w:numFmt w:val="lowerLetter"/>
      <w:start w:val="1"/>
    </w:lvl>
  </w:abstractNum>
  <w:abstractNum w:abstractNumId="22">
    <w:nsid w:val="51EAD36B"/>
    <w:multiLevelType w:val="hybridMultilevel"/>
    <w:lvl w:ilvl="0">
      <w:lvlJc w:val="left"/>
      <w:lvlText w:val="(%1)"/>
      <w:numFmt w:val="lowerLetter"/>
      <w:start w:val="3"/>
    </w:lvl>
  </w:abstractNum>
  <w:abstractNum w:abstractNumId="23">
    <w:nsid w:val="2D51779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5">
    <w:nsid w:val="153EA43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6">
    <w:nsid w:val="3855585C"/>
    <w:multiLevelType w:val="hybridMultilevel"/>
    <w:lvl w:ilvl="0">
      <w:lvlJc w:val="left"/>
      <w:lvlText w:val="%1."/>
      <w:numFmt w:val="decimal"/>
      <w:start w:val="7"/>
    </w:lvl>
    <w:lvl w:ilvl="1">
      <w:lvlJc w:val="left"/>
      <w:lvlText w:val="(%2)"/>
      <w:numFmt w:val="lowerLetter"/>
      <w:start w:val="1"/>
    </w:lvl>
  </w:abstractNum>
  <w:abstractNum w:abstractNumId="27">
    <w:nsid w:val="70A64E2A"/>
    <w:multiLevelType w:val="hybridMultilevel"/>
    <w:lvl w:ilvl="0">
      <w:lvlJc w:val="left"/>
      <w:lvlText w:val="%1"/>
      <w:numFmt w:val="decimal"/>
      <w:start w:val="1"/>
    </w:lvl>
    <w:lvl w:ilvl="1">
      <w:lvlJc w:val="left"/>
      <w:lvlText w:val="(%2)"/>
      <w:numFmt w:val="lowerLetter"/>
      <w:start w:val="1"/>
    </w:lvl>
  </w:abstractNum>
  <w:abstractNum w:abstractNumId="28">
    <w:nsid w:val="6A2342EC"/>
    <w:multiLevelType w:val="hybridMultilevel"/>
    <w:lvl w:ilvl="0">
      <w:lvlJc w:val="left"/>
      <w:lvlText w:val="%1."/>
      <w:numFmt w:val="decimal"/>
      <w:start w:val="9"/>
    </w:lvl>
    <w:lvl w:ilvl="1">
      <w:lvlJc w:val="left"/>
      <w:lvlText w:val="%2"/>
      <w:numFmt w:val="lowerLetter"/>
      <w:start w:val="1"/>
    </w:lvl>
  </w:abstractNum>
  <w:abstractNum w:abstractNumId="29">
    <w:nsid w:val="2A487CB0"/>
    <w:multiLevelType w:val="hybridMultilevel"/>
    <w:lvl w:ilvl="0">
      <w:lvlJc w:val="left"/>
      <w:lvlText w:val="%1"/>
      <w:numFmt w:val="decimal"/>
      <w:start w:val="1"/>
    </w:lvl>
    <w:lvl w:ilvl="1">
      <w:lvlJc w:val="left"/>
      <w:lvlText w:val="(%2)"/>
      <w:numFmt w:val="lowerLetter"/>
      <w:start w:val="1"/>
    </w:lvl>
  </w:abstractNum>
  <w:abstractNum w:abstractNumId="30">
    <w:nsid w:val="1D4ED43B"/>
    <w:multiLevelType w:val="hybridMultilevel"/>
    <w:lvl w:ilvl="0">
      <w:lvlJc w:val="left"/>
      <w:lvlText w:val="%1."/>
      <w:numFmt w:val="decimal"/>
      <w:start w:val="10"/>
    </w:lvl>
    <w:lvl w:ilvl="1">
      <w:lvlJc w:val="left"/>
      <w:lvlText w:val="(%2)"/>
      <w:numFmt w:val="lowerLetter"/>
      <w:start w:val="1"/>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decimal"/>
      <w:start w:val="11"/>
    </w:lvl>
  </w:abstractNum>
  <w:abstractNum w:abstractNumId="33">
    <w:nsid w:val="57E4CCAF"/>
    <w:multiLevelType w:val="hybridMultilevel"/>
    <w:lvl w:ilvl="0">
      <w:lvlJc w:val="left"/>
      <w:lvlText w:val="(%1)"/>
      <w:numFmt w:val="lowerLetter"/>
      <w:start w:val="1"/>
    </w:lvl>
    <w:lvl w:ilvl="1">
      <w:lvlJc w:val="left"/>
      <w:lvlText w:val="(%2)"/>
      <w:numFmt w:val="lowerRoman"/>
      <w:start w:val="1"/>
    </w:lvl>
  </w:abstractNum>
  <w:abstractNum w:abstractNumId="34">
    <w:nsid w:val="7A6D8D3C"/>
    <w:multiLevelType w:val="hybridMultilevel"/>
    <w:lvl w:ilvl="0">
      <w:lvlJc w:val="left"/>
      <w:lvlText w:val="(%1)"/>
      <w:numFmt w:val="lowerLetter"/>
      <w:start w:val="2"/>
    </w:lvl>
    <w:lvl w:ilvl="1">
      <w:lvlJc w:val="left"/>
      <w:lvlText w:val="(%2)"/>
      <w:numFmt w:val="lowerRoman"/>
      <w:start w:val="1"/>
    </w:lvl>
  </w:abstractNum>
  <w:abstractNum w:abstractNumId="35">
    <w:nsid w:val="4B588F54"/>
    <w:multiLevelType w:val="hybridMultilevel"/>
    <w:lvl w:ilvl="0">
      <w:lvlJc w:val="left"/>
      <w:lvlText w:val="%1."/>
      <w:numFmt w:val="decimal"/>
      <w:start w:val="13"/>
    </w:lvl>
  </w:abstractNum>
  <w:abstractNum w:abstractNumId="36">
    <w:nsid w:val="542289EC"/>
    <w:multiLevelType w:val="hybridMultilevel"/>
    <w:lvl w:ilvl="0">
      <w:lvlJc w:val="left"/>
      <w:lvlText w:val="%1"/>
      <w:numFmt w:val="decimal"/>
      <w:start w:val="1"/>
    </w:lvl>
    <w:lvl w:ilvl="1">
      <w:lvlJc w:val="left"/>
      <w:lvlText w:val="(%2)"/>
      <w:numFmt w:val="lowerLetter"/>
      <w:start w:val="1"/>
    </w:lvl>
  </w:abstractNum>
  <w:abstractNum w:abstractNumId="37">
    <w:nsid w:val="6DE91B18"/>
    <w:multiLevelType w:val="hybridMultilevel"/>
    <w:lvl w:ilvl="0">
      <w:lvlJc w:val="left"/>
      <w:lvlText w:val="%1."/>
      <w:numFmt w:val="decimal"/>
      <w:start w:val="16"/>
    </w:lvl>
    <w:lvl w:ilvl="1">
      <w:lvlJc w:val="left"/>
      <w:lvlText w:val="%2"/>
      <w:numFmt w:val="lowerLetter"/>
      <w:start w:val="1"/>
    </w:lvl>
  </w:abstractNum>
  <w:abstractNum w:abstractNumId="38">
    <w:nsid w:val="38437FDB"/>
    <w:multiLevelType w:val="hybridMultilevel"/>
    <w:lvl w:ilvl="0">
      <w:lvlJc w:val="left"/>
      <w:lvlText w:val="%1."/>
      <w:numFmt w:val="decimal"/>
      <w:start w:val="17"/>
    </w:lvl>
    <w:lvl w:ilvl="1">
      <w:lvlJc w:val="left"/>
      <w:lvlText w:val="(%2)"/>
      <w:numFmt w:val="lowerLetter"/>
      <w:start w:val="1"/>
    </w:lvl>
  </w:abstractNum>
  <w:abstractNum w:abstractNumId="39">
    <w:nsid w:val="7644A45C"/>
    <w:multiLevelType w:val="hybridMultilevel"/>
    <w:lvl w:ilvl="0">
      <w:lvlJc w:val="left"/>
      <w:lvlText w:val="%1."/>
      <w:numFmt w:val="decimal"/>
      <w:start w:val="18"/>
    </w:lvl>
    <w:lvl w:ilvl="1">
      <w:lvlJc w:val="left"/>
      <w:lvlText w:val="(%2)"/>
      <w:numFmt w:val="lowerLetter"/>
      <w:start w:val="1"/>
    </w:lvl>
  </w:abstractNum>
  <w:abstractNum w:abstractNumId="40">
    <w:nsid w:val="32FFF902"/>
    <w:multiLevelType w:val="hybridMultilevel"/>
    <w:lvl w:ilvl="0">
      <w:lvlJc w:val="left"/>
      <w:lvlText w:val="%1"/>
      <w:numFmt w:val="decimal"/>
      <w:start w:val="1"/>
    </w:lvl>
    <w:lvl w:ilvl="1">
      <w:lvlJc w:val="left"/>
      <w:lvlText w:val="(%2)"/>
      <w:numFmt w:val="lowerLetter"/>
      <w:start w:val="4"/>
    </w:lvl>
  </w:abstractNum>
  <w:abstractNum w:abstractNumId="41">
    <w:nsid w:val="684A481A"/>
    <w:multiLevelType w:val="hybridMultilevel"/>
    <w:lvl w:ilvl="0">
      <w:lvlJc w:val="left"/>
      <w:lvlText w:val="%1."/>
      <w:numFmt w:val="decimal"/>
      <w:start w:val="19"/>
    </w:lvl>
    <w:lvl w:ilvl="1">
      <w:lvlJc w:val="left"/>
      <w:lvlText w:val="(%2)"/>
      <w:numFmt w:val="lowerLetter"/>
      <w:start w:val="35"/>
    </w:lvl>
  </w:abstractNum>
  <w:abstractNum w:abstractNumId="42">
    <w:nsid w:val="579478FE"/>
    <w:multiLevelType w:val="hybridMultilevel"/>
    <w:lvl w:ilvl="0">
      <w:lvlJc w:val="left"/>
      <w:lvlText w:val="%1"/>
      <w:numFmt w:val="decimal"/>
      <w:start w:val="1"/>
    </w:lvl>
    <w:lvl w:ilvl="1">
      <w:lvlJc w:val="left"/>
      <w:lvlText w:val="(%2)"/>
      <w:numFmt w:val="lowerLetter"/>
      <w:start w:val="1"/>
    </w:lvl>
  </w:abstractNum>
  <w:abstractNum w:abstractNumId="43">
    <w:nsid w:val="749ABB43"/>
    <w:multiLevelType w:val="hybridMultilevel"/>
    <w:lvl w:ilvl="0">
      <w:lvlJc w:val="left"/>
      <w:lvlText w:val="(%1)"/>
      <w:numFmt w:val="lowerLetter"/>
      <w:start w:val="4"/>
    </w:lvl>
  </w:abstractNum>
  <w:abstractNum w:abstractNumId="44">
    <w:nsid w:val="3DC240FB"/>
    <w:multiLevelType w:val="hybridMultilevel"/>
    <w:lvl w:ilvl="0">
      <w:lvlJc w:val="left"/>
      <w:lvlText w:val="%1"/>
      <w:numFmt w:val="decimal"/>
      <w:start w:val="1"/>
    </w:lvl>
    <w:lvl w:ilvl="1">
      <w:lvlJc w:val="left"/>
      <w:lvlText w:val="(%2)"/>
      <w:numFmt w:val="lowerLetter"/>
      <w:start w:val="9"/>
    </w:lvl>
  </w:abstractNum>
  <w:abstractNum w:abstractNumId="45">
    <w:nsid w:val="1BA026FA"/>
    <w:multiLevelType w:val="hybridMultilevel"/>
    <w:lvl w:ilvl="0">
      <w:lvlJc w:val="left"/>
      <w:lvlText w:val="%1."/>
      <w:numFmt w:val="decimal"/>
      <w:start w:val="22"/>
    </w:lvl>
    <w:lvl w:ilvl="1">
      <w:lvlJc w:val="left"/>
      <w:lvlText w:val="%2"/>
      <w:numFmt w:val="lowerLetter"/>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8">
    <w:nsid w:val="12E685FB"/>
    <w:multiLevelType w:val="hybridMultilevel"/>
    <w:lvl w:ilvl="0">
      <w:lvlJc w:val="left"/>
      <w:lvlText w:val="(%1)"/>
      <w:numFmt w:val="lowerLetter"/>
      <w:start w:val="4"/>
    </w:lvl>
  </w:abstractNum>
  <w:abstractNum w:abstractNumId="49">
    <w:nsid w:val="70C6A529"/>
    <w:multiLevelType w:val="hybridMultilevel"/>
    <w:lvl w:ilvl="0">
      <w:lvlJc w:val="left"/>
      <w:lvlText w:val="%1."/>
      <w:numFmt w:val="decimal"/>
      <w:start w:val="5"/>
    </w:lvl>
    <w:lvl w:ilvl="1">
      <w:lvlJc w:val="left"/>
      <w:lvlText w:val="(%2)"/>
      <w:numFmt w:val="lowerLetter"/>
      <w:start w:val="1"/>
    </w:lvl>
  </w:abstractNum>
  <w:abstractNum w:abstractNumId="50">
    <w:nsid w:val="520EEDD1"/>
    <w:multiLevelType w:val="hybridMultilevel"/>
    <w:lvl w:ilvl="0">
      <w:lvlJc w:val="left"/>
      <w:lvlText w:val="%1."/>
      <w:numFmt w:val="decimal"/>
      <w:start w:val="11"/>
    </w:lvl>
  </w:abstractNum>
  <w:abstractNum w:abstractNumId="51">
    <w:nsid w:val="374A3FE6"/>
    <w:multiLevelType w:val="hybridMultilevel"/>
    <w:lvl w:ilvl="0">
      <w:lvlJc w:val="left"/>
      <w:lvlText w:val="%1."/>
      <w:numFmt w:val="decimal"/>
      <w:start w:val="18"/>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31" Type="http://schemas.openxmlformats.org/officeDocument/2006/relationships/image" Target="media/image122.jpeg"/><Relationship Id="rId132" Type="http://schemas.openxmlformats.org/officeDocument/2006/relationships/image" Target="media/image123.png"/><Relationship Id="rId133" Type="http://schemas.openxmlformats.org/officeDocument/2006/relationships/image" Target="media/image124.jpe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29" Type="http://schemas.openxmlformats.org/officeDocument/2006/relationships/hyperlink" Target="https://www.sec.gov/Archives/edgar/data/817720/000119312523264071/d511153dex31.htm" TargetMode="External"/><Relationship Id="rId130" Type="http://schemas.openxmlformats.org/officeDocument/2006/relationships/hyperlink" Target="https://www.sec.gov/Archives/edgar/data/817720/000081772025000062/syna-fourth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2026-02-05T15:45:24Z</dcterms:created>
  <dcterms:modified xsi:type="dcterms:W3CDTF">2026-02-05T15:45:24Z</dcterms:modified>
</cp:coreProperties>
</file>