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9" w:lineRule="exact"/>
        <w:rPr>
          <w:sz w:val="24"/>
          <w:szCs w:val="24"/>
          <w:color w:val="auto"/>
        </w:rPr>
      </w:pPr>
    </w:p>
    <w:p>
      <w:pPr>
        <w:ind w:left="520" w:right="120" w:hanging="499"/>
        <w:spacing w:after="0" w:line="235"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For the quarterly period ended March 26, 2022</w:t>
      </w:r>
    </w:p>
    <w:p>
      <w:pPr>
        <w:spacing w:after="0" w:line="81" w:lineRule="exact"/>
        <w:rPr>
          <w:sz w:val="24"/>
          <w:szCs w:val="24"/>
          <w:color w:val="auto"/>
        </w:rPr>
      </w:pPr>
    </w:p>
    <w:p>
      <w:pPr>
        <w:ind w:left="520" w:right="120" w:hanging="499"/>
        <w:spacing w:after="0" w:line="235"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760"/>
        <w:spacing w:after="0"/>
        <w:tabs>
          <w:tab w:leader="none" w:pos="670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SYNAPTICS INCORPORATED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8"/>
                <w:szCs w:val="18"/>
                <w:b w:val="1"/>
                <w:bCs w:val="1"/>
                <w:color w:val="auto"/>
                <w:w w:val="91"/>
              </w:rPr>
              <w:t>Delaware</w:t>
            </w: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80" w:type="dxa"/>
            <w:vAlign w:val="bottom"/>
          </w:tcPr>
          <w:p>
            <w:pPr>
              <w:jc w:val="center"/>
              <w:ind w:right="1277"/>
              <w:spacing w:after="0"/>
              <w:rPr>
                <w:sz w:val="20"/>
                <w:szCs w:val="20"/>
                <w:color w:val="auto"/>
              </w:rPr>
            </w:pPr>
            <w:r>
              <w:rPr>
                <w:rFonts w:ascii="Arial" w:cs="Arial" w:eastAsia="Arial" w:hAnsi="Arial"/>
                <w:sz w:val="18"/>
                <w:szCs w:val="18"/>
                <w:b w:val="1"/>
                <w:bCs w:val="1"/>
                <w:color w:val="auto"/>
                <w:w w:val="89"/>
              </w:rPr>
              <w:t>77-0118518</w:t>
            </w:r>
          </w:p>
        </w:tc>
      </w:tr>
      <w:tr>
        <w:trPr>
          <w:trHeight w:val="148"/>
        </w:trPr>
        <w:tc>
          <w:tcPr>
            <w:tcW w:w="1400" w:type="dxa"/>
            <w:vAlign w:val="bottom"/>
          </w:tcPr>
          <w:p>
            <w:pPr>
              <w:spacing w:after="0"/>
              <w:rPr>
                <w:sz w:val="12"/>
                <w:szCs w:val="12"/>
                <w:color w:val="auto"/>
              </w:rPr>
            </w:pPr>
          </w:p>
        </w:tc>
        <w:tc>
          <w:tcPr>
            <w:tcW w:w="2440" w:type="dxa"/>
            <w:vAlign w:val="bottom"/>
            <w:gridSpan w:val="2"/>
          </w:tcPr>
          <w:p>
            <w:pPr>
              <w:jc w:val="center"/>
              <w:ind w:left="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80" w:type="dxa"/>
            <w:vAlign w:val="bottom"/>
          </w:tcPr>
          <w:p>
            <w:pPr>
              <w:jc w:val="center"/>
              <w:ind w:right="125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400" w:type="dxa"/>
            <w:vAlign w:val="bottom"/>
          </w:tcPr>
          <w:p>
            <w:pPr>
              <w:spacing w:after="0"/>
              <w:rPr>
                <w:sz w:val="16"/>
                <w:szCs w:val="16"/>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4"/>
              </w:rPr>
              <w:t>incorporation or organization)</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tcPr>
          <w:p>
            <w:pPr>
              <w:jc w:val="center"/>
              <w:ind w:right="1277"/>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4"/>
              </w:rPr>
              <w:t>1109 McKay Drive</w:t>
            </w:r>
          </w:p>
        </w:tc>
        <w:tc>
          <w:tcPr>
            <w:tcW w:w="3180" w:type="dxa"/>
            <w:vAlign w:val="bottom"/>
          </w:tcPr>
          <w:p>
            <w:pPr>
              <w:spacing w:after="0"/>
              <w:rPr>
                <w:sz w:val="24"/>
                <w:szCs w:val="24"/>
                <w:color w:val="auto"/>
              </w:rPr>
            </w:pPr>
          </w:p>
        </w:tc>
      </w:tr>
      <w:tr>
        <w:trPr>
          <w:trHeight w:val="198"/>
        </w:trPr>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80" w:type="dxa"/>
            <w:vAlign w:val="bottom"/>
            <w:gridSpan w:val="4"/>
          </w:tcPr>
          <w:p>
            <w:pPr>
              <w:jc w:val="center"/>
              <w:ind w:right="880"/>
              <w:spacing w:after="0" w:line="198" w:lineRule="exact"/>
              <w:rPr>
                <w:sz w:val="20"/>
                <w:szCs w:val="20"/>
                <w:color w:val="auto"/>
              </w:rPr>
            </w:pPr>
            <w:r>
              <w:rPr>
                <w:rFonts w:ascii="Arial" w:cs="Arial" w:eastAsia="Arial" w:hAnsi="Arial"/>
                <w:sz w:val="18"/>
                <w:szCs w:val="18"/>
                <w:b w:val="1"/>
                <w:bCs w:val="1"/>
                <w:color w:val="auto"/>
                <w:w w:val="89"/>
              </w:rPr>
              <w:t>San Jose, California 95131</w:t>
            </w:r>
          </w:p>
        </w:tc>
        <w:tc>
          <w:tcPr>
            <w:tcW w:w="3180" w:type="dxa"/>
            <w:vAlign w:val="bottom"/>
          </w:tcPr>
          <w:p>
            <w:pPr>
              <w:spacing w:after="0"/>
              <w:rPr>
                <w:sz w:val="17"/>
                <w:szCs w:val="17"/>
                <w:color w:val="auto"/>
              </w:rPr>
            </w:pPr>
          </w:p>
        </w:tc>
      </w:tr>
      <w:tr>
        <w:trPr>
          <w:trHeight w:val="186"/>
        </w:trPr>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3180" w:type="dxa"/>
            <w:vAlign w:val="bottom"/>
          </w:tcPr>
          <w:p>
            <w:pPr>
              <w:spacing w:after="0"/>
              <w:rPr>
                <w:sz w:val="16"/>
                <w:szCs w:val="16"/>
                <w:color w:val="auto"/>
              </w:rPr>
            </w:pPr>
          </w:p>
        </w:tc>
      </w:tr>
      <w:tr>
        <w:trPr>
          <w:trHeight w:val="259"/>
        </w:trPr>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20" w:type="dxa"/>
            <w:vAlign w:val="bottom"/>
            <w:gridSpan w:val="3"/>
          </w:tcPr>
          <w:p>
            <w:pPr>
              <w:jc w:val="center"/>
              <w:ind w:left="1122"/>
              <w:spacing w:after="0"/>
              <w:rPr>
                <w:sz w:val="20"/>
                <w:szCs w:val="20"/>
                <w:color w:val="auto"/>
              </w:rPr>
            </w:pPr>
            <w:r>
              <w:rPr>
                <w:rFonts w:ascii="Arial" w:cs="Arial" w:eastAsia="Arial" w:hAnsi="Arial"/>
                <w:sz w:val="18"/>
                <w:szCs w:val="18"/>
                <w:b w:val="1"/>
                <w:bCs w:val="1"/>
                <w:color w:val="auto"/>
                <w:w w:val="90"/>
              </w:rPr>
              <w:t>(408) 904-1100</w:t>
            </w:r>
          </w:p>
        </w:tc>
        <w:tc>
          <w:tcPr>
            <w:tcW w:w="5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186"/>
        </w:trPr>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80" w:type="dxa"/>
            <w:vAlign w:val="bottom"/>
          </w:tcPr>
          <w:p>
            <w:pPr>
              <w:spacing w:after="0"/>
              <w:rPr>
                <w:sz w:val="16"/>
                <w:szCs w:val="16"/>
                <w:color w:val="auto"/>
              </w:rPr>
            </w:pPr>
          </w:p>
        </w:tc>
      </w:tr>
      <w:tr>
        <w:trPr>
          <w:trHeight w:val="228"/>
        </w:trPr>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20" w:type="dxa"/>
            <w:vAlign w:val="bottom"/>
            <w:gridSpan w:val="2"/>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304"/>
        </w:trPr>
        <w:tc>
          <w:tcPr>
            <w:tcW w:w="758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80" w:type="dxa"/>
            <w:vAlign w:val="bottom"/>
          </w:tcPr>
          <w:p>
            <w:pPr>
              <w:spacing w:after="0"/>
              <w:rPr>
                <w:sz w:val="24"/>
                <w:szCs w:val="24"/>
                <w:color w:val="auto"/>
              </w:rPr>
            </w:pPr>
          </w:p>
        </w:tc>
      </w:tr>
      <w:tr>
        <w:trPr>
          <w:trHeight w:val="283"/>
        </w:trPr>
        <w:tc>
          <w:tcPr>
            <w:tcW w:w="1400" w:type="dxa"/>
            <w:vAlign w:val="bottom"/>
          </w:tcPr>
          <w:p>
            <w:pPr>
              <w:spacing w:after="0"/>
              <w:rPr>
                <w:sz w:val="24"/>
                <w:szCs w:val="24"/>
                <w:color w:val="auto"/>
              </w:rPr>
            </w:pPr>
          </w:p>
        </w:tc>
        <w:tc>
          <w:tcPr>
            <w:tcW w:w="244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Title of each class</w:t>
            </w:r>
          </w:p>
        </w:tc>
        <w:tc>
          <w:tcPr>
            <w:tcW w:w="660" w:type="dxa"/>
            <w:vAlign w:val="bottom"/>
          </w:tcPr>
          <w:p>
            <w:pPr>
              <w:spacing w:after="0"/>
              <w:rPr>
                <w:sz w:val="24"/>
                <w:szCs w:val="24"/>
                <w:color w:val="auto"/>
              </w:rPr>
            </w:pPr>
          </w:p>
        </w:tc>
        <w:tc>
          <w:tcPr>
            <w:tcW w:w="308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Trading Symbol</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4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Common Stock, par value $.001 per share</w:t>
            </w: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80" w:type="dxa"/>
            <w:vAlign w:val="bottom"/>
            <w:gridSpan w:val="3"/>
          </w:tcPr>
          <w:p>
            <w:pPr>
              <w:jc w:val="center"/>
              <w:ind w:right="1420"/>
              <w:spacing w:after="0"/>
              <w:rPr>
                <w:sz w:val="20"/>
                <w:szCs w:val="20"/>
                <w:color w:val="auto"/>
              </w:rPr>
            </w:pPr>
            <w:r>
              <w:rPr>
                <w:rFonts w:ascii="Arial" w:cs="Arial" w:eastAsia="Arial" w:hAnsi="Arial"/>
                <w:sz w:val="18"/>
                <w:szCs w:val="18"/>
                <w:color w:val="auto"/>
                <w:w w:val="97"/>
              </w:rPr>
              <w:t>SYNA</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121" w:lineRule="exact"/>
        <w:rPr>
          <w:sz w:val="24"/>
          <w:szCs w:val="24"/>
          <w:color w:val="auto"/>
        </w:rPr>
      </w:pPr>
    </w:p>
    <w:p>
      <w:pPr>
        <w:ind w:right="20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20"/>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2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2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at April 28, 2022: 39,607,181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2" w:right="4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SYNAPTICS INCORPORATED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jc w:val="center"/>
        <w:ind w:right="40"/>
        <w:spacing w:after="0"/>
        <w:rPr>
          <w:sz w:val="20"/>
          <w:szCs w:val="20"/>
          <w:color w:val="auto"/>
        </w:rPr>
      </w:pPr>
      <w:r>
        <w:rPr>
          <w:rFonts w:ascii="Arial" w:cs="Arial" w:eastAsia="Arial" w:hAnsi="Arial"/>
          <w:sz w:val="18"/>
          <w:szCs w:val="18"/>
          <w:b w:val="1"/>
          <w:bCs w:val="1"/>
          <w:color w:val="auto"/>
        </w:rPr>
        <w:t>FOR THE QUARTER ENDED March 26, 2022</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820" w:type="dxa"/>
            <w:vAlign w:val="bottom"/>
            <w:gridSpan w:val="16"/>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Financial Information</w:t>
              </w:r>
            </w:hyperlink>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20" w:type="dxa"/>
            <w:vAlign w:val="bottom"/>
            <w:vMerge w:val="continue"/>
          </w:tcPr>
          <w:p>
            <w:pPr>
              <w:spacing w:after="0"/>
              <w:rPr>
                <w:sz w:val="24"/>
                <w:szCs w:val="24"/>
                <w:color w:val="auto"/>
              </w:rPr>
            </w:pPr>
          </w:p>
        </w:tc>
        <w:tc>
          <w:tcPr>
            <w:tcW w:w="10820" w:type="dxa"/>
            <w:vAlign w:val="bottom"/>
            <w:gridSpan w:val="16"/>
            <w:vMerge w:val="continue"/>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1.</w:t>
            </w:r>
          </w:p>
        </w:tc>
        <w:tc>
          <w:tcPr>
            <w:tcW w:w="966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Financial Statements (Unaudited):</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Sheets—March 26, 2022 and June 26, 2021</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Income—Three and nine months ended March 26, 2022 and March 27, 2021</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Stockholders’ Equity—Three and nine months ended March 26, 2022 and March 27, 2021</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Flows—Nine months ended March 26, 2022 and March 27, 2021</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60" w:type="dxa"/>
            <w:vAlign w:val="bottom"/>
            <w:gridSpan w:val="1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2.</w:t>
            </w:r>
          </w:p>
        </w:tc>
        <w:tc>
          <w:tcPr>
            <w:tcW w:w="9660" w:type="dxa"/>
            <w:vAlign w:val="bottom"/>
            <w:gridSpan w:val="1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3.</w:t>
            </w:r>
          </w:p>
        </w:tc>
        <w:tc>
          <w:tcPr>
            <w:tcW w:w="9660" w:type="dxa"/>
            <w:vAlign w:val="bottom"/>
            <w:gridSpan w:val="1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5340" w:type="dxa"/>
            <w:vAlign w:val="bottom"/>
            <w:tcBorders>
              <w:left w:val="single" w:sz="8" w:color="0000FF"/>
            </w:tcBorders>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4.</w:t>
            </w:r>
          </w:p>
        </w:tc>
        <w:tc>
          <w:tcPr>
            <w:tcW w:w="9660" w:type="dxa"/>
            <w:vAlign w:val="bottom"/>
            <w:gridSpan w:val="1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82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 Other Information</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1.</w:t>
            </w:r>
          </w:p>
        </w:tc>
        <w:tc>
          <w:tcPr>
            <w:tcW w:w="9660" w:type="dxa"/>
            <w:vAlign w:val="bottom"/>
            <w:gridSpan w:val="1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Item 1A.</w:t>
            </w:r>
          </w:p>
        </w:tc>
        <w:tc>
          <w:tcPr>
            <w:tcW w:w="9660" w:type="dxa"/>
            <w:vAlign w:val="bottom"/>
            <w:gridSpan w:val="1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2.</w:t>
            </w:r>
          </w:p>
        </w:tc>
        <w:tc>
          <w:tcPr>
            <w:tcW w:w="9660" w:type="dxa"/>
            <w:vAlign w:val="bottom"/>
            <w:gridSpan w:val="1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740" w:type="dxa"/>
            <w:vAlign w:val="bottom"/>
            <w:gridSpan w:val="7"/>
            <w:shd w:val="clear" w:color="auto" w:fill="0000FF"/>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Item 6.</w:t>
            </w:r>
          </w:p>
        </w:tc>
        <w:tc>
          <w:tcPr>
            <w:tcW w:w="9660" w:type="dxa"/>
            <w:vAlign w:val="bottom"/>
            <w:gridSpan w:val="1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601"/>
        </w:trPr>
        <w:tc>
          <w:tcPr>
            <w:tcW w:w="1180" w:type="dxa"/>
            <w:vAlign w:val="bottom"/>
            <w:gridSpan w:val="3"/>
          </w:tcPr>
          <w:p>
            <w:pPr>
              <w:jc w:val="right"/>
              <w:ind w:right="400"/>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Signatures</w:t>
              </w:r>
            </w:hyperlink>
          </w:p>
        </w:tc>
        <w:tc>
          <w:tcPr>
            <w:tcW w:w="5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48"/>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4020"/>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line="234" w:lineRule="auto"/>
        <w:rPr>
          <w:sz w:val="20"/>
          <w:szCs w:val="20"/>
          <w:color w:val="auto"/>
        </w:rPr>
      </w:pPr>
      <w:r>
        <w:rPr>
          <w:rFonts w:ascii="Arial" w:cs="Arial" w:eastAsia="Arial" w:hAnsi="Arial"/>
          <w:sz w:val="18"/>
          <w:szCs w:val="18"/>
          <w:color w:val="auto"/>
        </w:rPr>
        <w:t>(in millions, except par value and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March</w:t>
            </w:r>
          </w:p>
        </w:tc>
        <w:tc>
          <w:tcPr>
            <w:tcW w:w="340" w:type="dxa"/>
            <w:vAlign w:val="bottom"/>
          </w:tcPr>
          <w:p>
            <w:pPr>
              <w:spacing w:after="0"/>
              <w:rPr>
                <w:sz w:val="17"/>
                <w:szCs w:val="17"/>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w:t>
            </w:r>
          </w:p>
        </w:tc>
        <w:tc>
          <w:tcPr>
            <w:tcW w:w="0" w:type="dxa"/>
            <w:vAlign w:val="bottom"/>
          </w:tcPr>
          <w:p>
            <w:pPr>
              <w:spacing w:after="0"/>
              <w:rPr>
                <w:sz w:val="1"/>
                <w:szCs w:val="1"/>
                <w:color w:val="auto"/>
              </w:rPr>
            </w:pPr>
          </w:p>
        </w:tc>
      </w:tr>
      <w:tr>
        <w:trPr>
          <w:trHeight w:val="221"/>
        </w:trPr>
        <w:tc>
          <w:tcPr>
            <w:tcW w:w="7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FF0FC"/>
          </w:tcPr>
          <w:p>
            <w:pPr>
              <w:ind w:left="3500"/>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690.3</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6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rPr>
              <w:t>Accounts receivable, net of allowances of $6.0 and $5.8 at March 2022</w:t>
            </w:r>
          </w:p>
        </w:tc>
        <w:tc>
          <w:tcPr>
            <w:tcW w:w="30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June 2021, respectively</w:t>
            </w:r>
          </w:p>
        </w:tc>
        <w:tc>
          <w:tcPr>
            <w:tcW w:w="30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145.9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1,247.2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1,179.7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Property and equipment at cost, net of accumulated depreciation of</w:t>
            </w:r>
          </w:p>
        </w:tc>
        <w:tc>
          <w:tcPr>
            <w:tcW w:w="30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$125.9 and $131.0 at March 2022 and June 2021, respectively</w:t>
            </w:r>
          </w:p>
        </w:tc>
        <w:tc>
          <w:tcPr>
            <w:tcW w:w="30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814.5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570.0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Acquired intangibles, net</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Non-current other assets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2,698.0</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2,226.8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860" w:type="dxa"/>
            <w:vAlign w:val="bottom"/>
          </w:tcPr>
          <w:p>
            <w:pPr>
              <w:ind w:left="188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135.6</w:t>
            </w:r>
          </w:p>
        </w:tc>
        <w:tc>
          <w:tcPr>
            <w:tcW w:w="24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accrued liabilities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139.3</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Convertible notes, net</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393.0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982.6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394.4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1,540.3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1,259.6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6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rPr>
              <w:t>$0.001 par value; 120,000,000 shares authorized, 67,722,867 and 66,963,006 shares</w:t>
            </w:r>
          </w:p>
        </w:tc>
        <w:tc>
          <w:tcPr>
            <w:tcW w:w="3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6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rPr>
              <w:t>issued, and 39,598,246 and 35,331,903 shares outstanding, at March 2022</w:t>
            </w:r>
          </w:p>
        </w:tc>
        <w:tc>
          <w:tcPr>
            <w:tcW w:w="300" w:type="dxa"/>
            <w:vAlign w:val="bottom"/>
            <w:shd w:val="clear" w:color="auto" w:fill="CFF0FC"/>
          </w:tcPr>
          <w:p>
            <w:pPr>
              <w:spacing w:after="0"/>
              <w:rPr>
                <w:sz w:val="15"/>
                <w:szCs w:val="15"/>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June 2021, respectively</w:t>
            </w:r>
          </w:p>
        </w:tc>
        <w:tc>
          <w:tcPr>
            <w:tcW w:w="30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897.8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1,391.5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6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rPr>
              <w:t>Treasury stock: 28,124,621 and 31,631,103 common treasury shares at March 2022</w:t>
            </w:r>
          </w:p>
        </w:tc>
        <w:tc>
          <w:tcPr>
            <w:tcW w:w="300" w:type="dxa"/>
            <w:vAlign w:val="bottom"/>
            <w:shd w:val="clear" w:color="auto" w:fill="CFF0FC"/>
          </w:tcPr>
          <w:p>
            <w:pPr>
              <w:spacing w:after="0"/>
              <w:rPr>
                <w:sz w:val="14"/>
                <w:szCs w:val="14"/>
                <w:color w:val="auto"/>
              </w:rPr>
            </w:pPr>
          </w:p>
        </w:tc>
        <w:tc>
          <w:tcPr>
            <w:tcW w:w="14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(694.5 )</w:t>
            </w:r>
          </w:p>
        </w:tc>
        <w:tc>
          <w:tcPr>
            <w:tcW w:w="34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(1,205.4 )</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June 2021, respectively, at cost</w:t>
            </w:r>
          </w:p>
        </w:tc>
        <w:tc>
          <w:tcPr>
            <w:tcW w:w="300" w:type="dxa"/>
            <w:vAlign w:val="bottom"/>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7"/>
                <w:szCs w:val="17"/>
                <w:color w:val="auto"/>
              </w:rPr>
            </w:pPr>
          </w:p>
        </w:tc>
        <w:tc>
          <w:tcPr>
            <w:tcW w:w="1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(1.3 )</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955.6</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781.0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1,157.7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2,698.0</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-3888105</wp:posOffset>
            </wp:positionV>
            <wp:extent cx="603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-3888105</wp:posOffset>
            </wp:positionV>
            <wp:extent cx="514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-2991485</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-2973705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-2991485</wp:posOffset>
            </wp:positionV>
            <wp:extent cx="51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-2973705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-1668145</wp:posOffset>
            </wp:positionV>
            <wp:extent cx="6032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-1668145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-296545</wp:posOffset>
            </wp:positionV>
            <wp:extent cx="6032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ind w:right="40"/>
        <w:spacing w:after="0" w:line="234" w:lineRule="auto"/>
        <w:rPr>
          <w:sz w:val="20"/>
          <w:szCs w:val="20"/>
          <w:color w:val="auto"/>
        </w:rPr>
      </w:pPr>
      <w:r>
        <w:rPr>
          <w:rFonts w:ascii="Arial" w:cs="Arial" w:eastAsia="Arial" w:hAnsi="Arial"/>
          <w:sz w:val="18"/>
          <w:szCs w:val="18"/>
          <w:color w:val="auto"/>
        </w:rPr>
        <w:t>(in millions, except per share data)</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6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r>
      <w:tr>
        <w:trPr>
          <w:trHeight w:val="221"/>
        </w:trPr>
        <w:tc>
          <w:tcPr>
            <w:tcW w:w="48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98"/>
              </w:rPr>
              <w:t>March</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8"/>
              </w:rPr>
              <w:t>March</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48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w:t>
            </w:r>
          </w:p>
        </w:tc>
        <w:tc>
          <w:tcPr>
            <w:tcW w:w="940" w:type="dxa"/>
            <w:vAlign w:val="bottom"/>
            <w:tcBorders>
              <w:top w:val="single" w:sz="8" w:color="auto"/>
            </w:tcBorders>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470.1</w:t>
            </w:r>
          </w:p>
        </w:tc>
        <w:tc>
          <w:tcPr>
            <w:tcW w:w="26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325.8</w:t>
            </w: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1,263.3</w:t>
            </w: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1,011.8</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216.3</w:t>
            </w:r>
          </w:p>
        </w:tc>
        <w:tc>
          <w:tcPr>
            <w:tcW w:w="2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170.3</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586.3</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571.4</w:t>
            </w:r>
          </w:p>
        </w:tc>
        <w:tc>
          <w:tcPr>
            <w:tcW w:w="80" w:type="dxa"/>
            <w:vAlign w:val="bottom"/>
          </w:tcPr>
          <w:p>
            <w:pPr>
              <w:spacing w:after="0"/>
              <w:rPr>
                <w:sz w:val="17"/>
                <w:szCs w:val="17"/>
                <w:color w:val="auto"/>
              </w:rPr>
            </w:pPr>
          </w:p>
        </w:tc>
      </w:tr>
      <w:tr>
        <w:trPr>
          <w:trHeight w:val="196"/>
        </w:trPr>
        <w:tc>
          <w:tcPr>
            <w:tcW w:w="48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margin</w:t>
            </w:r>
          </w:p>
        </w:tc>
        <w:tc>
          <w:tcPr>
            <w:tcW w:w="9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253.8</w:t>
            </w: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155.5</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677.0</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440.4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98.2</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235.7</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9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130.1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111.6</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Acquired intangibles amortization</w:t>
            </w: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costs</w:t>
            </w:r>
          </w:p>
        </w:tc>
        <w:tc>
          <w:tcPr>
            <w:tcW w:w="9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Gain on sale of audio technology assets</w:t>
            </w: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(34.2 )</w:t>
            </w:r>
          </w:p>
        </w:tc>
      </w:tr>
      <w:tr>
        <w:trPr>
          <w:trHeight w:val="211"/>
        </w:trPr>
        <w:tc>
          <w:tcPr>
            <w:tcW w:w="48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165.7</w:t>
            </w:r>
          </w:p>
        </w:tc>
        <w:tc>
          <w:tcPr>
            <w:tcW w:w="26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123.9</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8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-923290</wp:posOffset>
            </wp:positionV>
            <wp:extent cx="596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-923290</wp:posOffset>
            </wp:positionV>
            <wp:extent cx="5969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-923290</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-923290</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-143510</wp:posOffset>
            </wp:positionV>
            <wp:extent cx="5969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-143510</wp:posOffset>
            </wp:positionV>
            <wp:extent cx="5969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-143510</wp:posOffset>
            </wp:positionV>
            <wp:extent cx="514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-143510</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p>
      <w:pPr>
        <w:ind w:left="380"/>
        <w:spacing w:after="0" w:line="234" w:lineRule="auto"/>
        <w:rPr>
          <w:sz w:val="20"/>
          <w:szCs w:val="20"/>
          <w:color w:val="auto"/>
        </w:rPr>
      </w:pPr>
      <w:r>
        <w:rPr>
          <w:rFonts w:ascii="Arial" w:cs="Arial" w:eastAsia="Arial" w:hAnsi="Arial"/>
          <w:sz w:val="18"/>
          <w:szCs w:val="18"/>
          <w:color w:val="auto"/>
        </w:rPr>
        <w:t>Operating income</w:t>
      </w:r>
    </w:p>
    <w:p>
      <w:pPr>
        <w:ind w:left="20"/>
        <w:spacing w:after="0" w:line="235" w:lineRule="auto"/>
        <w:rPr>
          <w:sz w:val="20"/>
          <w:szCs w:val="20"/>
          <w:color w:val="auto"/>
        </w:rPr>
      </w:pPr>
      <w:r>
        <w:rPr>
          <w:rFonts w:ascii="Arial" w:cs="Arial" w:eastAsia="Arial" w:hAnsi="Arial"/>
          <w:sz w:val="18"/>
          <w:szCs w:val="18"/>
          <w:color w:val="auto"/>
        </w:rPr>
        <w:t>Interest and other expense,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 on sale and leaseback transaction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on redemption of convertible notes</w:t>
      </w:r>
    </w:p>
    <w:p>
      <w:pPr>
        <w:ind w:left="380"/>
        <w:spacing w:after="0" w:line="219" w:lineRule="auto"/>
        <w:rPr>
          <w:sz w:val="20"/>
          <w:szCs w:val="20"/>
          <w:color w:val="auto"/>
        </w:rPr>
      </w:pPr>
      <w:r>
        <w:rPr>
          <w:rFonts w:ascii="Arial" w:cs="Arial" w:eastAsia="Arial" w:hAnsi="Arial"/>
          <w:sz w:val="18"/>
          <w:szCs w:val="18"/>
          <w:color w:val="auto"/>
        </w:rPr>
        <w:t>Income before provision for income taxes and equity investment loss</w:t>
      </w:r>
    </w:p>
    <w:p>
      <w:pPr>
        <w:ind w:left="20"/>
        <w:spacing w:after="0"/>
        <w:rPr>
          <w:sz w:val="20"/>
          <w:szCs w:val="20"/>
          <w:color w:val="auto"/>
        </w:rPr>
      </w:pPr>
      <w:r>
        <w:rPr>
          <w:rFonts w:ascii="Arial" w:cs="Arial" w:eastAsia="Arial" w:hAnsi="Arial"/>
          <w:sz w:val="18"/>
          <w:szCs w:val="18"/>
          <w:color w:val="auto"/>
        </w:rPr>
        <w:t>Provision for income taxes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investment gain (loss)</w:t>
      </w:r>
    </w:p>
    <w:p>
      <w:pPr>
        <w:spacing w:after="0" w:line="22" w:lineRule="exact"/>
        <w:rPr>
          <w:sz w:val="20"/>
          <w:szCs w:val="20"/>
          <w:color w:val="auto"/>
        </w:rPr>
      </w:pPr>
    </w:p>
    <w:p>
      <w:pPr>
        <w:jc w:val="center"/>
        <w:ind w:right="2600"/>
        <w:spacing w:after="0"/>
        <w:rPr>
          <w:sz w:val="20"/>
          <w:szCs w:val="20"/>
          <w:color w:val="auto"/>
        </w:rPr>
      </w:pPr>
      <w:r>
        <w:rPr>
          <w:rFonts w:ascii="Arial" w:cs="Arial" w:eastAsia="Arial" w:hAnsi="Arial"/>
          <w:sz w:val="18"/>
          <w:szCs w:val="18"/>
          <w:color w:val="auto"/>
        </w:rPr>
        <w:t>Net income</w:t>
      </w:r>
    </w:p>
    <w:p>
      <w:pPr>
        <w:spacing w:after="0" w:line="12" w:lineRule="exact"/>
        <w:rPr>
          <w:sz w:val="20"/>
          <w:szCs w:val="20"/>
          <w:color w:val="auto"/>
        </w:rPr>
      </w:pPr>
    </w:p>
    <w:p>
      <w:pPr>
        <w:jc w:val="center"/>
        <w:ind w:right="2580"/>
        <w:spacing w:after="0"/>
        <w:rPr>
          <w:sz w:val="20"/>
          <w:szCs w:val="20"/>
          <w:color w:val="auto"/>
        </w:rPr>
      </w:pPr>
      <w:r>
        <w:rPr>
          <w:rFonts w:ascii="Arial" w:cs="Arial" w:eastAsia="Arial" w:hAnsi="Arial"/>
          <w:sz w:val="16"/>
          <w:szCs w:val="16"/>
          <w:color w:val="auto"/>
        </w:rPr>
        <w:t>Net income per share: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Basic</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Diluted</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used in computing net income per share:</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Basic</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600" w:type="dxa"/>
            <w:vAlign w:val="bottom"/>
          </w:tcPr>
          <w:p>
            <w:pPr>
              <w:spacing w:after="0"/>
              <w:rPr>
                <w:sz w:val="16"/>
                <w:szCs w:val="16"/>
                <w:color w:val="auto"/>
              </w:rPr>
            </w:pPr>
          </w:p>
        </w:tc>
        <w:tc>
          <w:tcPr>
            <w:tcW w:w="800" w:type="dxa"/>
            <w:vAlign w:val="bottom"/>
          </w:tcPr>
          <w:p>
            <w:pPr>
              <w:jc w:val="right"/>
              <w:spacing w:after="0" w:line="187" w:lineRule="exact"/>
              <w:rPr>
                <w:sz w:val="20"/>
                <w:szCs w:val="20"/>
                <w:color w:val="auto"/>
              </w:rPr>
            </w:pPr>
            <w:r>
              <w:rPr>
                <w:rFonts w:ascii="Arial" w:cs="Arial" w:eastAsia="Arial" w:hAnsi="Arial"/>
                <w:sz w:val="18"/>
                <w:szCs w:val="18"/>
                <w:color w:val="auto"/>
              </w:rPr>
              <w:t>88.1</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jc w:val="right"/>
              <w:spacing w:after="0" w:line="187" w:lineRule="exact"/>
              <w:rPr>
                <w:sz w:val="20"/>
                <w:szCs w:val="20"/>
                <w:color w:val="auto"/>
              </w:rPr>
            </w:pPr>
            <w:r>
              <w:rPr>
                <w:rFonts w:ascii="Arial" w:cs="Arial" w:eastAsia="Arial" w:hAnsi="Arial"/>
                <w:sz w:val="18"/>
                <w:szCs w:val="18"/>
                <w:color w:val="auto"/>
              </w:rPr>
              <w:t>31.6</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line="187" w:lineRule="exact"/>
              <w:rPr>
                <w:sz w:val="20"/>
                <w:szCs w:val="20"/>
                <w:color w:val="auto"/>
              </w:rPr>
            </w:pPr>
            <w:r>
              <w:rPr>
                <w:rFonts w:ascii="Arial" w:cs="Arial" w:eastAsia="Arial" w:hAnsi="Arial"/>
                <w:sz w:val="18"/>
                <w:szCs w:val="18"/>
                <w:color w:val="auto"/>
              </w:rPr>
              <w:t>226.3</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spacing w:after="0" w:line="187" w:lineRule="exact"/>
              <w:rPr>
                <w:sz w:val="20"/>
                <w:szCs w:val="20"/>
                <w:color w:val="auto"/>
              </w:rPr>
            </w:pPr>
            <w:r>
              <w:rPr>
                <w:rFonts w:ascii="Arial" w:cs="Arial" w:eastAsia="Arial" w:hAnsi="Arial"/>
                <w:sz w:val="18"/>
                <w:szCs w:val="18"/>
                <w:color w:val="auto"/>
              </w:rPr>
              <w:t>96.1</w:t>
            </w:r>
          </w:p>
        </w:tc>
        <w:tc>
          <w:tcPr>
            <w:tcW w:w="80" w:type="dxa"/>
            <w:vAlign w:val="bottom"/>
          </w:tcPr>
          <w:p>
            <w:pPr>
              <w:spacing w:after="0"/>
              <w:rPr>
                <w:sz w:val="16"/>
                <w:szCs w:val="16"/>
                <w:color w:val="auto"/>
              </w:rPr>
            </w:pPr>
          </w:p>
        </w:tc>
      </w:tr>
      <w:tr>
        <w:trPr>
          <w:trHeight w:val="203"/>
        </w:trPr>
        <w:tc>
          <w:tcPr>
            <w:tcW w:w="60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(6.7 )</w:t>
            </w:r>
          </w:p>
        </w:tc>
        <w:tc>
          <w:tcPr>
            <w:tcW w:w="60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(7.0 )</w:t>
            </w:r>
          </w:p>
        </w:tc>
        <w:tc>
          <w:tcPr>
            <w:tcW w:w="56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(18.3 )</w:t>
            </w:r>
          </w:p>
        </w:tc>
        <w:tc>
          <w:tcPr>
            <w:tcW w:w="56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(17.7 )</w:t>
            </w:r>
          </w:p>
        </w:tc>
      </w:tr>
      <w:tr>
        <w:trPr>
          <w:trHeight w:val="203"/>
        </w:trPr>
        <w:tc>
          <w:tcPr>
            <w:tcW w:w="6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17"/>
        </w:trPr>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(8.1 )</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357"/>
        </w:trPr>
        <w:tc>
          <w:tcPr>
            <w:tcW w:w="6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24"/>
                <w:szCs w:val="24"/>
                <w:color w:val="auto"/>
              </w:rPr>
            </w:pPr>
          </w:p>
        </w:tc>
      </w:tr>
      <w:tr>
        <w:trPr>
          <w:trHeight w:val="203"/>
        </w:trPr>
        <w:tc>
          <w:tcPr>
            <w:tcW w:w="6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80" w:type="dxa"/>
            <w:vAlign w:val="bottom"/>
          </w:tcPr>
          <w:p>
            <w:pPr>
              <w:spacing w:after="0"/>
              <w:rPr>
                <w:sz w:val="17"/>
                <w:szCs w:val="17"/>
                <w:color w:val="auto"/>
              </w:rPr>
            </w:pPr>
          </w:p>
        </w:tc>
      </w:tr>
      <w:tr>
        <w:trPr>
          <w:trHeight w:val="217"/>
        </w:trPr>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(0.4 )</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196"/>
        </w:trPr>
        <w:tc>
          <w:tcPr>
            <w:tcW w:w="6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64.9</w:t>
            </w:r>
          </w:p>
        </w:tc>
        <w:tc>
          <w:tcPr>
            <w:tcW w:w="2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w:t>
            </w:r>
          </w:p>
        </w:tc>
        <w:tc>
          <w:tcPr>
            <w:tcW w:w="26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174.6</w:t>
            </w: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w:t>
            </w:r>
          </w:p>
        </w:tc>
        <w:tc>
          <w:tcPr>
            <w:tcW w:w="80" w:type="dxa"/>
            <w:vAlign w:val="bottom"/>
          </w:tcPr>
          <w:p>
            <w:pPr>
              <w:spacing w:after="0"/>
              <w:rPr>
                <w:sz w:val="17"/>
                <w:szCs w:val="17"/>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4"/>
                <w:szCs w:val="24"/>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60" w:type="dxa"/>
            <w:vAlign w:val="bottom"/>
          </w:tcPr>
          <w:p>
            <w:pPr>
              <w:spacing w:after="0"/>
              <w:rPr>
                <w:sz w:val="24"/>
                <w:szCs w:val="24"/>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4"/>
                <w:szCs w:val="24"/>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00" w:type="dxa"/>
            <w:vAlign w:val="bottom"/>
            <w:tcBorders>
              <w:bottom w:val="single" w:sz="8" w:color="auto"/>
            </w:tcBorders>
          </w:tcPr>
          <w:p>
            <w:pPr>
              <w:jc w:val="right"/>
              <w:ind w:right="410"/>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1.59</w:t>
            </w:r>
          </w:p>
        </w:tc>
        <w:tc>
          <w:tcPr>
            <w:tcW w:w="260" w:type="dxa"/>
            <w:vAlign w:val="bottom"/>
          </w:tcPr>
          <w:p>
            <w:pPr>
              <w:spacing w:after="0"/>
              <w:rPr>
                <w:sz w:val="15"/>
                <w:szCs w:val="15"/>
                <w:color w:val="auto"/>
              </w:rPr>
            </w:pPr>
          </w:p>
        </w:tc>
        <w:tc>
          <w:tcPr>
            <w:tcW w:w="600" w:type="dxa"/>
            <w:vAlign w:val="bottom"/>
            <w:tcBorders>
              <w:bottom w:val="single" w:sz="8" w:color="auto"/>
            </w:tcBorders>
          </w:tcPr>
          <w:p>
            <w:pPr>
              <w:jc w:val="right"/>
              <w:ind w:right="410"/>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0.35</w:t>
            </w:r>
          </w:p>
        </w:tc>
        <w:tc>
          <w:tcPr>
            <w:tcW w:w="260" w:type="dxa"/>
            <w:vAlign w:val="bottom"/>
          </w:tcPr>
          <w:p>
            <w:pPr>
              <w:spacing w:after="0"/>
              <w:rPr>
                <w:sz w:val="15"/>
                <w:szCs w:val="15"/>
                <w:color w:val="auto"/>
              </w:rPr>
            </w:pPr>
          </w:p>
        </w:tc>
        <w:tc>
          <w:tcPr>
            <w:tcW w:w="560" w:type="dxa"/>
            <w:vAlign w:val="bottom"/>
            <w:tcBorders>
              <w:bottom w:val="single" w:sz="8" w:color="auto"/>
            </w:tcBorders>
          </w:tcPr>
          <w:p>
            <w:pPr>
              <w:jc w:val="right"/>
              <w:ind w:right="3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4.29</w:t>
            </w: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ind w:right="350"/>
              <w:spacing w:after="0" w:line="183"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1.62</w:t>
            </w:r>
          </w:p>
        </w:tc>
        <w:tc>
          <w:tcPr>
            <w:tcW w:w="80" w:type="dxa"/>
            <w:vAlign w:val="bottom"/>
          </w:tcPr>
          <w:p>
            <w:pPr>
              <w:spacing w:after="0"/>
              <w:rPr>
                <w:sz w:val="15"/>
                <w:szCs w:val="15"/>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4"/>
                <w:szCs w:val="24"/>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40.7</w:t>
            </w: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39.1</w:t>
            </w:r>
          </w:p>
        </w:tc>
        <w:tc>
          <w:tcPr>
            <w:tcW w:w="2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40.7</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37.5</w:t>
            </w:r>
          </w:p>
        </w:tc>
        <w:tc>
          <w:tcPr>
            <w:tcW w:w="80" w:type="dxa"/>
            <w:vAlign w:val="bottom"/>
          </w:tcPr>
          <w:p>
            <w:pPr>
              <w:spacing w:after="0"/>
              <w:rPr>
                <w:sz w:val="15"/>
                <w:szCs w:val="15"/>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-1799590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-1534160</wp:posOffset>
            </wp:positionV>
            <wp:extent cx="713232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-1165225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-873760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-591185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-307975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600"/>
            <w:col w:w="6440"/>
          </w:cols>
          <w:pgMar w:left="320" w:top="324" w:right="339" w:bottom="1440" w:gutter="0" w:footer="0" w:header="0"/>
          <w:type w:val="continuous"/>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condensed consolidated financial statements (unaudited).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40"/>
        <w:spacing w:after="0" w:line="234" w:lineRule="auto"/>
        <w:rPr>
          <w:sz w:val="20"/>
          <w:szCs w:val="20"/>
          <w:color w:val="auto"/>
        </w:rPr>
      </w:pPr>
      <w:r>
        <w:rPr>
          <w:rFonts w:ascii="Arial" w:cs="Arial" w:eastAsia="Arial" w:hAnsi="Arial"/>
          <w:sz w:val="18"/>
          <w:szCs w:val="18"/>
          <w:color w:val="auto"/>
        </w:rPr>
        <w:t>(in millions, except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8"/>
          </w:tcPr>
          <w:p>
            <w:pPr>
              <w:jc w:val="right"/>
              <w:ind w:right="579"/>
              <w:spacing w:after="0"/>
              <w:rPr>
                <w:sz w:val="20"/>
                <w:szCs w:val="20"/>
                <w:color w:val="auto"/>
              </w:rPr>
            </w:pPr>
            <w:r>
              <w:rPr>
                <w:rFonts w:ascii="Arial" w:cs="Arial" w:eastAsia="Arial" w:hAnsi="Arial"/>
                <w:sz w:val="14"/>
                <w:szCs w:val="14"/>
                <w:b w:val="1"/>
                <w:bCs w:val="1"/>
                <w:color w:val="auto"/>
                <w:w w:val="99"/>
              </w:rPr>
              <w:t>Three and Nine months ended March 26, 2022</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3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7"/>
              </w:rPr>
              <w:t>Additional Paid-</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9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1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w w:val="98"/>
              </w:rPr>
              <w:t>Treasury Stock</w:t>
            </w:r>
          </w:p>
        </w:tc>
        <w:tc>
          <w:tcPr>
            <w:tcW w:w="1300" w:type="dxa"/>
            <w:vAlign w:val="bottom"/>
            <w:gridSpan w:val="3"/>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 Capital</w:t>
            </w:r>
          </w:p>
        </w:tc>
        <w:tc>
          <w:tcPr>
            <w:tcW w:w="12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920" w:type="dxa"/>
            <w:vAlign w:val="bottom"/>
          </w:tcPr>
          <w:p>
            <w:pPr>
              <w:jc w:val="right"/>
              <w:ind w:right="1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23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June 2021</w:t>
            </w: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66,963,006</w:t>
            </w:r>
          </w:p>
        </w:tc>
        <w:tc>
          <w:tcPr>
            <w:tcW w:w="18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664"/>
              <w:spacing w:after="0" w:line="183" w:lineRule="exact"/>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1,391.5</w:t>
            </w:r>
          </w:p>
        </w:tc>
        <w:tc>
          <w:tcPr>
            <w:tcW w:w="2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42"/>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(1,205.4</w:t>
            </w:r>
          </w:p>
        </w:tc>
        <w:tc>
          <w:tcPr>
            <w:tcW w:w="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781.0</w:t>
            </w:r>
          </w:p>
        </w:tc>
        <w:tc>
          <w:tcPr>
            <w:tcW w:w="16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967.2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common stock for</w:t>
            </w:r>
          </w:p>
        </w:tc>
        <w:tc>
          <w:tcPr>
            <w:tcW w:w="1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w w:val="97"/>
              </w:rPr>
              <w:t>share-based award compensation</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384,866</w:t>
            </w: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plans</w:t>
            </w:r>
          </w:p>
        </w:tc>
        <w:tc>
          <w:tcPr>
            <w:tcW w:w="11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Payroll taxes for deferred stock</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(27.7 )</w:t>
            </w: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(27.7 )</w:t>
            </w:r>
          </w:p>
        </w:tc>
        <w:tc>
          <w:tcPr>
            <w:tcW w:w="0" w:type="dxa"/>
            <w:vAlign w:val="bottom"/>
          </w:tcPr>
          <w:p>
            <w:pPr>
              <w:spacing w:after="0"/>
              <w:rPr>
                <w:sz w:val="1"/>
                <w:szCs w:val="1"/>
                <w:color w:val="auto"/>
              </w:rPr>
            </w:pPr>
          </w:p>
        </w:tc>
      </w:tr>
      <w:tr>
        <w:trPr>
          <w:trHeight w:val="199"/>
        </w:trPr>
        <w:tc>
          <w:tcPr>
            <w:tcW w:w="2380" w:type="dxa"/>
            <w:vAlign w:val="bottom"/>
          </w:tcPr>
          <w:p>
            <w:pPr>
              <w:ind w:left="20"/>
              <w:spacing w:after="0"/>
              <w:rPr>
                <w:sz w:val="20"/>
                <w:szCs w:val="20"/>
                <w:color w:val="auto"/>
              </w:rPr>
            </w:pPr>
            <w:r>
              <w:rPr>
                <w:rFonts w:ascii="Arial" w:cs="Arial" w:eastAsia="Arial" w:hAnsi="Arial"/>
                <w:sz w:val="16"/>
                <w:szCs w:val="16"/>
                <w:color w:val="auto"/>
              </w:rPr>
              <w:t>units</w:t>
            </w:r>
          </w:p>
        </w:tc>
        <w:tc>
          <w:tcPr>
            <w:tcW w:w="1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Redemption of convertible debt</w:t>
            </w: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(518.2 )</w:t>
            </w: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510.9</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September 2021</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67,347,872</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874.6</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(694.5</w:t>
            </w:r>
          </w:p>
        </w:tc>
        <w:tc>
          <w:tcPr>
            <w:tcW w:w="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821.2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1,001.4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(0.1 )</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83"/>
        </w:trPr>
        <w:tc>
          <w:tcPr>
            <w:tcW w:w="23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Total comprehensive income</w:t>
            </w:r>
          </w:p>
        </w:tc>
        <w:tc>
          <w:tcPr>
            <w:tcW w:w="112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78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69.4</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380" w:type="dxa"/>
            <w:vAlign w:val="bottom"/>
            <w:shd w:val="clear" w:color="auto" w:fill="CFF0FC"/>
          </w:tcPr>
          <w:p>
            <w:pPr>
              <w:ind w:left="20"/>
              <w:spacing w:after="0" w:line="146" w:lineRule="exact"/>
              <w:rPr>
                <w:sz w:val="20"/>
                <w:szCs w:val="20"/>
                <w:color w:val="auto"/>
              </w:rPr>
            </w:pPr>
            <w:r>
              <w:rPr>
                <w:rFonts w:ascii="Arial" w:cs="Arial" w:eastAsia="Arial" w:hAnsi="Arial"/>
                <w:sz w:val="16"/>
                <w:szCs w:val="16"/>
                <w:color w:val="auto"/>
              </w:rPr>
              <w:t>Issuance of common stock for</w:t>
            </w: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w w:val="97"/>
              </w:rPr>
              <w:t>share-based award compensation</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295,796</w:t>
            </w: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plans</w:t>
            </w:r>
          </w:p>
        </w:tc>
        <w:tc>
          <w:tcPr>
            <w:tcW w:w="11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Payroll taxes for deferred stock</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(35.8 )</w:t>
            </w: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(35.8 )</w:t>
            </w:r>
          </w:p>
        </w:tc>
        <w:tc>
          <w:tcPr>
            <w:tcW w:w="0" w:type="dxa"/>
            <w:vAlign w:val="bottom"/>
          </w:tcPr>
          <w:p>
            <w:pPr>
              <w:spacing w:after="0"/>
              <w:rPr>
                <w:sz w:val="1"/>
                <w:szCs w:val="1"/>
                <w:color w:val="auto"/>
              </w:rPr>
            </w:pPr>
          </w:p>
        </w:tc>
      </w:tr>
      <w:tr>
        <w:trPr>
          <w:trHeight w:val="199"/>
        </w:trPr>
        <w:tc>
          <w:tcPr>
            <w:tcW w:w="2380" w:type="dxa"/>
            <w:vAlign w:val="bottom"/>
          </w:tcPr>
          <w:p>
            <w:pPr>
              <w:ind w:left="20"/>
              <w:spacing w:after="0"/>
              <w:rPr>
                <w:sz w:val="20"/>
                <w:szCs w:val="20"/>
                <w:color w:val="auto"/>
              </w:rPr>
            </w:pPr>
            <w:r>
              <w:rPr>
                <w:rFonts w:ascii="Arial" w:cs="Arial" w:eastAsia="Arial" w:hAnsi="Arial"/>
                <w:sz w:val="16"/>
                <w:szCs w:val="16"/>
                <w:color w:val="auto"/>
              </w:rPr>
              <w:t>units</w:t>
            </w:r>
          </w:p>
        </w:tc>
        <w:tc>
          <w:tcPr>
            <w:tcW w:w="1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Share-based compensation</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attributable to acquisition</w:t>
            </w:r>
          </w:p>
        </w:tc>
        <w:tc>
          <w:tcPr>
            <w:tcW w:w="11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December 2021</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67,643,668</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867.7</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(694.5</w:t>
            </w:r>
          </w:p>
        </w:tc>
        <w:tc>
          <w:tcPr>
            <w:tcW w:w="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(0.1</w:t>
            </w:r>
          </w:p>
        </w:tc>
        <w:tc>
          <w:tcPr>
            <w:tcW w:w="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890.7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1,063.9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(1.2 )</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83"/>
        </w:trPr>
        <w:tc>
          <w:tcPr>
            <w:tcW w:w="23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Total comprehensive income</w:t>
            </w:r>
          </w:p>
        </w:tc>
        <w:tc>
          <w:tcPr>
            <w:tcW w:w="112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78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63.7</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380" w:type="dxa"/>
            <w:vAlign w:val="bottom"/>
            <w:shd w:val="clear" w:color="auto" w:fill="CFF0FC"/>
          </w:tcPr>
          <w:p>
            <w:pPr>
              <w:ind w:left="20"/>
              <w:spacing w:after="0" w:line="146" w:lineRule="exact"/>
              <w:rPr>
                <w:sz w:val="20"/>
                <w:szCs w:val="20"/>
                <w:color w:val="auto"/>
              </w:rPr>
            </w:pPr>
            <w:r>
              <w:rPr>
                <w:rFonts w:ascii="Arial" w:cs="Arial" w:eastAsia="Arial" w:hAnsi="Arial"/>
                <w:sz w:val="16"/>
                <w:szCs w:val="16"/>
                <w:color w:val="auto"/>
              </w:rPr>
              <w:t>Issuance of common stock for</w:t>
            </w: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w w:val="97"/>
              </w:rPr>
              <w:t>share-based award compensation</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79,199</w:t>
            </w: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plans</w:t>
            </w:r>
          </w:p>
        </w:tc>
        <w:tc>
          <w:tcPr>
            <w:tcW w:w="11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Payroll taxes for deferred stock</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(2.6 )</w:t>
            </w: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199"/>
        </w:trPr>
        <w:tc>
          <w:tcPr>
            <w:tcW w:w="2380" w:type="dxa"/>
            <w:vAlign w:val="bottom"/>
          </w:tcPr>
          <w:p>
            <w:pPr>
              <w:ind w:left="20"/>
              <w:spacing w:after="0"/>
              <w:rPr>
                <w:sz w:val="20"/>
                <w:szCs w:val="20"/>
                <w:color w:val="auto"/>
              </w:rPr>
            </w:pPr>
            <w:r>
              <w:rPr>
                <w:rFonts w:ascii="Arial" w:cs="Arial" w:eastAsia="Arial" w:hAnsi="Arial"/>
                <w:sz w:val="16"/>
                <w:szCs w:val="16"/>
                <w:color w:val="auto"/>
              </w:rPr>
              <w:t>units</w:t>
            </w:r>
          </w:p>
        </w:tc>
        <w:tc>
          <w:tcPr>
            <w:tcW w:w="1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2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80" w:type="dxa"/>
            <w:vAlign w:val="bottom"/>
          </w:tcPr>
          <w:p>
            <w:pPr>
              <w:ind w:left="20"/>
              <w:spacing w:after="0" w:line="183" w:lineRule="exact"/>
              <w:rPr>
                <w:sz w:val="20"/>
                <w:szCs w:val="20"/>
                <w:color w:val="auto"/>
              </w:rPr>
            </w:pPr>
            <w:r>
              <w:rPr>
                <w:rFonts w:ascii="Arial" w:cs="Arial" w:eastAsia="Arial" w:hAnsi="Arial"/>
                <w:sz w:val="16"/>
                <w:szCs w:val="16"/>
                <w:color w:val="auto"/>
              </w:rPr>
              <w:t>Balance at March 2022</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67,722,867</w:t>
            </w:r>
          </w:p>
        </w:tc>
        <w:tc>
          <w:tcPr>
            <w:tcW w:w="1020" w:type="dxa"/>
            <w:vAlign w:val="bottom"/>
            <w:gridSpan w:val="2"/>
          </w:tcPr>
          <w:p>
            <w:pPr>
              <w:jc w:val="right"/>
              <w:ind w:right="664"/>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0.1</w:t>
            </w:r>
          </w:p>
        </w:tc>
        <w:tc>
          <w:tcPr>
            <w:tcW w:w="3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897.8</w:t>
            </w:r>
          </w:p>
        </w:tc>
        <w:tc>
          <w:tcPr>
            <w:tcW w:w="200" w:type="dxa"/>
            <w:vAlign w:val="bottom"/>
          </w:tcPr>
          <w:p>
            <w:pPr>
              <w:spacing w:after="0"/>
              <w:rPr>
                <w:sz w:val="15"/>
                <w:szCs w:val="15"/>
                <w:color w:val="auto"/>
              </w:rPr>
            </w:pPr>
          </w:p>
        </w:tc>
        <w:tc>
          <w:tcPr>
            <w:tcW w:w="320" w:type="dxa"/>
            <w:vAlign w:val="bottom"/>
          </w:tcPr>
          <w:p>
            <w:pPr>
              <w:jc w:val="right"/>
              <w:ind w:right="142"/>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(694.5 )</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(1.3 )</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955.6</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1,157.7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-2353945</wp:posOffset>
            </wp:positionV>
            <wp:extent cx="431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-956310</wp:posOffset>
            </wp:positionV>
            <wp:extent cx="431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-150495</wp:posOffset>
            </wp:positionV>
            <wp:extent cx="431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-150495</wp:posOffset>
            </wp:positionV>
            <wp:extent cx="431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-150495</wp:posOffset>
            </wp:positionV>
            <wp:extent cx="514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-150495</wp:posOffset>
            </wp:positionV>
            <wp:extent cx="514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-150495</wp:posOffset>
            </wp:positionV>
            <wp:extent cx="431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-150495</wp:posOffset>
            </wp:positionV>
            <wp:extent cx="3429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wp:posOffset>
            </wp:positionV>
            <wp:extent cx="431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40"/>
        <w:spacing w:after="0" w:line="234" w:lineRule="auto"/>
        <w:rPr>
          <w:sz w:val="20"/>
          <w:szCs w:val="20"/>
          <w:color w:val="auto"/>
        </w:rPr>
      </w:pPr>
      <w:r>
        <w:rPr>
          <w:rFonts w:ascii="Arial" w:cs="Arial" w:eastAsia="Arial" w:hAnsi="Arial"/>
          <w:sz w:val="18"/>
          <w:szCs w:val="18"/>
          <w:color w:val="auto"/>
        </w:rPr>
        <w:t>(in millions, except share amounts)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12"/>
          </w:tcPr>
          <w:p>
            <w:pPr>
              <w:jc w:val="right"/>
              <w:ind w:right="860"/>
              <w:spacing w:after="0"/>
              <w:rPr>
                <w:sz w:val="20"/>
                <w:szCs w:val="20"/>
                <w:color w:val="auto"/>
              </w:rPr>
            </w:pPr>
            <w:r>
              <w:rPr>
                <w:rFonts w:ascii="Arial" w:cs="Arial" w:eastAsia="Arial" w:hAnsi="Arial"/>
                <w:sz w:val="18"/>
                <w:szCs w:val="18"/>
                <w:b w:val="1"/>
                <w:bCs w:val="1"/>
                <w:color w:val="auto"/>
                <w:w w:val="90"/>
              </w:rPr>
              <w:t>Three and Nine months ended March 27, 2021</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2240" w:type="dxa"/>
            <w:vAlign w:val="bottom"/>
            <w:tcBorders>
              <w:bottom w:val="single" w:sz="8" w:color="auto"/>
            </w:tcBorders>
            <w:gridSpan w:val="4"/>
          </w:tcPr>
          <w:p>
            <w:pPr>
              <w:jc w:val="right"/>
              <w:ind w:right="310"/>
              <w:spacing w:after="0" w:line="196" w:lineRule="exact"/>
              <w:rPr>
                <w:sz w:val="20"/>
                <w:szCs w:val="20"/>
                <w:color w:val="auto"/>
              </w:rPr>
            </w:pPr>
            <w:r>
              <w:rPr>
                <w:rFonts w:ascii="Arial" w:cs="Arial" w:eastAsia="Arial" w:hAnsi="Arial"/>
                <w:sz w:val="18"/>
                <w:szCs w:val="18"/>
                <w:b w:val="1"/>
                <w:bCs w:val="1"/>
                <w:color w:val="auto"/>
              </w:rPr>
              <w:t>Common Stock</w:t>
            </w:r>
          </w:p>
        </w:tc>
        <w:tc>
          <w:tcPr>
            <w:tcW w:w="2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0"/>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right"/>
              <w:ind w:right="241"/>
              <w:spacing w:after="0"/>
              <w:rPr>
                <w:sz w:val="20"/>
                <w:szCs w:val="20"/>
                <w:color w:val="auto"/>
              </w:rPr>
            </w:pPr>
            <w:r>
              <w:rPr>
                <w:rFonts w:ascii="Arial" w:cs="Arial" w:eastAsia="Arial" w:hAnsi="Arial"/>
                <w:sz w:val="18"/>
                <w:szCs w:val="18"/>
                <w:b w:val="1"/>
                <w:bCs w:val="1"/>
                <w:color w:val="auto"/>
                <w:w w:val="92"/>
              </w:rPr>
              <w:t>Treasury</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4"/>
              </w:rPr>
              <w:t>Retained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580"/>
              <w:spacing w:after="0" w:line="176" w:lineRule="exact"/>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8"/>
                <w:szCs w:val="18"/>
                <w:color w:val="auto"/>
              </w:rPr>
            </w:pPr>
          </w:p>
        </w:tc>
        <w:tc>
          <w:tcPr>
            <w:tcW w:w="104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Earnings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6"/>
        </w:trPr>
        <w:tc>
          <w:tcPr>
            <w:tcW w:w="3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June 2020</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65,871,648</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0.1</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1,340.2</w:t>
            </w: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(1,222.6</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701.4</w:t>
            </w:r>
          </w:p>
        </w:tc>
        <w:tc>
          <w:tcPr>
            <w:tcW w:w="80" w:type="dxa"/>
            <w:vAlign w:val="bottom"/>
            <w:shd w:val="clear" w:color="auto" w:fill="CFF0FC"/>
          </w:tcPr>
          <w:p>
            <w:pPr>
              <w:spacing w:after="0"/>
              <w:rPr>
                <w:sz w:val="17"/>
                <w:szCs w:val="17"/>
                <w:color w:val="auto"/>
              </w:rPr>
            </w:pPr>
          </w:p>
        </w:tc>
        <w:tc>
          <w:tcPr>
            <w:tcW w:w="400" w:type="dxa"/>
            <w:vAlign w:val="bottom"/>
            <w:tcBorders>
              <w:top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819.1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Issuance of common stock for share-</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296,917</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based award compensation plans</w:t>
            </w:r>
          </w:p>
        </w:tc>
        <w:tc>
          <w:tcPr>
            <w:tcW w:w="112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Payroll taxes for deferred stock units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(5.6 )</w:t>
            </w: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8"/>
              </w:rPr>
              <w:t>Share-based compensation attributable</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 acquisition</w:t>
            </w:r>
          </w:p>
        </w:tc>
        <w:tc>
          <w:tcPr>
            <w:tcW w:w="112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September 2020</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66,168,565</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0.1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1,362.6</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(1,222.6</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698.6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Issuance of common stock for share-</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508,776</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based award compensation plans</w:t>
            </w:r>
          </w:p>
        </w:tc>
        <w:tc>
          <w:tcPr>
            <w:tcW w:w="112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Payroll taxes for deferred stock units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(20.2 )</w:t>
            </w: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03"/>
        </w:trPr>
        <w:tc>
          <w:tcPr>
            <w:tcW w:w="3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2020</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66,677,341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w w:val="87"/>
              </w:rPr>
              <w:t>0.1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1,362.3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(1,222.6 )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748.2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888.0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Arial" w:cs="Arial" w:eastAsia="Arial" w:hAnsi="Arial"/>
                <w:sz w:val="18"/>
                <w:szCs w:val="18"/>
                <w:color w:val="auto"/>
              </w:rPr>
              <w:t>Issuance of common stock for share-</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252,121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color w:val="auto"/>
              </w:rPr>
              <w:t>based award compensation plans</w:t>
            </w:r>
          </w:p>
        </w:tc>
        <w:tc>
          <w:tcPr>
            <w:tcW w:w="1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Payroll taxes for deferred stock units</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(1.2 )</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at March 2021</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66,929,462</w:t>
            </w: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7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7"/>
              </w:rPr>
              <w:t>0.1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1,393.1</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(1,222.6</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762.0</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932.6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-922020</wp:posOffset>
            </wp:positionV>
            <wp:extent cx="431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-922020</wp:posOffset>
            </wp:positionV>
            <wp:extent cx="431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-922020</wp:posOffset>
            </wp:positionV>
            <wp:extent cx="6032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-922020</wp:posOffset>
            </wp:positionV>
            <wp:extent cx="6032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-922020</wp:posOffset>
            </wp:positionV>
            <wp:extent cx="514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-922020</wp:posOffset>
            </wp:positionV>
            <wp:extent cx="514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43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43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43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160"/>
        <w:spacing w:after="0" w:line="234" w:lineRule="auto"/>
        <w:rPr>
          <w:sz w:val="20"/>
          <w:szCs w:val="20"/>
          <w:color w:val="auto"/>
        </w:rPr>
      </w:pPr>
      <w:r>
        <w:rPr>
          <w:rFonts w:ascii="Arial" w:cs="Arial" w:eastAsia="Arial" w:hAnsi="Arial"/>
          <w:sz w:val="18"/>
          <w:szCs w:val="18"/>
          <w:color w:val="auto"/>
        </w:rPr>
        <w:t>(in millions)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Nine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76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24"/>
              <w:spacing w:after="0"/>
              <w:rPr>
                <w:sz w:val="20"/>
                <w:szCs w:val="20"/>
                <w:color w:val="auto"/>
              </w:rPr>
            </w:pPr>
            <w:r>
              <w:rPr>
                <w:rFonts w:ascii="Arial" w:cs="Arial" w:eastAsia="Arial" w:hAnsi="Arial"/>
                <w:sz w:val="16"/>
                <w:szCs w:val="16"/>
                <w:b w:val="1"/>
                <w:bCs w:val="1"/>
                <w:color w:val="auto"/>
              </w:rPr>
              <w:t>March</w:t>
            </w: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768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w w:val="95"/>
              </w:rPr>
              <w:t>2021</w:t>
            </w:r>
          </w:p>
        </w:tc>
        <w:tc>
          <w:tcPr>
            <w:tcW w:w="80" w:type="dxa"/>
            <w:vAlign w:val="bottom"/>
          </w:tcPr>
          <w:p>
            <w:pPr>
              <w:spacing w:after="0"/>
              <w:rPr>
                <w:sz w:val="15"/>
                <w:szCs w:val="15"/>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174.6</w:t>
            </w:r>
          </w:p>
        </w:tc>
        <w:tc>
          <w:tcPr>
            <w:tcW w:w="260" w:type="dxa"/>
            <w:vAlign w:val="bottom"/>
          </w:tcPr>
          <w:p>
            <w:pPr>
              <w:spacing w:after="0"/>
              <w:rPr>
                <w:sz w:val="16"/>
                <w:szCs w:val="16"/>
                <w:color w:val="auto"/>
              </w:rPr>
            </w:pP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60.6</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Share-based compensation costs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73.8</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Acquired intangibles amortization</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91.5</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84.5</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audio technology assets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(34.2 )</w:t>
            </w: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Gain on sale and leaseback transaction</w:t>
            </w:r>
          </w:p>
        </w:tc>
        <w:tc>
          <w:tcPr>
            <w:tcW w:w="102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(5.4 )</w:t>
            </w: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redemption of convertible notes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(27.7 )</w:t>
            </w:r>
          </w:p>
        </w:tc>
        <w:tc>
          <w:tcPr>
            <w:tcW w:w="6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(10.1 )</w:t>
            </w: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convertible debt discount and issuance costs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Amortization of debt issuance costs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cost of development services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Equity investment (gain) loss</w:t>
            </w:r>
          </w:p>
        </w:tc>
        <w:tc>
          <w:tcPr>
            <w:tcW w:w="102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(1.6 )</w:t>
            </w: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remeasurement gain</w:t>
            </w:r>
          </w:p>
        </w:tc>
        <w:tc>
          <w:tcPr>
            <w:tcW w:w="10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(0.8 )</w:t>
            </w:r>
          </w:p>
        </w:tc>
        <w:tc>
          <w:tcPr>
            <w:tcW w:w="6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(1.9 )</w:t>
            </w:r>
          </w:p>
        </w:tc>
      </w:tr>
      <w:tr>
        <w:trPr>
          <w:trHeight w:val="189"/>
        </w:trPr>
        <w:tc>
          <w:tcPr>
            <w:tcW w:w="7680" w:type="dxa"/>
            <w:vAlign w:val="bottom"/>
          </w:tcPr>
          <w:p>
            <w:pPr>
              <w:ind w:left="200"/>
              <w:spacing w:after="0"/>
              <w:rPr>
                <w:sz w:val="20"/>
                <w:szCs w:val="20"/>
                <w:color w:val="auto"/>
              </w:rPr>
            </w:pPr>
            <w:r>
              <w:rPr>
                <w:rFonts w:ascii="Arial" w:cs="Arial" w:eastAsia="Arial" w:hAnsi="Arial"/>
                <w:sz w:val="16"/>
                <w:szCs w:val="16"/>
                <w:color w:val="auto"/>
              </w:rPr>
              <w:t>Other</w:t>
            </w:r>
          </w:p>
        </w:tc>
        <w:tc>
          <w:tcPr>
            <w:tcW w:w="102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(1.6 )</w:t>
            </w: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 net of acquisitions: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102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(57.3 )</w:t>
            </w:r>
          </w:p>
        </w:tc>
        <w:tc>
          <w:tcPr>
            <w:tcW w:w="6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(31.3 )</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Inventories</w:t>
            </w:r>
          </w:p>
        </w:tc>
        <w:tc>
          <w:tcPr>
            <w:tcW w:w="10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(41.3 )</w:t>
            </w: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(7.9 )</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assets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(4.3 )</w:t>
            </w: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21.1</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compensation</w:t>
            </w:r>
          </w:p>
        </w:tc>
        <w:tc>
          <w:tcPr>
            <w:tcW w:w="10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(7.0 )</w:t>
            </w:r>
          </w:p>
        </w:tc>
        <w:tc>
          <w:tcPr>
            <w:tcW w:w="6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(1.7 )</w:t>
            </w:r>
          </w:p>
        </w:tc>
      </w:tr>
      <w:tr>
        <w:trPr>
          <w:trHeight w:val="189"/>
        </w:trPr>
        <w:tc>
          <w:tcPr>
            <w:tcW w:w="7680" w:type="dxa"/>
            <w:vAlign w:val="bottom"/>
          </w:tcPr>
          <w:p>
            <w:pPr>
              <w:ind w:left="380"/>
              <w:spacing w:after="0"/>
              <w:rPr>
                <w:sz w:val="20"/>
                <w:szCs w:val="20"/>
                <w:color w:val="auto"/>
              </w:rPr>
            </w:pPr>
            <w:r>
              <w:rPr>
                <w:rFonts w:ascii="Arial" w:cs="Arial" w:eastAsia="Arial" w:hAnsi="Arial"/>
                <w:sz w:val="16"/>
                <w:szCs w:val="16"/>
                <w:color w:val="auto"/>
              </w:rPr>
              <w:t>Income taxes payable</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(11.8 )</w:t>
            </w:r>
          </w:p>
        </w:tc>
      </w:tr>
      <w:tr>
        <w:trPr>
          <w:trHeight w:val="18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accrued liabilities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(19.3 )</w:t>
            </w:r>
          </w:p>
        </w:tc>
      </w:tr>
      <w:tr>
        <w:trPr>
          <w:trHeight w:val="183"/>
        </w:trPr>
        <w:tc>
          <w:tcPr>
            <w:tcW w:w="76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308.4</w:t>
            </w:r>
          </w:p>
        </w:tc>
        <w:tc>
          <w:tcPr>
            <w:tcW w:w="260" w:type="dxa"/>
            <w:vAlign w:val="bottom"/>
            <w:tcBorders>
              <w:top w:val="single" w:sz="8" w:color="CFF0FC"/>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214.3</w:t>
            </w:r>
          </w:p>
        </w:tc>
        <w:tc>
          <w:tcPr>
            <w:tcW w:w="80" w:type="dxa"/>
            <w:vAlign w:val="bottom"/>
            <w:tcBorders>
              <w:top w:val="single" w:sz="8" w:color="CFF0FC"/>
            </w:tcBorders>
          </w:tcPr>
          <w:p>
            <w:pPr>
              <w:spacing w:after="0"/>
              <w:rPr>
                <w:sz w:val="15"/>
                <w:szCs w:val="15"/>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680" w:type="dxa"/>
            <w:vAlign w:val="bottom"/>
          </w:tcPr>
          <w:p>
            <w:pPr>
              <w:ind w:left="120"/>
              <w:spacing w:after="0"/>
              <w:rPr>
                <w:sz w:val="20"/>
                <w:szCs w:val="20"/>
                <w:color w:val="auto"/>
              </w:rPr>
            </w:pPr>
            <w:r>
              <w:rPr>
                <w:rFonts w:ascii="Arial" w:cs="Arial" w:eastAsia="Arial" w:hAnsi="Arial"/>
                <w:sz w:val="16"/>
                <w:szCs w:val="16"/>
                <w:color w:val="auto"/>
              </w:rPr>
              <w:t>Acquisition of businesses, net of cash and cash equivalents acquired</w:t>
            </w:r>
          </w:p>
        </w:tc>
        <w:tc>
          <w:tcPr>
            <w:tcW w:w="102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(504.8 )</w:t>
            </w:r>
          </w:p>
        </w:tc>
        <w:tc>
          <w:tcPr>
            <w:tcW w:w="6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(626.5 )</w:t>
            </w:r>
          </w:p>
        </w:tc>
      </w:tr>
      <w:tr>
        <w:trPr>
          <w:trHeight w:val="189"/>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sale of audio technology assets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120"/>
              <w:spacing w:after="0"/>
              <w:rPr>
                <w:sz w:val="20"/>
                <w:szCs w:val="20"/>
                <w:color w:val="auto"/>
              </w:rPr>
            </w:pPr>
            <w:r>
              <w:rPr>
                <w:rFonts w:ascii="Arial" w:cs="Arial" w:eastAsia="Arial" w:hAnsi="Arial"/>
                <w:sz w:val="16"/>
                <w:szCs w:val="16"/>
                <w:color w:val="auto"/>
              </w:rPr>
              <w:t>Proceeds from sale of property and equipment</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55.9</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maturities of investments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120"/>
              <w:spacing w:after="0"/>
              <w:rPr>
                <w:sz w:val="20"/>
                <w:szCs w:val="20"/>
                <w:color w:val="auto"/>
              </w:rPr>
            </w:pPr>
            <w:r>
              <w:rPr>
                <w:rFonts w:ascii="Arial" w:cs="Arial" w:eastAsia="Arial" w:hAnsi="Arial"/>
                <w:sz w:val="16"/>
                <w:szCs w:val="16"/>
                <w:color w:val="auto"/>
              </w:rPr>
              <w:t>Purchase of short-term securities</w:t>
            </w:r>
          </w:p>
        </w:tc>
        <w:tc>
          <w:tcPr>
            <w:tcW w:w="102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(5.8 )</w:t>
            </w: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(26.9 )</w:t>
            </w:r>
          </w:p>
        </w:tc>
        <w:tc>
          <w:tcPr>
            <w:tcW w:w="6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(15.5 )</w:t>
            </w:r>
          </w:p>
        </w:tc>
      </w:tr>
      <w:tr>
        <w:trPr>
          <w:trHeight w:val="189"/>
        </w:trPr>
        <w:tc>
          <w:tcPr>
            <w:tcW w:w="7680" w:type="dxa"/>
            <w:vAlign w:val="bottom"/>
          </w:tcPr>
          <w:p>
            <w:pPr>
              <w:ind w:left="120"/>
              <w:spacing w:after="0"/>
              <w:rPr>
                <w:sz w:val="20"/>
                <w:szCs w:val="20"/>
                <w:color w:val="auto"/>
              </w:rPr>
            </w:pPr>
            <w:r>
              <w:rPr>
                <w:rFonts w:ascii="Arial" w:cs="Arial" w:eastAsia="Arial" w:hAnsi="Arial"/>
                <w:sz w:val="16"/>
                <w:szCs w:val="16"/>
                <w:color w:val="auto"/>
              </w:rPr>
              <w:t>Cost method investment</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(5.0 )</w:t>
            </w:r>
          </w:p>
        </w:tc>
      </w:tr>
      <w:tr>
        <w:trPr>
          <w:trHeight w:val="183"/>
        </w:trPr>
        <w:tc>
          <w:tcPr>
            <w:tcW w:w="76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Net cash used in investing activities</w:t>
            </w:r>
          </w:p>
        </w:tc>
        <w:tc>
          <w:tcPr>
            <w:tcW w:w="102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(469.4</w:t>
            </w:r>
          </w:p>
        </w:tc>
        <w:tc>
          <w:tcPr>
            <w:tcW w:w="260" w:type="dxa"/>
            <w:vAlign w:val="bottom"/>
            <w:tcBorders>
              <w:bottom w:val="single" w:sz="8" w:color="CFF0FC"/>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(517.0</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issuance of debt</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120"/>
              <w:spacing w:after="0"/>
              <w:rPr>
                <w:sz w:val="20"/>
                <w:szCs w:val="20"/>
                <w:color w:val="auto"/>
              </w:rPr>
            </w:pPr>
            <w:r>
              <w:rPr>
                <w:rFonts w:ascii="Arial" w:cs="Arial" w:eastAsia="Arial" w:hAnsi="Arial"/>
                <w:sz w:val="16"/>
                <w:szCs w:val="16"/>
                <w:color w:val="auto"/>
              </w:rPr>
              <w:t>Payment on line of credit borrowings and debt</w:t>
            </w:r>
          </w:p>
        </w:tc>
        <w:tc>
          <w:tcPr>
            <w:tcW w:w="102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(1.5 )</w:t>
            </w:r>
          </w:p>
        </w:tc>
        <w:tc>
          <w:tcPr>
            <w:tcW w:w="6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189"/>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Payment of debt issuance costs</w:t>
            </w:r>
          </w:p>
        </w:tc>
        <w:tc>
          <w:tcPr>
            <w:tcW w:w="10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(11.2 )</w:t>
            </w:r>
          </w:p>
        </w:tc>
        <w:tc>
          <w:tcPr>
            <w:tcW w:w="6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(5.9 )</w:t>
            </w:r>
          </w:p>
        </w:tc>
      </w:tr>
      <w:tr>
        <w:trPr>
          <w:trHeight w:val="189"/>
        </w:trPr>
        <w:tc>
          <w:tcPr>
            <w:tcW w:w="7680" w:type="dxa"/>
            <w:vAlign w:val="bottom"/>
          </w:tcPr>
          <w:p>
            <w:pPr>
              <w:ind w:left="120"/>
              <w:spacing w:after="0"/>
              <w:rPr>
                <w:sz w:val="20"/>
                <w:szCs w:val="20"/>
                <w:color w:val="auto"/>
              </w:rPr>
            </w:pPr>
            <w:r>
              <w:rPr>
                <w:rFonts w:ascii="Arial" w:cs="Arial" w:eastAsia="Arial" w:hAnsi="Arial"/>
                <w:sz w:val="16"/>
                <w:szCs w:val="16"/>
                <w:color w:val="auto"/>
              </w:rPr>
              <w:t>Proceeds from issuance of shares</w:t>
            </w: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15.1</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Payroll taxes for deferred stock and market stock units</w:t>
            </w:r>
          </w:p>
        </w:tc>
        <w:tc>
          <w:tcPr>
            <w:tcW w:w="10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(66.1 )</w:t>
            </w:r>
          </w:p>
        </w:tc>
        <w:tc>
          <w:tcPr>
            <w:tcW w:w="6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(27.0 )</w:t>
            </w:r>
          </w:p>
        </w:tc>
      </w:tr>
      <w:tr>
        <w:trPr>
          <w:trHeight w:val="189"/>
        </w:trPr>
        <w:tc>
          <w:tcPr>
            <w:tcW w:w="7680" w:type="dxa"/>
            <w:vAlign w:val="bottom"/>
          </w:tcPr>
          <w:p>
            <w:pPr>
              <w:ind w:left="120"/>
              <w:spacing w:after="0"/>
              <w:rPr>
                <w:sz w:val="20"/>
                <w:szCs w:val="20"/>
                <w:color w:val="auto"/>
              </w:rPr>
            </w:pPr>
            <w:r>
              <w:rPr>
                <w:rFonts w:ascii="Arial" w:cs="Arial" w:eastAsia="Arial" w:hAnsi="Arial"/>
                <w:sz w:val="16"/>
                <w:szCs w:val="16"/>
                <w:color w:val="auto"/>
              </w:rPr>
              <w:t>Payment for redemption of convertible notes</w:t>
            </w:r>
          </w:p>
        </w:tc>
        <w:tc>
          <w:tcPr>
            <w:tcW w:w="1020" w:type="dxa"/>
            <w:vAlign w:val="bottom"/>
          </w:tcPr>
          <w:p>
            <w:pPr>
              <w:spacing w:after="0"/>
              <w:rPr>
                <w:sz w:val="16"/>
                <w:szCs w:val="16"/>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6"/>
                <w:szCs w:val="16"/>
                <w:color w:val="auto"/>
              </w:rPr>
              <w:t>(505.6 )</w:t>
            </w: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Refundable deposit paid to vendor</w:t>
            </w:r>
          </w:p>
        </w:tc>
        <w:tc>
          <w:tcPr>
            <w:tcW w:w="10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(16.6 )</w:t>
            </w: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120"/>
              <w:spacing w:after="0"/>
              <w:rPr>
                <w:sz w:val="20"/>
                <w:szCs w:val="20"/>
                <w:color w:val="auto"/>
              </w:rPr>
            </w:pPr>
            <w:r>
              <w:rPr>
                <w:rFonts w:ascii="Arial" w:cs="Arial" w:eastAsia="Arial" w:hAnsi="Arial"/>
                <w:sz w:val="16"/>
                <w:szCs w:val="16"/>
                <w:color w:val="auto"/>
              </w:rPr>
              <w:t>Return of deposit received from vendor</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r>
      <w:tr>
        <w:trPr>
          <w:trHeight w:val="183"/>
        </w:trPr>
        <w:tc>
          <w:tcPr>
            <w:tcW w:w="76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16.9</w:t>
            </w: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294.0</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Pr>
          <w:p>
            <w:pPr>
              <w:spacing w:after="0"/>
              <w:rPr>
                <w:sz w:val="15"/>
                <w:szCs w:val="15"/>
                <w:color w:val="auto"/>
              </w:rPr>
            </w:pPr>
          </w:p>
        </w:tc>
        <w:tc>
          <w:tcPr>
            <w:tcW w:w="86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(1.9 )</w:t>
            </w:r>
          </w:p>
        </w:tc>
        <w:tc>
          <w:tcPr>
            <w:tcW w:w="6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1.5</w:t>
            </w:r>
          </w:p>
        </w:tc>
        <w:tc>
          <w:tcPr>
            <w:tcW w:w="80" w:type="dxa"/>
            <w:vAlign w:val="bottom"/>
          </w:tcPr>
          <w:p>
            <w:pPr>
              <w:spacing w:after="0"/>
              <w:rPr>
                <w:sz w:val="15"/>
                <w:szCs w:val="15"/>
                <w:color w:val="auto"/>
              </w:rPr>
            </w:pPr>
          </w:p>
        </w:tc>
      </w:tr>
      <w:tr>
        <w:trPr>
          <w:trHeight w:val="183"/>
        </w:trPr>
        <w:tc>
          <w:tcPr>
            <w:tcW w:w="768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Net decrease in cash and cash equivalents</w:t>
            </w:r>
          </w:p>
        </w:tc>
        <w:tc>
          <w:tcPr>
            <w:tcW w:w="10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(146.0</w:t>
            </w:r>
          </w:p>
        </w:tc>
        <w:tc>
          <w:tcPr>
            <w:tcW w:w="26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(7.2</w:t>
            </w:r>
          </w:p>
        </w:tc>
        <w:tc>
          <w:tcPr>
            <w:tcW w:w="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836.3</w:t>
            </w:r>
          </w:p>
        </w:tc>
        <w:tc>
          <w:tcPr>
            <w:tcW w:w="2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763.4</w:t>
            </w:r>
          </w:p>
        </w:tc>
        <w:tc>
          <w:tcPr>
            <w:tcW w:w="80" w:type="dxa"/>
            <w:vAlign w:val="bottom"/>
          </w:tcPr>
          <w:p>
            <w:pPr>
              <w:spacing w:after="0"/>
              <w:rPr>
                <w:sz w:val="16"/>
                <w:szCs w:val="16"/>
                <w:color w:val="auto"/>
              </w:rPr>
            </w:pPr>
          </w:p>
        </w:tc>
      </w:tr>
      <w:tr>
        <w:trPr>
          <w:trHeight w:val="223"/>
        </w:trPr>
        <w:tc>
          <w:tcPr>
            <w:tcW w:w="76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Cash and cash equivalents at end of period</w:t>
            </w:r>
          </w:p>
        </w:tc>
        <w:tc>
          <w:tcPr>
            <w:tcW w:w="1020" w:type="dxa"/>
            <w:vAlign w:val="bottom"/>
            <w:tcBorders>
              <w:bottom w:val="single" w:sz="8" w:color="auto"/>
            </w:tcBorders>
            <w:shd w:val="clear" w:color="auto" w:fill="CFF0FC"/>
          </w:tcPr>
          <w:p>
            <w:pPr>
              <w:jc w:val="right"/>
              <w:ind w:right="839"/>
              <w:spacing w:after="0" w:line="169"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690.3</w:t>
            </w:r>
          </w:p>
        </w:tc>
        <w:tc>
          <w:tcPr>
            <w:tcW w:w="2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4"/>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756.2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70"/>
        </w:trPr>
        <w:tc>
          <w:tcPr>
            <w:tcW w:w="768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paid for taxes</w:t>
            </w: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80" w:type="dxa"/>
            <w:vAlign w:val="bottom"/>
            <w:shd w:val="clear" w:color="auto" w:fill="CFF0FC"/>
          </w:tcPr>
          <w:p>
            <w:pPr>
              <w:spacing w:after="0"/>
              <w:rPr>
                <w:sz w:val="16"/>
                <w:szCs w:val="16"/>
                <w:color w:val="auto"/>
              </w:rPr>
            </w:pPr>
          </w:p>
        </w:tc>
      </w:tr>
      <w:tr>
        <w:trPr>
          <w:trHeight w:val="189"/>
        </w:trPr>
        <w:tc>
          <w:tcPr>
            <w:tcW w:w="7680" w:type="dxa"/>
            <w:vAlign w:val="bottom"/>
          </w:tcPr>
          <w:p>
            <w:pPr>
              <w:ind w:left="120"/>
              <w:spacing w:after="0"/>
              <w:rPr>
                <w:sz w:val="20"/>
                <w:szCs w:val="20"/>
                <w:color w:val="auto"/>
              </w:rPr>
            </w:pPr>
            <w:r>
              <w:rPr>
                <w:rFonts w:ascii="Arial" w:cs="Arial" w:eastAsia="Arial" w:hAnsi="Arial"/>
                <w:sz w:val="16"/>
                <w:szCs w:val="16"/>
                <w:color w:val="auto"/>
              </w:rPr>
              <w:t>Cash refund on taxes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6"/>
                <w:szCs w:val="16"/>
                <w:color w:val="auto"/>
              </w:rPr>
            </w:pP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Non-cash investing and financing activities:</w:t>
            </w: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6"/>
        </w:trPr>
        <w:tc>
          <w:tcPr>
            <w:tcW w:w="7680" w:type="dxa"/>
            <w:vAlign w:val="bottom"/>
          </w:tcPr>
          <w:p>
            <w:pPr>
              <w:ind w:left="120"/>
              <w:spacing w:after="0"/>
              <w:rPr>
                <w:sz w:val="20"/>
                <w:szCs w:val="20"/>
                <w:color w:val="auto"/>
              </w:rPr>
            </w:pPr>
            <w:r>
              <w:rPr>
                <w:rFonts w:ascii="Arial" w:cs="Arial" w:eastAsia="Arial" w:hAnsi="Arial"/>
                <w:sz w:val="16"/>
                <w:szCs w:val="16"/>
                <w:color w:val="auto"/>
              </w:rPr>
              <w:t>Purchases of property and equipment in current liabilities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7"/>
                <w:szCs w:val="17"/>
                <w:color w:val="auto"/>
              </w:rPr>
            </w:pP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-3582035</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-3582035</wp:posOffset>
            </wp:positionV>
            <wp:extent cx="514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-2356485</wp:posOffset>
            </wp:positionV>
            <wp:extent cx="514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-2356485</wp:posOffset>
            </wp:positionV>
            <wp:extent cx="514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-1139190</wp:posOffset>
            </wp:positionV>
            <wp:extent cx="514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-1139190</wp:posOffset>
            </wp:positionV>
            <wp:extent cx="514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-636270</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-619125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-636270</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-619125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line="250"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0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26, 2021.</w:t>
      </w:r>
    </w:p>
    <w:p>
      <w:pPr>
        <w:spacing w:after="0" w:line="180"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 condensed consolidated financial statements include our financial statements and those of our wholly owned subsidiaries. All significant intercompany balances and transactions have been eliminated upon consolidation.</w:t>
      </w:r>
    </w:p>
    <w:p>
      <w:pPr>
        <w:spacing w:after="0" w:line="17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fiscal year is the 52- or 53-week period ending on the last Saturday in June. Our fiscal 2022 and 2021 are 52-week periods ending June 25, 2022 and June 26, 2021, respectively. The fiscal periods presented in this report are 13-week and 39-week periods ended March 26, 2022, and March 27, 2021,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including our expectations regarding the potential impacts on our business of the pandemic related to the novel coronavirus, or COVID-19,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As of March 26, 2022 and June 26, 2021, our cash equivalents included bank deposits with a carrying value of $158.6 million and $509.1 million, respectively, which approximates fair value, and are included in cash and cash equivalents on the condensed consolidated balance sheets.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Our short-term investments have been classified and accounted for as available-for-sale securities. We determine the appropriate classification of our investments at the time of purchase and reevaluate the classification at each balance sheet date. Our available-for-sale securities are carried at fair value, with unrealized gains and losses, net of taxes, reported within accumulated other comprehensive income (loss), or AOCI, in stockholders’ equity. As of March 26, 2022, the total unrealized loss reported within AOCI was $1.3 million. At June 26, 2021, there were no unrealized gains or losses.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 and Foreign Exchange Contracts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immaterial amounts in each of the three and nine months ended March 26, 2022, and the three and nine months ended March 27, 2021.</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condensed consolidated balance sheet. Operating lease liabilities are separated into a current portion, included within accrued liabilities on our condensed consolidated balance sheet, and a non-current portion, included within other long-term liabilities on our condensed consolidated balance sheet. We do not have any finance lease ROU assets or liabilities. ROU assets represent our right to use an underlying asset for the lease term and lease liabilities represent our obligation to make lease payments arising from the lease. We do not obtain and control the right to use the identified asset until the lease commencement date.</w:t>
      </w:r>
    </w:p>
    <w:p>
      <w:pPr>
        <w:spacing w:after="0" w:line="191"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80"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when one of the triggering events outlined in Accounting Standards Codification Topic 842 occurs. Operating lease cost for lease payments is recognized on a straight-line basis over the lease term.</w:t>
      </w:r>
    </w:p>
    <w:p>
      <w:pPr>
        <w:spacing w:after="0" w:line="17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71"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We have elected, for all classes of underlying assets, not to recognize ROU assets and lease liabilities for leases with a term of twelve months or less. Lease cost for short-term leases is recognized on a straight-line basis over the lease term.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08"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We account for revenue using Accounting Standards Codification Topic 606, or ASC 606, Revenue from Contracts with Customers. Our revenue is primarily generated from the sale of application specific integrated circuit chips, or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81" w:lineRule="exact"/>
        <w:rPr>
          <w:sz w:val="20"/>
          <w:szCs w:val="20"/>
          <w:color w:val="auto"/>
        </w:rPr>
      </w:pPr>
    </w:p>
    <w:p>
      <w:pPr>
        <w:jc w:val="both"/>
        <w:ind w:right="40" w:firstLine="509"/>
        <w:spacing w:after="0" w:line="294"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7"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Note 9 Other Accrued Liabilities and Other Long-Term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 w:name="page10"/>
    <w:bookmarkEnd w:id="9"/>
    <w:p>
      <w:pPr>
        <w:ind w:right="400"/>
        <w:spacing w:after="0" w:line="243" w:lineRule="auto"/>
        <w:rPr>
          <w:sz w:val="20"/>
          <w:szCs w:val="20"/>
          <w:color w:val="auto"/>
        </w:rPr>
      </w:pPr>
      <w:r>
        <w:rPr>
          <w:rFonts w:ascii="Arial" w:cs="Arial" w:eastAsia="Arial" w:hAnsi="Arial"/>
          <w:sz w:val="18"/>
          <w:szCs w:val="18"/>
          <w:color w:val="auto"/>
        </w:rPr>
        <w:t>expected to be returned and recorded as prepaid expenses and other current assets. In limited circumstances, we enter into volume-based tiered pricing arrangements and we estimate total unit volumes under such arrangements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88"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bad debt charges recorded on accounts receivable. There were $1.0 million in contract assets recorded on the condensed consolidated balance sheets as of March 26, 2022 and $1.9 million as of June 26, 2021. Contract assets are presented as part of prepaid expenses and other current assets.</w:t>
      </w:r>
    </w:p>
    <w:p>
      <w:pPr>
        <w:spacing w:after="0" w:line="189" w:lineRule="exact"/>
        <w:rPr>
          <w:sz w:val="20"/>
          <w:szCs w:val="20"/>
          <w:color w:val="auto"/>
        </w:rPr>
      </w:pPr>
    </w:p>
    <w:p>
      <w:pPr>
        <w:ind w:right="340" w:firstLine="509"/>
        <w:spacing w:after="0"/>
        <w:rPr>
          <w:sz w:val="20"/>
          <w:szCs w:val="20"/>
          <w:color w:val="auto"/>
        </w:rPr>
      </w:pPr>
      <w:r>
        <w:rPr>
          <w:rFonts w:ascii="Arial" w:cs="Arial" w:eastAsia="Arial" w:hAnsi="Arial"/>
          <w:sz w:val="18"/>
          <w:szCs w:val="18"/>
          <w:color w:val="auto"/>
        </w:rPr>
        <w:t>Contract liabilities and refund liabilities were $29.4 million and $53.2 million, respectively, as of March 26, 2022 and $7.0 million and $36.1 million, respectively, as of June 26, 2021. Both contract liabilities and refund liabilities are presented as customer obligations in Note 9 Balance Sheet Components. During the three and nine months ended March 26, 2022, we recognized $0.2 million and $3.5 million, respectively, in revenue related to contract liabilities, which was outstanding as of the beginning of each such fiscal year. During the three and nine months ended March 27, 2021, we recognized $0.3 million and $1.4 million, respectively, in revenue related to contract liabilities, which was outstanding as of the beginning of each such fiscal year.</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invoice customers for each delivery upon shipment and recognize revenue in accordance with delivery terms. As of March 26, 2022, we did not have any remaining unsatisfied performance obligations with an original duration greater than one year. Accordingly, under the optional exception provided by ASC 606, we do not disclose revenues allocated to future performance obligations of partially completed contracts. We account for shipping and handling costs as fulfillment costs before the customer obtains control of the goods and include these costs in cost of revenue. We account for collection of all taxes on a net basis.</w:t>
      </w:r>
    </w:p>
    <w:p>
      <w:pPr>
        <w:spacing w:after="0" w:line="18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as a selling, general and administrative expense in the condensed consolidated statements of income) are expensed when the product is shipped because such commissions are owed after shipment.</w:t>
      </w:r>
    </w:p>
    <w:p>
      <w:pPr>
        <w:spacing w:after="0" w:line="18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product category is presented in Note 14 Segment, Customers, and Geographical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740" w:type="dxa"/>
            <w:vAlign w:val="bottom"/>
            <w:gridSpan w:val="4"/>
          </w:tcPr>
          <w:p>
            <w:pPr>
              <w:jc w:val="right"/>
              <w:ind w:right="31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color w:val="auto"/>
              </w:rPr>
              <w:t>Nine Months Ended</w:t>
            </w:r>
          </w:p>
        </w:tc>
        <w:tc>
          <w:tcPr>
            <w:tcW w:w="60" w:type="dxa"/>
            <w:vAlign w:val="bottom"/>
          </w:tcPr>
          <w:p>
            <w:pPr>
              <w:spacing w:after="0"/>
              <w:rPr>
                <w:sz w:val="18"/>
                <w:szCs w:val="18"/>
                <w:color w:val="auto"/>
              </w:rPr>
            </w:pPr>
          </w:p>
        </w:tc>
      </w:tr>
      <w:tr>
        <w:trPr>
          <w:trHeight w:val="217"/>
        </w:trPr>
        <w:tc>
          <w:tcPr>
            <w:tcW w:w="51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March</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March</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5160" w:type="dxa"/>
            <w:vAlign w:val="bottom"/>
          </w:tcPr>
          <w:p>
            <w:pPr>
              <w:spacing w:after="0"/>
              <w:rPr>
                <w:sz w:val="17"/>
                <w:szCs w:val="17"/>
                <w:color w:val="auto"/>
              </w:rPr>
            </w:pPr>
          </w:p>
        </w:tc>
        <w:tc>
          <w:tcPr>
            <w:tcW w:w="10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2022</w:t>
            </w:r>
          </w:p>
        </w:tc>
        <w:tc>
          <w:tcPr>
            <w:tcW w:w="440" w:type="dxa"/>
            <w:vAlign w:val="bottom"/>
          </w:tcPr>
          <w:p>
            <w:pPr>
              <w:spacing w:after="0"/>
              <w:rPr>
                <w:sz w:val="17"/>
                <w:szCs w:val="17"/>
                <w:color w:val="auto"/>
              </w:rPr>
            </w:pPr>
          </w:p>
        </w:tc>
        <w:tc>
          <w:tcPr>
            <w:tcW w:w="12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2021</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10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ind w:left="200"/>
              <w:spacing w:after="0" w:line="182" w:lineRule="exact"/>
              <w:rPr>
                <w:sz w:val="20"/>
                <w:szCs w:val="20"/>
                <w:color w:val="auto"/>
              </w:rPr>
            </w:pPr>
            <w:r>
              <w:rPr>
                <w:rFonts w:ascii="Arial" w:cs="Arial" w:eastAsia="Arial" w:hAnsi="Arial"/>
                <w:sz w:val="18"/>
                <w:szCs w:val="18"/>
                <w:color w:val="auto"/>
              </w:rPr>
              <w:t>Net income</w:t>
            </w:r>
          </w:p>
        </w:tc>
        <w:tc>
          <w:tcPr>
            <w:tcW w:w="1040" w:type="dxa"/>
            <w:vAlign w:val="bottom"/>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64.9</w:t>
            </w:r>
          </w:p>
        </w:tc>
        <w:tc>
          <w:tcPr>
            <w:tcW w:w="1260" w:type="dxa"/>
            <w:vAlign w:val="bottom"/>
            <w:gridSpan w:val="2"/>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13.8</w:t>
            </w:r>
          </w:p>
        </w:tc>
        <w:tc>
          <w:tcPr>
            <w:tcW w:w="46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174.6</w:t>
            </w:r>
          </w:p>
        </w:tc>
        <w:tc>
          <w:tcPr>
            <w:tcW w:w="48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60.6</w:t>
            </w:r>
          </w:p>
        </w:tc>
        <w:tc>
          <w:tcPr>
            <w:tcW w:w="6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1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Denominator:</w:t>
            </w: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Shares, basic</w:t>
            </w:r>
          </w:p>
        </w:tc>
        <w:tc>
          <w:tcPr>
            <w:tcW w:w="10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34.7</w:t>
            </w:r>
          </w:p>
        </w:tc>
        <w:tc>
          <w:tcPr>
            <w:tcW w:w="60" w:type="dxa"/>
            <w:vAlign w:val="bottom"/>
          </w:tcPr>
          <w:p>
            <w:pPr>
              <w:spacing w:after="0"/>
              <w:rPr>
                <w:sz w:val="17"/>
                <w:szCs w:val="17"/>
                <w:color w:val="auto"/>
              </w:rPr>
            </w:pPr>
          </w:p>
        </w:tc>
      </w:tr>
      <w:tr>
        <w:trPr>
          <w:trHeight w:val="203"/>
        </w:trPr>
        <w:tc>
          <w:tcPr>
            <w:tcW w:w="51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Effect of dilutive share-based awards and convertible notes</w:t>
            </w:r>
          </w:p>
        </w:tc>
        <w:tc>
          <w:tcPr>
            <w:tcW w:w="10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160" w:type="dxa"/>
            <w:vAlign w:val="bottom"/>
          </w:tcPr>
          <w:p>
            <w:pPr>
              <w:ind w:left="200"/>
              <w:spacing w:after="0" w:line="182" w:lineRule="exact"/>
              <w:rPr>
                <w:sz w:val="20"/>
                <w:szCs w:val="20"/>
                <w:color w:val="auto"/>
              </w:rPr>
            </w:pPr>
            <w:r>
              <w:rPr>
                <w:rFonts w:ascii="Arial" w:cs="Arial" w:eastAsia="Arial" w:hAnsi="Arial"/>
                <w:sz w:val="18"/>
                <w:szCs w:val="18"/>
                <w:color w:val="auto"/>
              </w:rPr>
              <w:t>Shares, diluted</w:t>
            </w: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40.7</w:t>
            </w:r>
          </w:p>
        </w:tc>
        <w:tc>
          <w:tcPr>
            <w:tcW w:w="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40.7</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37.5</w:t>
            </w:r>
          </w:p>
        </w:tc>
        <w:tc>
          <w:tcPr>
            <w:tcW w:w="6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1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per share:</w:t>
            </w: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5160" w:type="dxa"/>
            <w:vAlign w:val="bottom"/>
          </w:tcPr>
          <w:p>
            <w:pPr>
              <w:ind w:left="200"/>
              <w:spacing w:after="0" w:line="182" w:lineRule="exact"/>
              <w:rPr>
                <w:sz w:val="20"/>
                <w:szCs w:val="20"/>
                <w:color w:val="auto"/>
              </w:rPr>
            </w:pPr>
            <w:r>
              <w:rPr>
                <w:rFonts w:ascii="Arial" w:cs="Arial" w:eastAsia="Arial" w:hAnsi="Arial"/>
                <w:sz w:val="18"/>
                <w:szCs w:val="18"/>
                <w:color w:val="auto"/>
              </w:rPr>
              <w:t>Basic</w:t>
            </w:r>
          </w:p>
        </w:tc>
        <w:tc>
          <w:tcPr>
            <w:tcW w:w="1040" w:type="dxa"/>
            <w:vAlign w:val="bottom"/>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1.64</w:t>
            </w:r>
          </w:p>
        </w:tc>
        <w:tc>
          <w:tcPr>
            <w:tcW w:w="1260" w:type="dxa"/>
            <w:vAlign w:val="bottom"/>
            <w:gridSpan w:val="2"/>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0.39</w:t>
            </w:r>
          </w:p>
        </w:tc>
        <w:tc>
          <w:tcPr>
            <w:tcW w:w="46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4.50</w:t>
            </w:r>
          </w:p>
        </w:tc>
        <w:tc>
          <w:tcPr>
            <w:tcW w:w="48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1.75</w:t>
            </w:r>
          </w:p>
        </w:tc>
        <w:tc>
          <w:tcPr>
            <w:tcW w:w="6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1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shd w:val="clear" w:color="auto" w:fill="CFF0FC"/>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1.59</w:t>
            </w: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0.35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4.29</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1.62</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-596265</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-596265</wp:posOffset>
            </wp:positionV>
            <wp:extent cx="431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-596265</wp:posOffset>
            </wp:positionV>
            <wp:extent cx="431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-596265</wp:posOffset>
            </wp:positionV>
            <wp:extent cx="431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$0.001 par value, or the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performance stock units, or PSUs, and our convertible notes, which were settled in August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ind w:right="60" w:firstLine="509"/>
        <w:spacing w:after="0" w:line="241" w:lineRule="auto"/>
        <w:rPr>
          <w:sz w:val="20"/>
          <w:szCs w:val="20"/>
          <w:color w:val="auto"/>
        </w:rPr>
      </w:pPr>
      <w:r>
        <w:rPr>
          <w:rFonts w:ascii="Arial" w:cs="Arial" w:eastAsia="Arial" w:hAnsi="Arial"/>
          <w:sz w:val="18"/>
          <w:szCs w:val="18"/>
          <w:color w:val="auto"/>
        </w:rPr>
        <w:t>Dilutive net income per share amounts do not include the potential weighted average effect of 68,521 and 32,109 shares of common stock related to certain share-based awards that were outstanding during the three months ended March 26, 2022 and March 27, 2021, respectively, and 31,430 and 68,795 shares of common stock related to certain share-based awards that were outstanding during the nine months ended March 26, 2022, and March 27, 2021, respectively. These share-based awards were not included in the computation of diluted net income per share because their effect would have been antidilutive.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carrying values of cash equivalents approximate their fair values due to the short period of time to maturity.</w:t>
      </w:r>
    </w:p>
    <w:p>
      <w:pPr>
        <w:spacing w:after="0" w:line="212"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we currently do not have any bank borrowings, however, when we do have outstanding borrowing the carrying value of our bank debt approximates fair value.</w:t>
      </w:r>
    </w:p>
    <w:p>
      <w:pPr>
        <w:spacing w:after="0" w:line="172"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Our investments, which we hold as available-for-sale, consist primarily of certificates of deposit and corporate and municipal bonds are measured at fair value based on quoted prices for similar assets in active markets, quoted prices for identical assets in inactive markets, or valuations based on models where the significant inputs are observable, such as interest rates or yield curves, or can be corroborated by observable market data. At March 26, 2022, approximately $25.4 million of our investments are expected to mature within one year, and approximately $39.2 million is expected to mature beyond one year. Our total investments are presented as short-term investments in the condensed consolidated balance sheet.</w:t>
      </w:r>
    </w:p>
    <w:p>
      <w:pPr>
        <w:spacing w:after="0" w:line="15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fair value of our $400.0 million principal amount of 4.0% senior notes due 2029 is measured at fair value for disclosure purposes. The fair value of the senior notes as of March 26, 2022 and June 26, 2021 was approximately $375.5 million and $401.5 million, respectively, based on the last trading price of the senior notes for the respective periods.</w:t>
      </w:r>
    </w:p>
    <w:p>
      <w:pPr>
        <w:spacing w:after="0" w:line="182"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At March 26, 2022, our $600.0 million term loan due in December 2028 is a variable rate instrument and the carrying value of the term loan approximates its fair value.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March</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18"/>
                <w:szCs w:val="18"/>
                <w:color w:val="auto"/>
              </w:rPr>
            </w:pPr>
          </w:p>
        </w:tc>
      </w:tr>
      <w:tr>
        <w:trPr>
          <w:trHeight w:val="217"/>
        </w:trPr>
        <w:tc>
          <w:tcPr>
            <w:tcW w:w="466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r>
      <w:tr>
        <w:trPr>
          <w:trHeight w:val="196"/>
        </w:trPr>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Raw materials and work-in-progress</w:t>
            </w:r>
          </w:p>
        </w:tc>
        <w:tc>
          <w:tcPr>
            <w:tcW w:w="1040" w:type="dxa"/>
            <w:vAlign w:val="bottom"/>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76.9</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49.1</w:t>
            </w:r>
          </w:p>
        </w:tc>
        <w:tc>
          <w:tcPr>
            <w:tcW w:w="80" w:type="dxa"/>
            <w:vAlign w:val="bottom"/>
            <w:shd w:val="clear" w:color="auto" w:fill="CFF0FC"/>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w:t>
            </w:r>
          </w:p>
        </w:tc>
        <w:tc>
          <w:tcPr>
            <w:tcW w:w="80" w:type="dxa"/>
            <w:vAlign w:val="bottom"/>
          </w:tcPr>
          <w:p>
            <w:pPr>
              <w:spacing w:after="0"/>
              <w:rPr>
                <w:sz w:val="17"/>
                <w:szCs w:val="17"/>
                <w:color w:val="auto"/>
              </w:rPr>
            </w:pPr>
          </w:p>
        </w:tc>
      </w:tr>
      <w:tr>
        <w:trPr>
          <w:trHeight w:val="236"/>
        </w:trPr>
        <w:tc>
          <w:tcPr>
            <w:tcW w:w="46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145.9</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9"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On August 30, 2021, we entered into an agreement and plan of merger with DSP Group, Inc., or DSPG, to acquire all of the equity of DSPG, a leading global provider of voice and wireless chipset solutions for converged communications, for $22.00 per share in an all-cash transaction, referred to as the DSPG acquisition. The DSPG acquisition closed on December 2, 2021, or the DSPG Closing Date, whereupon we obtained voice and wireless technology and product solutions for converged communications.</w:t>
      </w:r>
    </w:p>
    <w:p>
      <w:pPr>
        <w:spacing w:after="0" w:line="8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DSPG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 w:name="page12"/>
    <w:bookmarkEnd w:id="11"/>
    <w:p>
      <w:pPr>
        <w:ind w:right="160"/>
        <w:spacing w:after="0" w:line="257" w:lineRule="auto"/>
        <w:rPr>
          <w:sz w:val="20"/>
          <w:szCs w:val="20"/>
          <w:color w:val="auto"/>
        </w:rPr>
      </w:pPr>
      <w:r>
        <w:rPr>
          <w:rFonts w:ascii="Arial" w:cs="Arial" w:eastAsia="Arial" w:hAnsi="Arial"/>
          <w:sz w:val="17"/>
          <w:szCs w:val="17"/>
          <w:color w:val="auto"/>
        </w:rPr>
        <w:t>excess of the purchase consideration over the net tangible and identifiable intangible assets acquired and liabilities has been recorded as goodwill. Our estimate of the fair values of the acquired intangible assets at March 26, 2022, is preliminary and subject to change and has been based on established and accepted valuation techniques performed with the assistance of our third-party valuation specialists. The primary areas of the preliminary purchase price allocation that are not yet finalized relate to the fair value of certain tangible assets acquired and liabilities assumed, the valuation of intangible assets acquired and related deferred income taxes. We expect to continue to obtain information for the purpose of determining the fair value of the net assets acquired at the acquisition date throughout the remainder of the measurement period.</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adjusted purchase price paid to acquire DSPG was $543.3 million.</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following table summarizes the preliminary amounts recorded for the estimated fair values of the assets acquired and liabilities assumed as of the DSPG Closing Date (in millions):</w:t>
      </w:r>
    </w:p>
    <w:p>
      <w:pPr>
        <w:sectPr>
          <w:pgSz w:w="11900" w:h="16838" w:orient="portrait"/>
          <w:cols w:equalWidth="0" w:num="1">
            <w:col w:w="11240"/>
          </w:cols>
          <w:pgMar w:left="320" w:top="436" w:right="339" w:bottom="1440" w:gutter="0" w:footer="0" w:header="0"/>
        </w:sectPr>
      </w:pPr>
    </w:p>
    <w:p>
      <w:pPr>
        <w:spacing w:after="0" w:line="26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28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89195" cy="128270"/>
                    </a:xfrm>
                    <a:prstGeom prst="rect">
                      <a:avLst/>
                    </a:prstGeom>
                    <a:noFill/>
                  </pic:spPr>
                </pic:pic>
              </a:graphicData>
            </a:graphic>
          </wp:anchor>
        </w:drawing>
      </w:r>
    </w:p>
    <w:p>
      <w:pPr>
        <w:ind w:left="1700"/>
        <w:spacing w:after="0" w:line="234" w:lineRule="auto"/>
        <w:rPr>
          <w:sz w:val="20"/>
          <w:szCs w:val="20"/>
          <w:color w:val="auto"/>
        </w:rPr>
      </w:pPr>
      <w:r>
        <w:rPr>
          <w:rFonts w:ascii="Arial" w:cs="Arial" w:eastAsia="Arial" w:hAnsi="Arial"/>
          <w:sz w:val="18"/>
          <w:szCs w:val="18"/>
          <w:color w:val="auto"/>
        </w:rPr>
        <w:t>Accounts receivable, net</w:t>
      </w:r>
    </w:p>
    <w:p>
      <w:pPr>
        <w:ind w:left="1700"/>
        <w:spacing w:after="0" w:line="235" w:lineRule="auto"/>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5"/>
          <w:szCs w:val="15"/>
          <w:color w:val="auto"/>
        </w:rPr>
        <w:t>Prepaid expenses and other current assets</w:t>
      </w:r>
    </w:p>
    <w:p>
      <w:pPr>
        <w:spacing w:after="0" w:line="2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4" w:lineRule="auto"/>
        <w:rPr>
          <w:sz w:val="20"/>
          <w:szCs w:val="20"/>
          <w:color w:val="auto"/>
        </w:rPr>
      </w:pPr>
      <w:r>
        <w:rPr>
          <w:rFonts w:ascii="Arial" w:cs="Arial" w:eastAsia="Arial" w:hAnsi="Arial"/>
          <w:sz w:val="18"/>
          <w:szCs w:val="18"/>
          <w:color w:val="auto"/>
        </w:rPr>
        <w:t>Intangible assets</w:t>
      </w:r>
    </w:p>
    <w:p>
      <w:pPr>
        <w:ind w:left="1700"/>
        <w:spacing w:after="0" w:line="235" w:lineRule="auto"/>
        <w:rPr>
          <w:sz w:val="20"/>
          <w:szCs w:val="20"/>
          <w:color w:val="auto"/>
        </w:rPr>
      </w:pPr>
      <w:r>
        <w:rPr>
          <w:rFonts w:ascii="Arial" w:cs="Arial" w:eastAsia="Arial" w:hAnsi="Arial"/>
          <w:sz w:val="18"/>
          <w:szCs w:val="18"/>
          <w:color w:val="auto"/>
        </w:rPr>
        <w:t>Right-of-use lease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5" w:lineRule="auto"/>
        <w:rPr>
          <w:sz w:val="20"/>
          <w:szCs w:val="20"/>
          <w:color w:val="auto"/>
        </w:rPr>
      </w:pPr>
      <w:r>
        <w:rPr>
          <w:rFonts w:ascii="Arial" w:cs="Arial" w:eastAsia="Arial" w:hAnsi="Arial"/>
          <w:sz w:val="18"/>
          <w:szCs w:val="18"/>
          <w:color w:val="auto"/>
        </w:rPr>
        <w:t>Severance pay fund</w:t>
      </w:r>
    </w:p>
    <w:p>
      <w:pPr>
        <w:ind w:left="1700"/>
        <w:spacing w:after="0"/>
        <w:rPr>
          <w:sz w:val="20"/>
          <w:szCs w:val="20"/>
          <w:color w:val="auto"/>
        </w:rPr>
      </w:pPr>
      <w:r>
        <w:rPr>
          <w:rFonts w:ascii="Arial" w:cs="Arial" w:eastAsia="Arial" w:hAnsi="Arial"/>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-3175</wp:posOffset>
            </wp:positionV>
            <wp:extent cx="498919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Non-current other assets</w:t>
      </w:r>
    </w:p>
    <w:p>
      <w:pPr>
        <w:ind w:left="1880"/>
        <w:spacing w:after="0" w:line="234" w:lineRule="auto"/>
        <w:rPr>
          <w:sz w:val="20"/>
          <w:szCs w:val="20"/>
          <w:color w:val="auto"/>
        </w:rPr>
      </w:pPr>
      <w:r>
        <w:rPr>
          <w:rFonts w:ascii="Arial" w:cs="Arial" w:eastAsia="Arial" w:hAnsi="Arial"/>
          <w:sz w:val="18"/>
          <w:szCs w:val="18"/>
          <w:color w:val="auto"/>
        </w:rPr>
        <w:t>Total identifiable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5" w:lineRule="auto"/>
        <w:rPr>
          <w:sz w:val="20"/>
          <w:szCs w:val="20"/>
          <w:color w:val="auto"/>
        </w:rPr>
      </w:pPr>
      <w:r>
        <w:rPr>
          <w:rFonts w:ascii="Arial" w:cs="Arial" w:eastAsia="Arial" w:hAnsi="Arial"/>
          <w:sz w:val="18"/>
          <w:szCs w:val="18"/>
          <w:color w:val="auto"/>
        </w:rPr>
        <w:t>Accounts payable</w:t>
      </w:r>
    </w:p>
    <w:p>
      <w:pPr>
        <w:ind w:left="1700"/>
        <w:spacing w:after="0" w:line="235" w:lineRule="auto"/>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5" w:lineRule="auto"/>
        <w:rPr>
          <w:sz w:val="20"/>
          <w:szCs w:val="20"/>
          <w:color w:val="auto"/>
        </w:rPr>
      </w:pPr>
      <w:r>
        <w:rPr>
          <w:rFonts w:ascii="Arial" w:cs="Arial" w:eastAsia="Arial" w:hAnsi="Arial"/>
          <w:sz w:val="18"/>
          <w:szCs w:val="18"/>
          <w:color w:val="auto"/>
        </w:rPr>
        <w:t>Short-term lease liabilities</w:t>
      </w:r>
    </w:p>
    <w:p>
      <w:pPr>
        <w:ind w:left="1700"/>
        <w:spacing w:after="0" w:line="235" w:lineRule="auto"/>
        <w:rPr>
          <w:sz w:val="20"/>
          <w:szCs w:val="20"/>
          <w:color w:val="auto"/>
        </w:rPr>
      </w:pPr>
      <w:r>
        <w:rPr>
          <w:rFonts w:ascii="Arial" w:cs="Arial" w:eastAsia="Arial" w:hAnsi="Arial"/>
          <w:sz w:val="18"/>
          <w:szCs w:val="18"/>
          <w:color w:val="auto"/>
        </w:rPr>
        <w:t>Long-term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-635</wp:posOffset>
            </wp:positionV>
            <wp:extent cx="498919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89195" cy="128905"/>
                    </a:xfrm>
                    <a:prstGeom prst="rect">
                      <a:avLst/>
                    </a:prstGeom>
                    <a:noFill/>
                  </pic:spPr>
                </pic:pic>
              </a:graphicData>
            </a:graphic>
          </wp:anchor>
        </w:drawing>
      </w:r>
    </w:p>
    <w:p>
      <w:pPr>
        <w:ind w:left="1700"/>
        <w:spacing w:after="0" w:line="234" w:lineRule="auto"/>
        <w:rPr>
          <w:sz w:val="20"/>
          <w:szCs w:val="20"/>
          <w:color w:val="auto"/>
        </w:rPr>
      </w:pPr>
      <w:r>
        <w:rPr>
          <w:rFonts w:ascii="Arial" w:cs="Arial" w:eastAsia="Arial" w:hAnsi="Arial"/>
          <w:sz w:val="18"/>
          <w:szCs w:val="18"/>
          <w:color w:val="auto"/>
        </w:rPr>
        <w:t>Accrued severance</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-3175</wp:posOffset>
            </wp:positionV>
            <wp:extent cx="498919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Other long-term liabilities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Net identifiable assets acquired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641" w:hanging="641"/>
        <w:spacing w:after="0"/>
        <w:tabs>
          <w:tab w:leader="none" w:pos="641" w:val="left"/>
        </w:tabs>
        <w:numPr>
          <w:ilvl w:val="0"/>
          <w:numId w:val="3"/>
        </w:numPr>
        <w:rPr>
          <w:rFonts w:ascii="Arial" w:cs="Arial" w:eastAsia="Arial" w:hAnsi="Arial"/>
          <w:sz w:val="18"/>
          <w:szCs w:val="18"/>
          <w:color w:val="auto"/>
        </w:rPr>
      </w:pPr>
      <w:r>
        <w:rPr>
          <w:rFonts w:ascii="Arial" w:cs="Arial" w:eastAsia="Arial" w:hAnsi="Arial"/>
          <w:sz w:val="18"/>
          <w:szCs w:val="18"/>
          <w:color w:val="auto"/>
        </w:rPr>
        <w:t>40.5</w:t>
      </w:r>
    </w:p>
    <w:p>
      <w:pPr>
        <w:spacing w:after="0" w:line="11" w:lineRule="exact"/>
        <w:rPr>
          <w:rFonts w:ascii="Arial" w:cs="Arial" w:eastAsia="Arial" w:hAnsi="Arial"/>
          <w:sz w:val="18"/>
          <w:szCs w:val="18"/>
          <w:color w:val="auto"/>
        </w:rPr>
      </w:pPr>
    </w:p>
    <w:p>
      <w:pPr>
        <w:ind w:left="641"/>
        <w:spacing w:after="0" w:line="234" w:lineRule="auto"/>
        <w:rPr>
          <w:rFonts w:ascii="Arial" w:cs="Arial" w:eastAsia="Arial" w:hAnsi="Arial"/>
          <w:sz w:val="18"/>
          <w:szCs w:val="18"/>
          <w:color w:val="auto"/>
        </w:rPr>
      </w:pPr>
      <w:r>
        <w:rPr>
          <w:rFonts w:ascii="Arial" w:cs="Arial" w:eastAsia="Arial" w:hAnsi="Arial"/>
          <w:sz w:val="18"/>
          <w:szCs w:val="18"/>
          <w:color w:val="auto"/>
        </w:rPr>
        <w:t>71.9</w:t>
      </w:r>
    </w:p>
    <w:p>
      <w:pPr>
        <w:ind w:left="641"/>
        <w:spacing w:after="0" w:line="234" w:lineRule="auto"/>
        <w:rPr>
          <w:rFonts w:ascii="Arial" w:cs="Arial" w:eastAsia="Arial" w:hAnsi="Arial"/>
          <w:sz w:val="18"/>
          <w:szCs w:val="18"/>
          <w:color w:val="auto"/>
        </w:rPr>
      </w:pPr>
      <w:r>
        <w:rPr>
          <w:rFonts w:ascii="Arial" w:cs="Arial" w:eastAsia="Arial" w:hAnsi="Arial"/>
          <w:sz w:val="18"/>
          <w:szCs w:val="18"/>
          <w:color w:val="auto"/>
        </w:rPr>
        <w:t>12.9</w:t>
      </w:r>
    </w:p>
    <w:p>
      <w:pPr>
        <w:ind w:left="641"/>
        <w:spacing w:after="0" w:line="234" w:lineRule="auto"/>
        <w:rPr>
          <w:rFonts w:ascii="Arial" w:cs="Arial" w:eastAsia="Arial" w:hAnsi="Arial"/>
          <w:sz w:val="18"/>
          <w:szCs w:val="18"/>
          <w:color w:val="auto"/>
        </w:rPr>
      </w:pPr>
      <w:r>
        <w:rPr>
          <w:rFonts w:ascii="Arial" w:cs="Arial" w:eastAsia="Arial" w:hAnsi="Arial"/>
          <w:sz w:val="18"/>
          <w:szCs w:val="18"/>
          <w:color w:val="auto"/>
        </w:rPr>
        <w:t>22.6</w:t>
      </w:r>
    </w:p>
    <w:p>
      <w:pPr>
        <w:ind w:left="741"/>
        <w:spacing w:after="0" w:line="234" w:lineRule="auto"/>
        <w:rPr>
          <w:rFonts w:ascii="Arial" w:cs="Arial" w:eastAsia="Arial" w:hAnsi="Arial"/>
          <w:sz w:val="18"/>
          <w:szCs w:val="18"/>
          <w:color w:val="auto"/>
        </w:rPr>
      </w:pPr>
      <w:r>
        <w:rPr>
          <w:rFonts w:ascii="Arial" w:cs="Arial" w:eastAsia="Arial" w:hAnsi="Arial"/>
          <w:sz w:val="18"/>
          <w:szCs w:val="18"/>
          <w:color w:val="auto"/>
        </w:rPr>
        <w:t>4.0</w:t>
      </w:r>
    </w:p>
    <w:p>
      <w:pPr>
        <w:ind w:left="741"/>
        <w:spacing w:after="0" w:line="234" w:lineRule="auto"/>
        <w:rPr>
          <w:rFonts w:ascii="Arial" w:cs="Arial" w:eastAsia="Arial" w:hAnsi="Arial"/>
          <w:sz w:val="18"/>
          <w:szCs w:val="18"/>
          <w:color w:val="auto"/>
        </w:rPr>
      </w:pPr>
      <w:r>
        <w:rPr>
          <w:rFonts w:ascii="Arial" w:cs="Arial" w:eastAsia="Arial" w:hAnsi="Arial"/>
          <w:sz w:val="18"/>
          <w:szCs w:val="18"/>
          <w:color w:val="auto"/>
        </w:rPr>
        <w:t>5.9</w:t>
      </w:r>
    </w:p>
    <w:p>
      <w:pPr>
        <w:jc w:val="right"/>
        <w:ind w:right="1780"/>
        <w:spacing w:after="0" w:line="235" w:lineRule="auto"/>
        <w:rPr>
          <w:sz w:val="20"/>
          <w:szCs w:val="20"/>
          <w:color w:val="auto"/>
        </w:rPr>
      </w:pPr>
      <w:r>
        <w:rPr>
          <w:rFonts w:ascii="Arial" w:cs="Arial" w:eastAsia="Arial" w:hAnsi="Arial"/>
          <w:sz w:val="18"/>
          <w:szCs w:val="18"/>
          <w:color w:val="auto"/>
        </w:rPr>
        <w:t>199.5</w:t>
      </w:r>
    </w:p>
    <w:p>
      <w:pPr>
        <w:jc w:val="right"/>
        <w:ind w:right="1780"/>
        <w:spacing w:after="0" w:line="235" w:lineRule="auto"/>
        <w:rPr>
          <w:sz w:val="20"/>
          <w:szCs w:val="20"/>
          <w:color w:val="auto"/>
        </w:rPr>
      </w:pPr>
      <w:r>
        <w:rPr>
          <w:rFonts w:ascii="Arial" w:cs="Arial" w:eastAsia="Arial" w:hAnsi="Arial"/>
          <w:sz w:val="18"/>
          <w:szCs w:val="18"/>
          <w:color w:val="auto"/>
        </w:rPr>
        <w:t>11.2</w:t>
      </w:r>
    </w:p>
    <w:p>
      <w:pPr>
        <w:jc w:val="right"/>
        <w:ind w:right="1780"/>
        <w:spacing w:after="0" w:line="235" w:lineRule="auto"/>
        <w:rPr>
          <w:sz w:val="20"/>
          <w:szCs w:val="20"/>
          <w:color w:val="auto"/>
        </w:rPr>
      </w:pPr>
      <w:r>
        <w:rPr>
          <w:rFonts w:ascii="Arial" w:cs="Arial" w:eastAsia="Arial" w:hAnsi="Arial"/>
          <w:sz w:val="18"/>
          <w:szCs w:val="18"/>
          <w:color w:val="auto"/>
        </w:rPr>
        <w:t>16.2</w:t>
      </w:r>
    </w:p>
    <w:p>
      <w:pPr>
        <w:jc w:val="right"/>
        <w:ind w:right="1780"/>
        <w:spacing w:after="0" w:line="235" w:lineRule="auto"/>
        <w:rPr>
          <w:sz w:val="20"/>
          <w:szCs w:val="20"/>
          <w:color w:val="auto"/>
        </w:rPr>
      </w:pPr>
      <w:r>
        <w:rPr>
          <w:rFonts w:ascii="Arial" w:cs="Arial" w:eastAsia="Arial" w:hAnsi="Arial"/>
          <w:sz w:val="18"/>
          <w:szCs w:val="18"/>
          <w:color w:val="auto"/>
        </w:rPr>
        <w:t>6.4</w:t>
      </w:r>
    </w:p>
    <w:p>
      <w:pPr>
        <w:jc w:val="right"/>
        <w:ind w:right="1780"/>
        <w:spacing w:after="0"/>
        <w:rPr>
          <w:sz w:val="20"/>
          <w:szCs w:val="20"/>
          <w:color w:val="auto"/>
        </w:rPr>
      </w:pPr>
      <w:r>
        <w:rPr>
          <w:rFonts w:ascii="Arial" w:cs="Arial" w:eastAsia="Arial" w:hAnsi="Arial"/>
          <w:sz w:val="18"/>
          <w:szCs w:val="18"/>
          <w:color w:val="auto"/>
        </w:rPr>
        <w:t>2.3</w:t>
      </w:r>
    </w:p>
    <w:p>
      <w:pPr>
        <w:spacing w:after="0" w:line="5"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393.4</w:t>
      </w:r>
    </w:p>
    <w:p>
      <w:pPr>
        <w:jc w:val="right"/>
        <w:ind w:right="1700"/>
        <w:spacing w:after="0" w:line="234" w:lineRule="auto"/>
        <w:rPr>
          <w:sz w:val="20"/>
          <w:szCs w:val="20"/>
          <w:color w:val="auto"/>
        </w:rPr>
      </w:pPr>
      <w:r>
        <w:rPr>
          <w:rFonts w:ascii="Arial" w:cs="Arial" w:eastAsia="Arial" w:hAnsi="Arial"/>
          <w:sz w:val="18"/>
          <w:szCs w:val="18"/>
          <w:color w:val="auto"/>
        </w:rPr>
        <w:t>(6.7 )</w:t>
      </w:r>
    </w:p>
    <w:p>
      <w:pPr>
        <w:jc w:val="right"/>
        <w:ind w:right="1700"/>
        <w:spacing w:after="0" w:line="235" w:lineRule="auto"/>
        <w:rPr>
          <w:sz w:val="20"/>
          <w:szCs w:val="20"/>
          <w:color w:val="auto"/>
        </w:rPr>
      </w:pPr>
      <w:r>
        <w:rPr>
          <w:rFonts w:ascii="Arial" w:cs="Arial" w:eastAsia="Arial" w:hAnsi="Arial"/>
          <w:sz w:val="18"/>
          <w:szCs w:val="18"/>
          <w:color w:val="auto"/>
        </w:rPr>
        <w:t>(19.0 )</w:t>
      </w:r>
    </w:p>
    <w:p>
      <w:pPr>
        <w:jc w:val="right"/>
        <w:ind w:right="1700"/>
        <w:spacing w:after="0" w:line="235" w:lineRule="auto"/>
        <w:rPr>
          <w:sz w:val="20"/>
          <w:szCs w:val="20"/>
          <w:color w:val="auto"/>
        </w:rPr>
      </w:pPr>
      <w:r>
        <w:rPr>
          <w:rFonts w:ascii="Arial" w:cs="Arial" w:eastAsia="Arial" w:hAnsi="Arial"/>
          <w:sz w:val="18"/>
          <w:szCs w:val="18"/>
          <w:color w:val="auto"/>
        </w:rPr>
        <w:t>(1.7 )</w:t>
      </w:r>
    </w:p>
    <w:p>
      <w:pPr>
        <w:jc w:val="right"/>
        <w:ind w:right="1700"/>
        <w:spacing w:after="0" w:line="235" w:lineRule="auto"/>
        <w:rPr>
          <w:sz w:val="20"/>
          <w:szCs w:val="20"/>
          <w:color w:val="auto"/>
        </w:rPr>
      </w:pPr>
      <w:r>
        <w:rPr>
          <w:rFonts w:ascii="Arial" w:cs="Arial" w:eastAsia="Arial" w:hAnsi="Arial"/>
          <w:sz w:val="18"/>
          <w:szCs w:val="18"/>
          <w:color w:val="auto"/>
        </w:rPr>
        <w:t>(9.4 )</w:t>
      </w:r>
    </w:p>
    <w:p>
      <w:pPr>
        <w:jc w:val="right"/>
        <w:ind w:right="1700"/>
        <w:spacing w:after="0" w:line="235" w:lineRule="auto"/>
        <w:rPr>
          <w:sz w:val="20"/>
          <w:szCs w:val="20"/>
          <w:color w:val="auto"/>
        </w:rPr>
      </w:pPr>
      <w:r>
        <w:rPr>
          <w:rFonts w:ascii="Arial" w:cs="Arial" w:eastAsia="Arial" w:hAnsi="Arial"/>
          <w:sz w:val="18"/>
          <w:szCs w:val="18"/>
          <w:color w:val="auto"/>
        </w:rPr>
        <w:t>(16.4 )</w:t>
      </w:r>
    </w:p>
    <w:p>
      <w:pPr>
        <w:jc w:val="right"/>
        <w:ind w:right="1700"/>
        <w:spacing w:after="0" w:line="234" w:lineRule="auto"/>
        <w:rPr>
          <w:sz w:val="20"/>
          <w:szCs w:val="20"/>
          <w:color w:val="auto"/>
        </w:rPr>
      </w:pPr>
      <w:r>
        <w:rPr>
          <w:rFonts w:ascii="Arial" w:cs="Arial" w:eastAsia="Arial" w:hAnsi="Arial"/>
          <w:sz w:val="18"/>
          <w:szCs w:val="18"/>
          <w:color w:val="auto"/>
        </w:rPr>
        <w:t>(38.1 )</w:t>
      </w:r>
    </w:p>
    <w:p>
      <w:pPr>
        <w:spacing w:after="0" w:line="1"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(3.3 )</w:t>
      </w:r>
    </w:p>
    <w:p>
      <w:pPr>
        <w:spacing w:after="0" w:line="7" w:lineRule="exact"/>
        <w:rPr>
          <w:sz w:val="20"/>
          <w:szCs w:val="20"/>
          <w:color w:val="auto"/>
        </w:rPr>
      </w:pPr>
    </w:p>
    <w:p>
      <w:pPr>
        <w:ind w:left="581"/>
        <w:spacing w:after="0"/>
        <w:rPr>
          <w:sz w:val="20"/>
          <w:szCs w:val="20"/>
          <w:color w:val="auto"/>
        </w:rPr>
      </w:pPr>
      <w:r>
        <w:rPr>
          <w:rFonts w:ascii="Arial" w:cs="Arial" w:eastAsia="Arial" w:hAnsi="Arial"/>
          <w:sz w:val="15"/>
          <w:szCs w:val="15"/>
          <w:color w:val="auto"/>
        </w:rPr>
        <w:t>(94.6 )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wp:posOffset>
            </wp:positionV>
            <wp:extent cx="6254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4" w:lineRule="exact"/>
        <w:rPr>
          <w:sz w:val="20"/>
          <w:szCs w:val="20"/>
          <w:color w:val="auto"/>
        </w:rPr>
      </w:pPr>
    </w:p>
    <w:p>
      <w:pPr>
        <w:ind w:left="561"/>
        <w:spacing w:after="0"/>
        <w:rPr>
          <w:sz w:val="20"/>
          <w:szCs w:val="20"/>
          <w:color w:val="auto"/>
        </w:rPr>
      </w:pPr>
      <w:r>
        <w:rPr>
          <w:rFonts w:ascii="Arial" w:cs="Arial" w:eastAsia="Arial" w:hAnsi="Arial"/>
          <w:sz w:val="18"/>
          <w:szCs w:val="18"/>
          <w:color w:val="auto"/>
        </w:rPr>
        <w:t>298.8</w:t>
      </w:r>
    </w:p>
    <w:p>
      <w:pPr>
        <w:spacing w:after="0" w:line="9" w:lineRule="exact"/>
        <w:rPr>
          <w:sz w:val="20"/>
          <w:szCs w:val="20"/>
          <w:color w:val="auto"/>
        </w:rPr>
      </w:pPr>
    </w:p>
    <w:p>
      <w:pPr>
        <w:ind w:left="561"/>
        <w:spacing w:after="0"/>
        <w:rPr>
          <w:sz w:val="20"/>
          <w:szCs w:val="20"/>
          <w:color w:val="auto"/>
        </w:rPr>
      </w:pPr>
      <w:r>
        <w:rPr>
          <w:rFonts w:ascii="Arial" w:cs="Arial" w:eastAsia="Arial" w:hAnsi="Arial"/>
          <w:sz w:val="18"/>
          <w:szCs w:val="18"/>
          <w:color w:val="auto"/>
        </w:rPr>
        <w:t>244.5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6254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ind w:left="561" w:hanging="561"/>
        <w:spacing w:after="0"/>
        <w:tabs>
          <w:tab w:leader="none" w:pos="561" w:val="left"/>
        </w:tabs>
        <w:numPr>
          <w:ilvl w:val="0"/>
          <w:numId w:val="4"/>
        </w:numPr>
        <w:rPr>
          <w:rFonts w:ascii="Arial" w:cs="Arial" w:eastAsia="Arial" w:hAnsi="Arial"/>
          <w:sz w:val="18"/>
          <w:szCs w:val="18"/>
          <w:color w:val="auto"/>
        </w:rPr>
      </w:pPr>
      <w:r>
        <w:rPr>
          <w:rFonts w:ascii="Arial" w:cs="Arial" w:eastAsia="Arial" w:hAnsi="Arial"/>
          <w:sz w:val="18"/>
          <w:szCs w:val="18"/>
          <w:color w:val="auto"/>
        </w:rPr>
        <w:t>543.3</w:t>
      </w:r>
    </w:p>
    <w:p>
      <w:pPr>
        <w:spacing w:after="0" w:line="226" w:lineRule="exact"/>
        <w:rPr>
          <w:sz w:val="20"/>
          <w:szCs w:val="20"/>
          <w:color w:val="auto"/>
        </w:rPr>
      </w:pPr>
    </w:p>
    <w:p>
      <w:pPr>
        <w:sectPr>
          <w:pgSz w:w="11900" w:h="16838" w:orient="portrait"/>
          <w:cols w:equalWidth="0" w:num="2">
            <w:col w:w="7779" w:space="720"/>
            <w:col w:w="2741"/>
          </w:cols>
          <w:pgMar w:left="320" w:top="436" w:right="339" w:bottom="1440" w:gutter="0" w:footer="0" w:header="0"/>
          <w:type w:val="continuous"/>
        </w:sectPr>
      </w:pPr>
    </w:p>
    <w:p>
      <w:pPr>
        <w:spacing w:after="0" w:line="106"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During the three months ended March 26, 2022, the Company recorded measurement period adjustments of $12.1 million to goodwill consisting of increases in non-current deferred tax assets of $6.1 million, $0.6 million in other accrued liabilities and $7.6 million relating to the acceleration of certain equity awards, offset by a decrease of $1.0 million in acquired in-process research and development.</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preliminary estimated fair value of the intangible assets as of the DSPG Closing Date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Estimated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Estimated Fair</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0"/>
              </w:rPr>
              <w:t>Average Useful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Lives in Years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technology</w:t>
            </w:r>
          </w:p>
        </w:tc>
        <w:tc>
          <w:tcPr>
            <w:tcW w:w="2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107.5</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17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9"/>
              </w:rPr>
              <w:t>Customer contracts and related relationships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 process research and development</w:t>
            </w:r>
          </w:p>
        </w:tc>
        <w:tc>
          <w:tcPr>
            <w:tcW w:w="1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N/A</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17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Backlog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26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700" w:type="dxa"/>
            <w:vAlign w:val="bottom"/>
          </w:tcPr>
          <w:p>
            <w:pPr>
              <w:spacing w:after="0"/>
              <w:rPr>
                <w:sz w:val="24"/>
                <w:szCs w:val="24"/>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w w:val="98"/>
              </w:rPr>
              <w:t>Estimated fair value of acquired intangibles</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199.5</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vMerge w:val="restart"/>
          </w:tcPr>
          <w:p>
            <w:pPr>
              <w:jc w:val="right"/>
              <w:ind w:right="830"/>
              <w:spacing w:after="0"/>
              <w:rPr>
                <w:sz w:val="20"/>
                <w:szCs w:val="20"/>
                <w:color w:val="auto"/>
              </w:rPr>
            </w:pPr>
            <w:r>
              <w:rPr>
                <w:rFonts w:ascii="Arial" w:cs="Arial" w:eastAsia="Arial" w:hAnsi="Arial"/>
                <w:sz w:val="18"/>
                <w:szCs w:val="18"/>
                <w:color w:val="auto"/>
              </w:rPr>
              <w:t>12</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-845185</wp:posOffset>
            </wp:positionV>
            <wp:extent cx="431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2" w:name="page13"/>
    <w:bookmarkEnd w:id="12"/>
    <w:p>
      <w:pPr>
        <w:ind w:right="60" w:firstLine="509"/>
        <w:spacing w:after="0" w:line="274" w:lineRule="auto"/>
        <w:rPr>
          <w:sz w:val="20"/>
          <w:szCs w:val="20"/>
          <w:color w:val="auto"/>
        </w:rPr>
      </w:pPr>
      <w:r>
        <w:rPr>
          <w:rFonts w:ascii="Arial" w:cs="Arial" w:eastAsia="Arial" w:hAnsi="Arial"/>
          <w:sz w:val="16"/>
          <w:szCs w:val="16"/>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4% to 18%.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In-process research and development consists of advanced semiconductor telecommunications products for the Internet of Things, or IoT, market.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complete the in-process research and development project in calendar year 2023.</w:t>
      </w:r>
    </w:p>
    <w:p>
      <w:pPr>
        <w:spacing w:after="0" w:line="88"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value of goodwill reflects the anticipated synergies of the combined operations and workforce of DSPG as of the DSPG Closing Date. As of March 26, 2022, none of the goodwill is expected to be deductible for income tax purposes.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Prior to the DSPG acquisition, we did not have an existing relationship or transactions with DSPG.</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condensed consolidated financial statements include approximately $44.6 million of revenue from DSPG Closing Date through March 26, 2022. It is impracticable to determine the effect on net income attributable to DSPG as we initiated the integration of a substantial portion of DSPG into our ongoing operations during the second quarter of fiscal 2022, which was completed in the subsequent quarter.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Acquired Intangibles and Goodwill</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following table summarizes the life, the gross carrying value and the related accumulated amortization of our acquired intangible assets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color w:val="auto"/>
              </w:rPr>
              <w:t>March 2022</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color w:val="auto"/>
              </w:rPr>
              <w:t>June 2021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7"/>
        </w:trPr>
        <w:tc>
          <w:tcPr>
            <w:tcW w:w="2740" w:type="dxa"/>
            <w:vAlign w:val="bottom"/>
          </w:tcPr>
          <w:p>
            <w:pPr>
              <w:spacing w:after="0"/>
              <w:rPr>
                <w:sz w:val="11"/>
                <w:szCs w:val="11"/>
                <w:color w:val="auto"/>
              </w:rPr>
            </w:pPr>
          </w:p>
        </w:tc>
        <w:tc>
          <w:tcPr>
            <w:tcW w:w="1180" w:type="dxa"/>
            <w:vAlign w:val="bottom"/>
            <w:gridSpan w:val="2"/>
          </w:tcPr>
          <w:p>
            <w:pPr>
              <w:jc w:val="center"/>
              <w:ind w:right="220"/>
              <w:spacing w:after="0" w:line="137" w:lineRule="exact"/>
              <w:rPr>
                <w:sz w:val="20"/>
                <w:szCs w:val="20"/>
                <w:color w:val="auto"/>
              </w:rPr>
            </w:pPr>
            <w:r>
              <w:rPr>
                <w:rFonts w:ascii="Arial" w:cs="Arial" w:eastAsia="Arial" w:hAnsi="Arial"/>
                <w:sz w:val="14"/>
                <w:szCs w:val="14"/>
                <w:color w:val="auto"/>
                <w:w w:val="94"/>
              </w:rPr>
              <w:t>Weighted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27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Gross Carrying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w w:val="98"/>
              </w:rPr>
              <w:t>Accumulated</w:t>
            </w:r>
          </w:p>
        </w:tc>
        <w:tc>
          <w:tcPr>
            <w:tcW w:w="100" w:type="dxa"/>
            <w:vAlign w:val="bottom"/>
          </w:tcPr>
          <w:p>
            <w:pPr>
              <w:spacing w:after="0"/>
              <w:rPr>
                <w:sz w:val="12"/>
                <w:szCs w:val="12"/>
                <w:color w:val="auto"/>
              </w:rPr>
            </w:pPr>
          </w:p>
        </w:tc>
        <w:tc>
          <w:tcPr>
            <w:tcW w:w="920" w:type="dxa"/>
            <w:vAlign w:val="bottom"/>
          </w:tcPr>
          <w:p>
            <w:pPr>
              <w:jc w:val="right"/>
              <w:ind w:right="60"/>
              <w:spacing w:after="0" w:line="149" w:lineRule="exact"/>
              <w:rPr>
                <w:sz w:val="20"/>
                <w:szCs w:val="20"/>
                <w:color w:val="auto"/>
              </w:rPr>
            </w:pPr>
            <w:r>
              <w:rPr>
                <w:rFonts w:ascii="Arial" w:cs="Arial" w:eastAsia="Arial" w:hAnsi="Arial"/>
                <w:sz w:val="14"/>
                <w:szCs w:val="14"/>
                <w:color w:val="auto"/>
                <w:w w:val="96"/>
              </w:rPr>
              <w:t>Net Carrying</w:t>
            </w:r>
          </w:p>
        </w:tc>
        <w:tc>
          <w:tcPr>
            <w:tcW w:w="1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Gross Carrying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279"/>
              <w:spacing w:after="0" w:line="149" w:lineRule="exact"/>
              <w:rPr>
                <w:sz w:val="20"/>
                <w:szCs w:val="20"/>
                <w:color w:val="auto"/>
              </w:rPr>
            </w:pPr>
            <w:r>
              <w:rPr>
                <w:rFonts w:ascii="Arial" w:cs="Arial" w:eastAsia="Arial" w:hAnsi="Arial"/>
                <w:sz w:val="14"/>
                <w:szCs w:val="14"/>
                <w:color w:val="auto"/>
                <w:w w:val="98"/>
              </w:rPr>
              <w:t>Accumulated</w:t>
            </w:r>
          </w:p>
        </w:tc>
        <w:tc>
          <w:tcPr>
            <w:tcW w:w="120" w:type="dxa"/>
            <w:vAlign w:val="bottom"/>
          </w:tcPr>
          <w:p>
            <w:pPr>
              <w:spacing w:after="0"/>
              <w:rPr>
                <w:sz w:val="12"/>
                <w:szCs w:val="12"/>
                <w:color w:val="auto"/>
              </w:rPr>
            </w:pPr>
          </w:p>
        </w:tc>
        <w:tc>
          <w:tcPr>
            <w:tcW w:w="900" w:type="dxa"/>
            <w:vAlign w:val="bottom"/>
          </w:tcPr>
          <w:p>
            <w:pPr>
              <w:jc w:val="right"/>
              <w:ind w:right="60"/>
              <w:spacing w:after="0" w:line="149" w:lineRule="exact"/>
              <w:rPr>
                <w:sz w:val="20"/>
                <w:szCs w:val="20"/>
                <w:color w:val="auto"/>
              </w:rPr>
            </w:pPr>
            <w:r>
              <w:rPr>
                <w:rFonts w:ascii="Arial" w:cs="Arial" w:eastAsia="Arial" w:hAnsi="Arial"/>
                <w:sz w:val="14"/>
                <w:szCs w:val="14"/>
                <w:color w:val="auto"/>
                <w:w w:val="94"/>
              </w:rPr>
              <w:t>Net Carrying</w:t>
            </w:r>
          </w:p>
        </w:tc>
        <w:tc>
          <w:tcPr>
            <w:tcW w:w="60" w:type="dxa"/>
            <w:vAlign w:val="bottom"/>
          </w:tcPr>
          <w:p>
            <w:pPr>
              <w:spacing w:after="0"/>
              <w:rPr>
                <w:sz w:val="12"/>
                <w:szCs w:val="12"/>
                <w:color w:val="auto"/>
              </w:rPr>
            </w:pPr>
          </w:p>
        </w:tc>
      </w:tr>
      <w:tr>
        <w:trPr>
          <w:trHeight w:val="181"/>
        </w:trPr>
        <w:tc>
          <w:tcPr>
            <w:tcW w:w="274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Life in Years</w:t>
            </w:r>
          </w:p>
        </w:tc>
        <w:tc>
          <w:tcPr>
            <w:tcW w:w="220" w:type="dxa"/>
            <w:vAlign w:val="bottom"/>
          </w:tcPr>
          <w:p>
            <w:pPr>
              <w:spacing w:after="0"/>
              <w:rPr>
                <w:sz w:val="15"/>
                <w:szCs w:val="15"/>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99"/>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5"/>
                <w:szCs w:val="15"/>
                <w:color w:val="auto"/>
              </w:rPr>
            </w:pPr>
          </w:p>
        </w:tc>
        <w:tc>
          <w:tcPr>
            <w:tcW w:w="920" w:type="dxa"/>
            <w:vAlign w:val="bottom"/>
          </w:tcPr>
          <w:p>
            <w:pPr>
              <w:jc w:val="right"/>
              <w:ind w:right="260"/>
              <w:spacing w:after="0"/>
              <w:rPr>
                <w:sz w:val="20"/>
                <w:szCs w:val="20"/>
                <w:color w:val="auto"/>
              </w:rPr>
            </w:pPr>
            <w:r>
              <w:rPr>
                <w:rFonts w:ascii="Arial" w:cs="Arial" w:eastAsia="Arial" w:hAnsi="Arial"/>
                <w:sz w:val="14"/>
                <w:szCs w:val="14"/>
                <w:color w:val="auto"/>
              </w:rPr>
              <w:t>Value</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60"/>
              <w:spacing w:after="0"/>
              <w:rPr>
                <w:sz w:val="20"/>
                <w:szCs w:val="20"/>
                <w:color w:val="auto"/>
              </w:rPr>
            </w:pPr>
            <w:r>
              <w:rPr>
                <w:rFonts w:ascii="Arial" w:cs="Arial" w:eastAsia="Arial" w:hAnsi="Arial"/>
                <w:sz w:val="14"/>
                <w:szCs w:val="14"/>
                <w:color w:val="auto"/>
              </w:rPr>
              <w:t>Value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79"/>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5"/>
                <w:szCs w:val="15"/>
                <w:color w:val="auto"/>
              </w:rPr>
            </w:pPr>
          </w:p>
        </w:tc>
        <w:tc>
          <w:tcPr>
            <w:tcW w:w="900" w:type="dxa"/>
            <w:vAlign w:val="bottom"/>
          </w:tcPr>
          <w:p>
            <w:pPr>
              <w:jc w:val="right"/>
              <w:ind w:right="260"/>
              <w:spacing w:after="0"/>
              <w:rPr>
                <w:sz w:val="20"/>
                <w:szCs w:val="20"/>
                <w:color w:val="auto"/>
              </w:rPr>
            </w:pPr>
            <w:r>
              <w:rPr>
                <w:rFonts w:ascii="Arial" w:cs="Arial" w:eastAsia="Arial" w:hAnsi="Arial"/>
                <w:sz w:val="14"/>
                <w:szCs w:val="14"/>
                <w:color w:val="auto"/>
              </w:rPr>
              <w:t>Value</w:t>
            </w:r>
          </w:p>
        </w:tc>
        <w:tc>
          <w:tcPr>
            <w:tcW w:w="60" w:type="dxa"/>
            <w:vAlign w:val="bottom"/>
          </w:tcPr>
          <w:p>
            <w:pPr>
              <w:spacing w:after="0"/>
              <w:rPr>
                <w:sz w:val="15"/>
                <w:szCs w:val="15"/>
                <w:color w:val="auto"/>
              </w:rPr>
            </w:pPr>
          </w:p>
        </w:tc>
      </w:tr>
      <w:tr>
        <w:trPr>
          <w:trHeight w:val="183"/>
        </w:trPr>
        <w:tc>
          <w:tcPr>
            <w:tcW w:w="2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Audio and video technology</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5.4</w:t>
            </w:r>
          </w:p>
        </w:tc>
        <w:tc>
          <w:tcPr>
            <w:tcW w:w="18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189.6</w:t>
            </w: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(96.7</w:t>
            </w:r>
          </w:p>
        </w:tc>
        <w:tc>
          <w:tcPr>
            <w:tcW w:w="2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92.9</w:t>
            </w:r>
          </w:p>
        </w:tc>
        <w:tc>
          <w:tcPr>
            <w:tcW w:w="16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138.6</w:t>
            </w:r>
          </w:p>
        </w:tc>
        <w:tc>
          <w:tcPr>
            <w:tcW w:w="16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(97.6</w:t>
            </w:r>
          </w:p>
        </w:tc>
        <w:tc>
          <w:tcPr>
            <w:tcW w:w="1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41.0</w:t>
            </w:r>
          </w:p>
        </w:tc>
        <w:tc>
          <w:tcPr>
            <w:tcW w:w="60" w:type="dxa"/>
            <w:vAlign w:val="bottom"/>
            <w:shd w:val="clear" w:color="auto" w:fill="CFF0FC"/>
          </w:tcPr>
          <w:p>
            <w:pPr>
              <w:spacing w:after="0"/>
              <w:rPr>
                <w:sz w:val="15"/>
                <w:szCs w:val="15"/>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(91.4 )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(63.8 )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61.7</w:t>
            </w:r>
          </w:p>
        </w:tc>
        <w:tc>
          <w:tcPr>
            <w:tcW w:w="60" w:type="dxa"/>
            <w:vAlign w:val="bottom"/>
          </w:tcPr>
          <w:p>
            <w:pPr>
              <w:spacing w:after="0"/>
              <w:rPr>
                <w:sz w:val="16"/>
                <w:szCs w:val="16"/>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Wireless connectivity technology</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(27.9 )</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(14.2 )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w:t>
            </w:r>
          </w:p>
        </w:tc>
        <w:tc>
          <w:tcPr>
            <w:tcW w:w="60" w:type="dxa"/>
            <w:vAlign w:val="bottom"/>
            <w:shd w:val="clear" w:color="auto" w:fill="CFF0FC"/>
          </w:tcPr>
          <w:p>
            <w:pPr>
              <w:spacing w:after="0"/>
              <w:rPr>
                <w:sz w:val="16"/>
                <w:szCs w:val="16"/>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Video interface technology</w:t>
            </w: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(45.5 )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(25.1 )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56.9</w:t>
            </w:r>
          </w:p>
        </w:tc>
        <w:tc>
          <w:tcPr>
            <w:tcW w:w="60" w:type="dxa"/>
            <w:vAlign w:val="bottom"/>
          </w:tcPr>
          <w:p>
            <w:pPr>
              <w:spacing w:after="0"/>
              <w:rPr>
                <w:sz w:val="16"/>
                <w:szCs w:val="16"/>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Display driver technology</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(19.6 )</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(17.5 )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FF0FC"/>
          </w:tcPr>
          <w:p>
            <w:pPr>
              <w:spacing w:after="0"/>
              <w:rPr>
                <w:sz w:val="16"/>
                <w:szCs w:val="16"/>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Backlog</w:t>
            </w: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(12.0 )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Licensed technology and other</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(6.9 )</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(8.1 )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60" w:type="dxa"/>
            <w:vAlign w:val="bottom"/>
            <w:shd w:val="clear" w:color="auto" w:fill="CFF0FC"/>
          </w:tcPr>
          <w:p>
            <w:pPr>
              <w:spacing w:after="0"/>
              <w:rPr>
                <w:sz w:val="16"/>
                <w:szCs w:val="16"/>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Patents</w:t>
            </w:r>
          </w:p>
        </w:tc>
        <w:tc>
          <w:tcPr>
            <w:tcW w:w="1000" w:type="dxa"/>
            <w:vAlign w:val="bottom"/>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6"/>
                <w:szCs w:val="16"/>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Tradename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CFF0FC"/>
          </w:tcPr>
          <w:p>
            <w:pPr>
              <w:spacing w:after="0"/>
              <w:rPr>
                <w:sz w:val="16"/>
                <w:szCs w:val="16"/>
                <w:color w:val="auto"/>
              </w:rPr>
            </w:pP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In process research and development</w:t>
            </w: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Not applicable</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60" w:type="dxa"/>
            <w:vAlign w:val="bottom"/>
          </w:tcPr>
          <w:p>
            <w:pPr>
              <w:spacing w:after="0"/>
              <w:rPr>
                <w:sz w:val="16"/>
                <w:szCs w:val="16"/>
                <w:color w:val="auto"/>
              </w:rPr>
            </w:pPr>
          </w:p>
        </w:tc>
      </w:tr>
      <w:tr>
        <w:trPr>
          <w:trHeight w:val="223"/>
        </w:trPr>
        <w:tc>
          <w:tcPr>
            <w:tcW w:w="2740" w:type="dxa"/>
            <w:vAlign w:val="bottom"/>
            <w:tcBorders>
              <w:bottom w:val="single" w:sz="8" w:color="CFF0FC"/>
            </w:tcBorders>
            <w:shd w:val="clear" w:color="auto" w:fill="CFF0FC"/>
          </w:tcPr>
          <w:p>
            <w:pPr>
              <w:ind w:left="200"/>
              <w:spacing w:after="0" w:line="169" w:lineRule="exact"/>
              <w:rPr>
                <w:sz w:val="20"/>
                <w:szCs w:val="20"/>
                <w:color w:val="auto"/>
              </w:rPr>
            </w:pPr>
            <w:r>
              <w:rPr>
                <w:rFonts w:ascii="Arial" w:cs="Arial" w:eastAsia="Arial" w:hAnsi="Arial"/>
                <w:sz w:val="16"/>
                <w:szCs w:val="16"/>
                <w:color w:val="auto"/>
              </w:rPr>
              <w:t>Acquired intangibles totals</w:t>
            </w:r>
          </w:p>
        </w:tc>
        <w:tc>
          <w:tcPr>
            <w:tcW w:w="100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4.8</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707.6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(298.1</w:t>
            </w:r>
          </w:p>
        </w:tc>
        <w:tc>
          <w:tcPr>
            <w:tcW w:w="200" w:type="dxa"/>
            <w:vAlign w:val="bottom"/>
            <w:tcBorders>
              <w:bottom w:val="single" w:sz="8" w:color="CFF0FC"/>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409.5</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2"/>
              <w:spacing w:after="0" w:line="169"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544.7</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(243.2</w:t>
            </w:r>
          </w:p>
        </w:tc>
        <w:tc>
          <w:tcPr>
            <w:tcW w:w="180" w:type="dxa"/>
            <w:vAlign w:val="bottom"/>
            <w:tcBorders>
              <w:bottom w:val="single" w:sz="8" w:color="CFF0FC"/>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301.5</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-24765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total amortization expense for the acquired intangible assets was $37.1 million and $27.5 million for the three months ended March 26, 2022, and March 27, 2021, respectively, and $91.5 million and $84.5 million for the nine months ended March 26, 2022 and March 27, 2021, respectively. During the three months ended March 26, 2022, and March 27, 2021, $25.1 million and $18.8 million, respectively, and $61.9 million and $60.4 million for the nine months ended March 26, 2022 and March 27, 2021, respectively, of amortization expense was included in our condensed consolidated statements of income in cost of revenue; the remainder was included under operating expenses in acquired intangibles amortization.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ind w:right="220" w:firstLine="509"/>
        <w:spacing w:after="0" w:line="324" w:lineRule="auto"/>
        <w:rPr>
          <w:sz w:val="20"/>
          <w:szCs w:val="20"/>
          <w:color w:val="auto"/>
        </w:rPr>
      </w:pPr>
      <w:r>
        <w:rPr>
          <w:rFonts w:ascii="Arial" w:cs="Arial" w:eastAsia="Arial" w:hAnsi="Arial"/>
          <w:sz w:val="16"/>
          <w:szCs w:val="16"/>
          <w:color w:val="auto"/>
        </w:rPr>
        <w:t>Goodwill represents the excess of the purchase price over the fair value of net tangible and identifiable intangible assets acquired. The changes in our goodwill balance for the nine months ended March 26, 2022 reflect our preliminary estimate of goodwill associated with the DSPG acquisition.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Leases</w:t>
      </w:r>
    </w:p>
    <w:p>
      <w:pPr>
        <w:spacing w:after="0" w:line="10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2029, some of which include options to extend the lease for up to 5 years. For the nine months ended March 26, 2022 and March 27, 2021, we recorded approximately $9.1 million and $7.5 million, respectively, of operating leases expense. Our short-term leases are immaterial.</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26, 2022, and June 26, 2021, the components of leases are as follows (in millions):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March</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June</w:t>
            </w:r>
          </w:p>
        </w:tc>
        <w:tc>
          <w:tcPr>
            <w:tcW w:w="60" w:type="dxa"/>
            <w:vAlign w:val="bottom"/>
          </w:tcPr>
          <w:p>
            <w:pPr>
              <w:spacing w:after="0"/>
              <w:rPr>
                <w:sz w:val="17"/>
                <w:szCs w:val="17"/>
                <w:color w:val="auto"/>
              </w:rPr>
            </w:pPr>
          </w:p>
        </w:tc>
      </w:tr>
      <w:tr>
        <w:trPr>
          <w:trHeight w:val="217"/>
        </w:trPr>
        <w:tc>
          <w:tcPr>
            <w:tcW w:w="4900" w:type="dxa"/>
            <w:vAlign w:val="bottom"/>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r>
      <w:tr>
        <w:trPr>
          <w:trHeight w:val="236"/>
        </w:trPr>
        <w:tc>
          <w:tcPr>
            <w:tcW w:w="49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Operating lease right-of-use assets</w:t>
            </w:r>
          </w:p>
        </w:tc>
        <w:tc>
          <w:tcPr>
            <w:tcW w:w="980" w:type="dxa"/>
            <w:vAlign w:val="bottom"/>
            <w:tcBorders>
              <w:bottom w:val="single" w:sz="8" w:color="auto"/>
            </w:tcBorders>
            <w:shd w:val="clear" w:color="auto" w:fill="CFF0FC"/>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63.3</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31.7</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4900" w:type="dxa"/>
            <w:vAlign w:val="bottom"/>
          </w:tcPr>
          <w:p>
            <w:pPr>
              <w:spacing w:after="0" w:line="183" w:lineRule="exact"/>
              <w:rPr>
                <w:sz w:val="20"/>
                <w:szCs w:val="20"/>
                <w:color w:val="auto"/>
              </w:rPr>
            </w:pPr>
            <w:r>
              <w:rPr>
                <w:rFonts w:ascii="Arial" w:cs="Arial" w:eastAsia="Arial" w:hAnsi="Arial"/>
                <w:sz w:val="18"/>
                <w:szCs w:val="18"/>
                <w:color w:val="auto"/>
              </w:rPr>
              <w:t>Operating lease liabilities</w:t>
            </w:r>
          </w:p>
        </w:tc>
        <w:tc>
          <w:tcPr>
            <w:tcW w:w="980" w:type="dxa"/>
            <w:vAlign w:val="bottom"/>
          </w:tcPr>
          <w:p>
            <w:pPr>
              <w:jc w:val="right"/>
              <w:ind w:right="790"/>
              <w:spacing w:after="0" w:line="183"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83" w:lineRule="exact"/>
              <w:rPr>
                <w:sz w:val="20"/>
                <w:szCs w:val="20"/>
                <w:color w:val="auto"/>
              </w:rPr>
            </w:pPr>
            <w:r>
              <w:rPr>
                <w:rFonts w:ascii="Arial" w:cs="Arial" w:eastAsia="Arial" w:hAnsi="Arial"/>
                <w:sz w:val="18"/>
                <w:szCs w:val="18"/>
                <w:color w:val="auto"/>
              </w:rPr>
              <w:t>8.8</w:t>
            </w:r>
          </w:p>
        </w:tc>
        <w:tc>
          <w:tcPr>
            <w:tcW w:w="48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9.3</w:t>
            </w:r>
          </w:p>
        </w:tc>
        <w:tc>
          <w:tcPr>
            <w:tcW w:w="60" w:type="dxa"/>
            <w:vAlign w:val="bottom"/>
          </w:tcPr>
          <w:p>
            <w:pPr>
              <w:spacing w:after="0"/>
              <w:rPr>
                <w:sz w:val="15"/>
                <w:szCs w:val="15"/>
                <w:color w:val="auto"/>
              </w:rPr>
            </w:pPr>
          </w:p>
        </w:tc>
      </w:tr>
      <w:tr>
        <w:trPr>
          <w:trHeight w:val="203"/>
        </w:trPr>
        <w:tc>
          <w:tcPr>
            <w:tcW w:w="49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long-term</w:t>
            </w:r>
          </w:p>
        </w:tc>
        <w:tc>
          <w:tcPr>
            <w:tcW w:w="9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54.6</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980" w:type="dxa"/>
            <w:vAlign w:val="bottom"/>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63.4</w:t>
            </w:r>
          </w:p>
        </w:tc>
        <w:tc>
          <w:tcPr>
            <w:tcW w:w="48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33.3</w:t>
            </w:r>
          </w:p>
        </w:tc>
        <w:tc>
          <w:tcPr>
            <w:tcW w:w="6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-445135</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-427990</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-445135</wp:posOffset>
            </wp:positionV>
            <wp:extent cx="3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-427990</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-159385</wp:posOffset>
            </wp:positionV>
            <wp:extent cx="431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including from acquisitions, is as follows (in millions):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560" w:type="dxa"/>
            <w:vAlign w:val="bottom"/>
            <w:gridSpan w:val="4"/>
          </w:tcPr>
          <w:p>
            <w:pPr>
              <w:jc w:val="center"/>
              <w:ind w:left="330"/>
              <w:spacing w:after="0"/>
              <w:rPr>
                <w:sz w:val="20"/>
                <w:szCs w:val="20"/>
                <w:color w:val="auto"/>
              </w:rPr>
            </w:pPr>
            <w:r>
              <w:rPr>
                <w:rFonts w:ascii="Arial" w:cs="Arial" w:eastAsia="Arial" w:hAnsi="Arial"/>
                <w:sz w:val="18"/>
                <w:szCs w:val="18"/>
                <w:color w:val="auto"/>
                <w:w w:val="92"/>
              </w:rPr>
              <w:t>Nine Months Ended</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color w:val="auto"/>
                <w:w w:val="91"/>
              </w:rPr>
              <w:t>March</w:t>
            </w: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2022</w:t>
            </w:r>
          </w:p>
        </w:tc>
        <w:tc>
          <w:tcPr>
            <w:tcW w:w="420" w:type="dxa"/>
            <w:vAlign w:val="bottom"/>
          </w:tcPr>
          <w:p>
            <w:pPr>
              <w:spacing w:after="0"/>
              <w:rPr>
                <w:sz w:val="17"/>
                <w:szCs w:val="17"/>
                <w:color w:val="auto"/>
              </w:rPr>
            </w:pPr>
          </w:p>
        </w:tc>
        <w:tc>
          <w:tcPr>
            <w:tcW w:w="11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2021</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5"/>
              </w:rPr>
              <w:t>Cash paid for operating leases included in operating cash flows</w:t>
            </w:r>
          </w:p>
        </w:tc>
        <w:tc>
          <w:tcPr>
            <w:tcW w:w="1000" w:type="dxa"/>
            <w:vAlign w:val="bottom"/>
            <w:tcBorders>
              <w:top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8"/>
                <w:szCs w:val="18"/>
                <w:color w:val="auto"/>
                <w:w w:val="99"/>
              </w:rPr>
              <w:t>Supplemental non-cash information related to lease liabilities</w:t>
            </w:r>
          </w:p>
        </w:tc>
        <w:tc>
          <w:tcPr>
            <w:tcW w:w="10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arising from obtaining right-of-use assets</w:t>
            </w:r>
          </w:p>
        </w:tc>
        <w:tc>
          <w:tcPr>
            <w:tcW w:w="100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26, 2022, the weighted average remaining lease term is 8.1 years, and the weighted average discount rate is 4.1%.</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the operating lease liabilities are as follows (in millions):</w:t>
      </w:r>
    </w:p>
    <w:p>
      <w:pPr>
        <w:spacing w:after="0" w:line="234"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Operating</w:t>
            </w:r>
          </w:p>
        </w:tc>
      </w:tr>
      <w:tr>
        <w:trPr>
          <w:trHeight w:val="203"/>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85"/>
              </w:rPr>
              <w:t>Lease</w:t>
            </w: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Fiscal Year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Payments</w:t>
            </w:r>
          </w:p>
        </w:tc>
      </w:tr>
      <w:tr>
        <w:trPr>
          <w:trHeight w:val="196"/>
        </w:trPr>
        <w:tc>
          <w:tcPr>
            <w:tcW w:w="49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Remainder of 2022</w:t>
            </w: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w:t>
            </w:r>
          </w:p>
        </w:tc>
        <w:tc>
          <w:tcPr>
            <w:tcW w:w="100" w:type="dxa"/>
            <w:vAlign w:val="bottom"/>
          </w:tcPr>
          <w:p>
            <w:pPr>
              <w:spacing w:after="0"/>
              <w:rPr>
                <w:sz w:val="17"/>
                <w:szCs w:val="17"/>
                <w:color w:val="auto"/>
              </w:rPr>
            </w:pPr>
          </w:p>
        </w:tc>
      </w:tr>
      <w:tr>
        <w:trPr>
          <w:trHeight w:val="196"/>
        </w:trPr>
        <w:tc>
          <w:tcPr>
            <w:tcW w:w="4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future minimum operating lease payments</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76.5</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(13.1 )</w:t>
            </w:r>
          </w:p>
        </w:tc>
      </w:tr>
      <w:tr>
        <w:trPr>
          <w:trHeight w:val="236"/>
        </w:trPr>
        <w:tc>
          <w:tcPr>
            <w:tcW w:w="49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lease liabilities</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 and Leaseback Transaction</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February 8, 2022, we executed a sale and leaseback transaction of our properties located at 1109-1251 McKay Drive and 1140-1150 Ringwood Court, San Jose, California, for a purchase price, net of closing and other expenses payable by us, of $55.9 million. Concurrent with the sale, we entered into a lease agreement with the Buyer to lease back the land and properties located at 1109 and 1151 McKay Drive, San Jose, California, for an initial term of 12 years and a renewal option for an additional seven years. The transaction qualified for sale and leaseback and operating lease accounting classification, and we recorded a gain of $5.4 million which is recorded in the gain on sale and leaseback transaction line in the condensed consolidated statement of income in the third quarter of 2022.</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Balance Sheet Components</w:t>
      </w:r>
    </w:p>
    <w:p>
      <w:pPr>
        <w:spacing w:after="0" w:line="10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Other non-current assets consisted of the following (in millions):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5"/>
        </w:trPr>
        <w:tc>
          <w:tcPr>
            <w:tcW w:w="1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March</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rPr>
              <w:t>June</w:t>
            </w:r>
          </w:p>
        </w:tc>
        <w:tc>
          <w:tcPr>
            <w:tcW w:w="60" w:type="dxa"/>
            <w:vAlign w:val="bottom"/>
          </w:tcPr>
          <w:p>
            <w:pPr>
              <w:spacing w:after="0"/>
              <w:rPr>
                <w:sz w:val="24"/>
                <w:szCs w:val="24"/>
                <w:color w:val="auto"/>
              </w:rPr>
            </w:pPr>
          </w:p>
        </w:tc>
      </w:tr>
      <w:tr>
        <w:trPr>
          <w:trHeight w:val="217"/>
        </w:trPr>
        <w:tc>
          <w:tcPr>
            <w:tcW w:w="11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income taxes</w:t>
            </w:r>
          </w:p>
        </w:tc>
        <w:tc>
          <w:tcPr>
            <w:tcW w:w="320" w:type="dxa"/>
            <w:vAlign w:val="bottom"/>
            <w:gridSpan w:val="3"/>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51.6</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28.3</w:t>
            </w: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63.3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31.7</w:t>
            </w:r>
          </w:p>
        </w:tc>
        <w:tc>
          <w:tcPr>
            <w:tcW w:w="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Security deposits</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w:t>
            </w:r>
          </w:p>
        </w:tc>
        <w:tc>
          <w:tcPr>
            <w:tcW w:w="60" w:type="dxa"/>
            <w:vAlign w:val="bottom"/>
          </w:tcPr>
          <w:p>
            <w:pPr>
              <w:spacing w:after="0"/>
              <w:rPr>
                <w:sz w:val="17"/>
                <w:szCs w:val="17"/>
                <w:color w:val="auto"/>
              </w:rPr>
            </w:pPr>
          </w:p>
        </w:tc>
      </w:tr>
      <w:tr>
        <w:trPr>
          <w:trHeight w:val="236"/>
        </w:trPr>
        <w:tc>
          <w:tcPr>
            <w:tcW w:w="1180" w:type="dxa"/>
            <w:vAlign w:val="bottom"/>
          </w:tcPr>
          <w:p>
            <w:pPr>
              <w:spacing w:after="0"/>
              <w:rPr>
                <w:sz w:val="20"/>
                <w:szCs w:val="20"/>
                <w:color w:val="auto"/>
              </w:rPr>
            </w:pPr>
          </w:p>
        </w:tc>
        <w:tc>
          <w:tcPr>
            <w:tcW w:w="48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gridSpan w:val="3"/>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163.7</w:t>
            </w: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6060" w:type="dxa"/>
            <w:vAlign w:val="bottom"/>
            <w:gridSpan w:val="2"/>
          </w:tcPr>
          <w:p>
            <w:pPr>
              <w:spacing w:after="0"/>
              <w:rPr>
                <w:sz w:val="20"/>
                <w:szCs w:val="20"/>
                <w:color w:val="auto"/>
              </w:rPr>
            </w:pPr>
            <w:r>
              <w:rPr>
                <w:rFonts w:ascii="Arial" w:cs="Arial" w:eastAsia="Arial" w:hAnsi="Arial"/>
                <w:sz w:val="18"/>
                <w:szCs w:val="18"/>
                <w:color w:val="auto"/>
              </w:rPr>
              <w:t>Other accrued liabilities consisted of the following (in millions):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7"/>
        </w:trPr>
        <w:tc>
          <w:tcPr>
            <w:tcW w:w="1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ind w:left="200"/>
              <w:spacing w:after="0"/>
              <w:rPr>
                <w:sz w:val="20"/>
                <w:szCs w:val="20"/>
                <w:color w:val="auto"/>
              </w:rPr>
            </w:pPr>
            <w:r>
              <w:rPr>
                <w:rFonts w:ascii="Arial" w:cs="Arial" w:eastAsia="Arial" w:hAnsi="Arial"/>
                <w:sz w:val="18"/>
                <w:szCs w:val="18"/>
                <w:color w:val="auto"/>
              </w:rPr>
              <w:t>March</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rPr>
              <w:t>June</w:t>
            </w:r>
          </w:p>
        </w:tc>
        <w:tc>
          <w:tcPr>
            <w:tcW w:w="60" w:type="dxa"/>
            <w:vAlign w:val="bottom"/>
          </w:tcPr>
          <w:p>
            <w:pPr>
              <w:spacing w:after="0"/>
              <w:rPr>
                <w:sz w:val="24"/>
                <w:szCs w:val="24"/>
                <w:color w:val="auto"/>
              </w:rPr>
            </w:pPr>
          </w:p>
        </w:tc>
      </w:tr>
      <w:tr>
        <w:trPr>
          <w:trHeight w:val="217"/>
        </w:trPr>
        <w:tc>
          <w:tcPr>
            <w:tcW w:w="11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Customer obligations</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82.6</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43.1</w:t>
            </w: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Inventory obligations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short-term</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8.8</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34.0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w:t>
            </w:r>
          </w:p>
        </w:tc>
        <w:tc>
          <w:tcPr>
            <w:tcW w:w="60" w:type="dxa"/>
            <w:vAlign w:val="bottom"/>
          </w:tcPr>
          <w:p>
            <w:pPr>
              <w:spacing w:after="0"/>
              <w:rPr>
                <w:sz w:val="17"/>
                <w:szCs w:val="17"/>
                <w:color w:val="auto"/>
              </w:rPr>
            </w:pPr>
          </w:p>
        </w:tc>
      </w:tr>
      <w:tr>
        <w:trPr>
          <w:trHeight w:val="236"/>
        </w:trPr>
        <w:tc>
          <w:tcPr>
            <w:tcW w:w="1180" w:type="dxa"/>
            <w:vAlign w:val="bottom"/>
          </w:tcPr>
          <w:p>
            <w:pPr>
              <w:spacing w:after="0"/>
              <w:rPr>
                <w:sz w:val="20"/>
                <w:szCs w:val="20"/>
                <w:color w:val="auto"/>
              </w:rPr>
            </w:pPr>
          </w:p>
        </w:tc>
        <w:tc>
          <w:tcPr>
            <w:tcW w:w="48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139.3</w:t>
            </w:r>
          </w:p>
        </w:tc>
        <w:tc>
          <w:tcPr>
            <w:tcW w:w="1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96.2</w:t>
            </w:r>
          </w:p>
        </w:tc>
        <w:tc>
          <w:tcPr>
            <w:tcW w:w="60" w:type="dxa"/>
            <w:vAlign w:val="bottom"/>
            <w:tcBorders>
              <w:bottom w:val="single" w:sz="8" w:color="CFF0FC"/>
            </w:tcBorders>
            <w:shd w:val="clear" w:color="auto" w:fill="CFF0FC"/>
          </w:tcPr>
          <w:p>
            <w:pPr>
              <w:spacing w:after="0"/>
              <w:rPr>
                <w:sz w:val="20"/>
                <w:szCs w:val="20"/>
                <w:color w:val="auto"/>
              </w:rPr>
            </w:pPr>
          </w:p>
        </w:tc>
      </w:tr>
      <w:tr>
        <w:trPr>
          <w:trHeight w:val="439"/>
        </w:trPr>
        <w:tc>
          <w:tcPr>
            <w:tcW w:w="6060" w:type="dxa"/>
            <w:vAlign w:val="bottom"/>
            <w:gridSpan w:val="2"/>
          </w:tcPr>
          <w:p>
            <w:pPr>
              <w:spacing w:after="0"/>
              <w:rPr>
                <w:sz w:val="20"/>
                <w:szCs w:val="20"/>
                <w:color w:val="auto"/>
              </w:rPr>
            </w:pPr>
            <w:r>
              <w:rPr>
                <w:rFonts w:ascii="Arial" w:cs="Arial" w:eastAsia="Arial" w:hAnsi="Arial"/>
                <w:sz w:val="18"/>
                <w:szCs w:val="18"/>
                <w:color w:val="auto"/>
              </w:rPr>
              <w:t>Other long-term liabilities consisted of the following (in millions):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7"/>
        </w:trPr>
        <w:tc>
          <w:tcPr>
            <w:tcW w:w="1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March</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18"/>
                <w:szCs w:val="18"/>
                <w:color w:val="auto"/>
              </w:rPr>
              <w:t>June</w:t>
            </w:r>
          </w:p>
        </w:tc>
        <w:tc>
          <w:tcPr>
            <w:tcW w:w="60" w:type="dxa"/>
            <w:vAlign w:val="bottom"/>
          </w:tcPr>
          <w:p>
            <w:pPr>
              <w:spacing w:after="0"/>
              <w:rPr>
                <w:sz w:val="24"/>
                <w:szCs w:val="24"/>
                <w:color w:val="auto"/>
              </w:rPr>
            </w:pPr>
          </w:p>
        </w:tc>
      </w:tr>
      <w:tr>
        <w:trPr>
          <w:trHeight w:val="217"/>
        </w:trPr>
        <w:tc>
          <w:tcPr>
            <w:tcW w:w="11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r>
      <w:tr>
        <w:trPr>
          <w:trHeight w:val="196"/>
        </w:trPr>
        <w:tc>
          <w:tcPr>
            <w:tcW w:w="1180" w:type="dxa"/>
            <w:vAlign w:val="bottom"/>
          </w:tcPr>
          <w:p>
            <w:pPr>
              <w:spacing w:after="0"/>
              <w:rPr>
                <w:sz w:val="17"/>
                <w:szCs w:val="17"/>
                <w:color w:val="auto"/>
              </w:rPr>
            </w:pPr>
          </w:p>
        </w:tc>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liabilities, long-term</w:t>
            </w:r>
          </w:p>
        </w:tc>
        <w:tc>
          <w:tcPr>
            <w:tcW w:w="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54.6</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w:t>
            </w: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56.1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taxes payable, long-term</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60" w:type="dxa"/>
            <w:vAlign w:val="bottom"/>
            <w:shd w:val="clear" w:color="auto" w:fill="CFF0FC"/>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w:t>
            </w:r>
          </w:p>
        </w:tc>
        <w:tc>
          <w:tcPr>
            <w:tcW w:w="60" w:type="dxa"/>
            <w:vAlign w:val="bottom"/>
          </w:tcPr>
          <w:p>
            <w:pPr>
              <w:spacing w:after="0"/>
              <w:rPr>
                <w:sz w:val="17"/>
                <w:szCs w:val="17"/>
                <w:color w:val="auto"/>
              </w:rPr>
            </w:pPr>
          </w:p>
        </w:tc>
      </w:tr>
      <w:tr>
        <w:trPr>
          <w:trHeight w:val="236"/>
        </w:trPr>
        <w:tc>
          <w:tcPr>
            <w:tcW w:w="1180" w:type="dxa"/>
            <w:vAlign w:val="bottom"/>
          </w:tcPr>
          <w:p>
            <w:pPr>
              <w:spacing w:after="0"/>
              <w:rPr>
                <w:sz w:val="20"/>
                <w:szCs w:val="20"/>
                <w:color w:val="auto"/>
              </w:rPr>
            </w:pPr>
          </w:p>
        </w:tc>
        <w:tc>
          <w:tcPr>
            <w:tcW w:w="48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164.7</w:t>
            </w: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-2845435</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-2828290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-2845435</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-2828290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-1379220</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-1362710</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-1379220</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-1362710</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94" w:lineRule="exact"/>
        <w:rPr>
          <w:sz w:val="20"/>
          <w:szCs w:val="20"/>
          <w:color w:val="auto"/>
        </w:rPr>
      </w:pPr>
    </w:p>
    <w:p>
      <w:pPr>
        <w:ind w:right="7960" w:firstLine="8"/>
        <w:spacing w:after="0" w:line="362"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Indemnifications and Contingencies </w:t>
      </w:r>
      <w:r>
        <w:rPr>
          <w:rFonts w:ascii="Arial" w:cs="Arial" w:eastAsia="Arial" w:hAnsi="Arial"/>
          <w:sz w:val="18"/>
          <w:szCs w:val="18"/>
          <w:i w:val="1"/>
          <w:iCs w:val="1"/>
          <w:color w:val="auto"/>
        </w:rPr>
        <w:t>Indemnifications</w:t>
      </w:r>
    </w:p>
    <w:p>
      <w:pPr>
        <w:spacing w:after="0" w:line="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04"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24"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00" w:lineRule="exact"/>
        <w:rPr>
          <w:sz w:val="20"/>
          <w:szCs w:val="20"/>
          <w:color w:val="auto"/>
        </w:rPr>
      </w:pPr>
    </w:p>
    <w:p>
      <w:pPr>
        <w:spacing w:after="0" w:line="3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24" w:right="579" w:bottom="1440" w:gutter="0" w:footer="0" w:header="0"/>
        </w:sectPr>
      </w:pPr>
    </w:p>
    <w:bookmarkStart w:id="15" w:name="page16"/>
    <w:bookmarkEnd w:id="15"/>
    <w:p>
      <w:pPr>
        <w:jc w:val="center"/>
        <w:ind w:right="10360" w:firstLine="8"/>
        <w:spacing w:after="0" w:line="407" w:lineRule="auto"/>
        <w:tabs>
          <w:tab w:leader="none" w:pos="2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w:t>
      </w:r>
      <w:r>
        <w:rPr>
          <w:rFonts w:ascii="Arial" w:cs="Arial" w:eastAsia="Arial" w:hAnsi="Arial"/>
          <w:sz w:val="16"/>
          <w:szCs w:val="16"/>
          <w:i w:val="1"/>
          <w:iCs w:val="1"/>
          <w:color w:val="auto"/>
        </w:rPr>
        <w:t>Senior Debt</w:t>
      </w:r>
    </w:p>
    <w:p>
      <w:pPr>
        <w:spacing w:after="0" w:line="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74" w:lineRule="exact"/>
        <w:rPr>
          <w:sz w:val="20"/>
          <w:szCs w:val="20"/>
          <w:color w:val="auto"/>
        </w:rPr>
      </w:pPr>
    </w:p>
    <w:p>
      <w:pPr>
        <w:jc w:val="both"/>
        <w:ind w:right="80" w:firstLine="509"/>
        <w:spacing w:after="0" w:line="243" w:lineRule="auto"/>
        <w:rPr>
          <w:sz w:val="20"/>
          <w:szCs w:val="20"/>
          <w:color w:val="auto"/>
        </w:rPr>
      </w:pPr>
      <w:r>
        <w:rPr>
          <w:rFonts w:ascii="Arial" w:cs="Arial" w:eastAsia="Arial" w:hAnsi="Arial"/>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80"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39"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On or after June 15, 2024, we may redeem some or all of the Senior Notes at the redemption prices specified below, plus accrued and unpaid interest, if any, up to, but excluding, the redemption date:</w:t>
      </w:r>
    </w:p>
    <w:p>
      <w:pPr>
        <w:spacing w:after="0" w:line="157" w:lineRule="exact"/>
        <w:rPr>
          <w:sz w:val="20"/>
          <w:szCs w:val="20"/>
          <w:color w:val="auto"/>
        </w:rPr>
      </w:pPr>
    </w:p>
    <w:tbl>
      <w:tblPr>
        <w:tblLayout w:type="fixed"/>
        <w:tblInd w:w="2260" w:type="dxa"/>
        <w:tblCellMar>
          <w:top w:w="0" w:type="dxa"/>
          <w:left w:w="0" w:type="dxa"/>
          <w:bottom w:w="0" w:type="dxa"/>
          <w:right w:w="0" w:type="dxa"/>
        </w:tblCellMar>
      </w:tblPr>
      <w:tr>
        <w:trPr>
          <w:trHeight w:val="217"/>
        </w:trPr>
        <w:tc>
          <w:tcPr>
            <w:tcW w:w="5020" w:type="dxa"/>
            <w:vAlign w:val="bottom"/>
          </w:tcPr>
          <w:p>
            <w:pPr>
              <w:ind w:left="234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18"/>
                <w:szCs w:val="18"/>
                <w:color w:val="auto"/>
              </w:rPr>
            </w:pPr>
          </w:p>
        </w:tc>
        <w:tc>
          <w:tcPr>
            <w:tcW w:w="1620" w:type="dxa"/>
            <w:vAlign w:val="bottom"/>
            <w:gridSpan w:val="2"/>
          </w:tcPr>
          <w:p>
            <w:pPr>
              <w:jc w:val="right"/>
              <w:ind w:right="670"/>
              <w:spacing w:after="0"/>
              <w:rPr>
                <w:sz w:val="20"/>
                <w:szCs w:val="20"/>
                <w:color w:val="auto"/>
              </w:rPr>
            </w:pPr>
            <w:r>
              <w:rPr>
                <w:rFonts w:ascii="Arial" w:cs="Arial" w:eastAsia="Arial" w:hAnsi="Arial"/>
                <w:sz w:val="18"/>
                <w:szCs w:val="18"/>
                <w:color w:val="auto"/>
              </w:rPr>
              <w:t>Price</w:t>
            </w:r>
          </w:p>
        </w:tc>
      </w:tr>
      <w:tr>
        <w:trPr>
          <w:trHeight w:val="196"/>
        </w:trPr>
        <w:tc>
          <w:tcPr>
            <w:tcW w:w="50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2024</w:t>
            </w:r>
          </w:p>
        </w:tc>
        <w:tc>
          <w:tcPr>
            <w:tcW w:w="10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72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101 %</w:t>
            </w: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 and thereafter</w:t>
            </w:r>
          </w:p>
        </w:tc>
        <w:tc>
          <w:tcPr>
            <w:tcW w:w="172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100 %</w:t>
            </w:r>
          </w:p>
        </w:tc>
      </w:tr>
    </w:tbl>
    <w:p>
      <w:pPr>
        <w:spacing w:after="0" w:line="9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7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3"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5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81"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 xml:space="preserve">Debt issuance costs relating to the Senior Notes of $5.7 million, netted against the debt amount on the condensed consolidated balance sheet, </w:t>
      </w:r>
      <w:r>
        <w:rPr>
          <w:rFonts w:ascii="Arial" w:cs="Arial" w:eastAsia="Arial" w:hAnsi="Arial"/>
          <w:sz w:val="18"/>
          <w:szCs w:val="18"/>
          <w:color w:val="252525"/>
        </w:rPr>
        <w:t>are</w:t>
      </w:r>
      <w:r>
        <w:rPr>
          <w:rFonts w:ascii="Arial" w:cs="Arial" w:eastAsia="Arial" w:hAnsi="Arial"/>
          <w:sz w:val="18"/>
          <w:szCs w:val="18"/>
          <w:color w:val="auto"/>
        </w:rPr>
        <w:t xml:space="preserve"> </w:t>
      </w:r>
      <w:r>
        <w:rPr>
          <w:rFonts w:ascii="Arial" w:cs="Arial" w:eastAsia="Arial" w:hAnsi="Arial"/>
          <w:sz w:val="18"/>
          <w:szCs w:val="18"/>
          <w:color w:val="252525"/>
        </w:rPr>
        <w:t xml:space="preserve">amortized as interest expense </w:t>
      </w:r>
      <w:r>
        <w:rPr>
          <w:rFonts w:ascii="Arial" w:cs="Arial" w:eastAsia="Arial" w:hAnsi="Arial"/>
          <w:sz w:val="18"/>
          <w:szCs w:val="18"/>
          <w:color w:val="000000"/>
        </w:rPr>
        <w:t>over 99 months. The total interest expense recorded on the Senior Notes during the three and nine months ended March 26,</w:t>
      </w:r>
      <w:r>
        <w:rPr>
          <w:rFonts w:ascii="Arial" w:cs="Arial" w:eastAsia="Arial" w:hAnsi="Arial"/>
          <w:sz w:val="18"/>
          <w:szCs w:val="18"/>
          <w:color w:val="252525"/>
        </w:rPr>
        <w:t xml:space="preserve"> </w:t>
      </w:r>
      <w:r>
        <w:rPr>
          <w:rFonts w:ascii="Arial" w:cs="Arial" w:eastAsia="Arial" w:hAnsi="Arial"/>
          <w:sz w:val="18"/>
          <w:szCs w:val="18"/>
          <w:color w:val="000000"/>
        </w:rPr>
        <w:t>2022 was $4.1 million and $12.4 million, respectively. The total interest expense recorded on the Senior Notes during the nine months ended March 27, 2021 was $0.9 million.</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Revolving Credit Facility</w:t>
      </w:r>
    </w:p>
    <w:p>
      <w:pPr>
        <w:spacing w:after="0" w:line="104" w:lineRule="exact"/>
        <w:rPr>
          <w:sz w:val="20"/>
          <w:szCs w:val="20"/>
          <w:color w:val="auto"/>
        </w:rPr>
      </w:pPr>
    </w:p>
    <w:p>
      <w:pPr>
        <w:ind w:right="140" w:firstLine="464"/>
        <w:spacing w:after="0" w:line="241" w:lineRule="auto"/>
        <w:rPr>
          <w:sz w:val="20"/>
          <w:szCs w:val="20"/>
          <w:color w:val="auto"/>
        </w:rPr>
      </w:pPr>
      <w:r>
        <w:rPr>
          <w:rFonts w:ascii="Arial" w:cs="Arial" w:eastAsia="Arial" w:hAnsi="Arial"/>
          <w:sz w:val="18"/>
          <w:szCs w:val="18"/>
          <w:color w:val="auto"/>
        </w:rPr>
        <w:t>On March 11, 2021, we entered into a Second Amended and Restated Credit Agreement, with the lenders party thereto and Wells Fargo Bank, National Association, as administrative agent, or the Credit Agreement,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(as defined in the Credit Agreement) ratio of not more than 4.75 to 1.00 with a requirement to maintain a net total debt to Consolidated EBITDA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ind w:right="160"/>
        <w:spacing w:after="0" w:line="248" w:lineRule="auto"/>
        <w:rPr>
          <w:sz w:val="20"/>
          <w:szCs w:val="20"/>
          <w:color w:val="auto"/>
        </w:rPr>
      </w:pPr>
      <w:r>
        <w:rPr>
          <w:rFonts w:ascii="Arial" w:cs="Arial" w:eastAsia="Arial" w:hAnsi="Arial"/>
          <w:sz w:val="18"/>
          <w:szCs w:val="18"/>
          <w:color w:val="auto"/>
        </w:rPr>
        <w:t>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Credit Agreement provides for a revolving credit facility in a principal amount of up to $250 million, which includes a $20 million sublimit for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and a $25 million sublimit for swingline loans. Under the terms of the Credit Agreement, we may, subject to the satisfaction of certain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conditions, request increases in the revolving credit facility commitments in an aggregate principal amount of up to $150 million to the extent existing 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lenders agree to provide such increased or additional commitments, as applicable. Future proceeds under the revolving credit facility are available for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and general corporate purposes. In March 2021 we used a portion of the proceeds from the Senior Notes described above to repay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$100.0 million outstanding borrowings on this revolving credit facility. As of March 26, 2022, there was no balance outstanding under the revolving credit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88" w:lineRule="exact"/>
        <w:rPr>
          <w:sz w:val="20"/>
          <w:szCs w:val="20"/>
          <w:color w:val="auto"/>
        </w:rPr>
      </w:pPr>
    </w:p>
    <w:p>
      <w:pPr>
        <w:ind w:right="40" w:firstLine="464"/>
        <w:spacing w:after="0" w:line="291"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39" w:lineRule="exact"/>
        <w:rPr>
          <w:sz w:val="20"/>
          <w:szCs w:val="20"/>
          <w:color w:val="auto"/>
        </w:rPr>
      </w:pPr>
    </w:p>
    <w:p>
      <w:pPr>
        <w:ind w:firstLine="464"/>
        <w:spacing w:after="0" w:line="241"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81" w:lineRule="exact"/>
        <w:rPr>
          <w:sz w:val="20"/>
          <w:szCs w:val="20"/>
          <w:color w:val="auto"/>
        </w:rPr>
      </w:pPr>
    </w:p>
    <w:p>
      <w:pPr>
        <w:ind w:right="20" w:firstLine="464"/>
        <w:spacing w:after="0" w:line="238"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June 2023. Under our credit facility, when the LIBOR index is discontinued, we will switch to a comparable or successor rate as selected by us and the administrative agent, which may include the Secured Overnight Financing Rate, or SOFR.</w:t>
      </w:r>
    </w:p>
    <w:p>
      <w:pPr>
        <w:spacing w:after="0" w:line="86" w:lineRule="exact"/>
        <w:rPr>
          <w:sz w:val="20"/>
          <w:szCs w:val="20"/>
          <w:color w:val="auto"/>
        </w:rPr>
      </w:pPr>
    </w:p>
    <w:p>
      <w:pPr>
        <w:ind w:firstLine="464"/>
        <w:spacing w:after="0" w:line="253"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which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March 26, 2022, we remain in compliance with the restrictive covenants.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4" w:lineRule="exact"/>
        <w:rPr>
          <w:sz w:val="20"/>
          <w:szCs w:val="20"/>
          <w:color w:val="auto"/>
        </w:rPr>
      </w:pPr>
    </w:p>
    <w:p>
      <w:pPr>
        <w:ind w:firstLine="464"/>
        <w:spacing w:after="0" w:line="241" w:lineRule="auto"/>
        <w:rPr>
          <w:sz w:val="20"/>
          <w:szCs w:val="20"/>
          <w:color w:val="auto"/>
        </w:rPr>
      </w:pPr>
      <w:r>
        <w:rPr>
          <w:rFonts w:ascii="Arial" w:cs="Arial" w:eastAsia="Arial" w:hAnsi="Arial"/>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81" w:lineRule="exact"/>
        <w:rPr>
          <w:sz w:val="20"/>
          <w:szCs w:val="20"/>
          <w:color w:val="auto"/>
        </w:rPr>
      </w:pPr>
    </w:p>
    <w:p>
      <w:pPr>
        <w:ind w:right="160" w:firstLine="464"/>
        <w:spacing w:after="0" w:line="274" w:lineRule="auto"/>
        <w:rPr>
          <w:sz w:val="20"/>
          <w:szCs w:val="20"/>
          <w:color w:val="auto"/>
        </w:rPr>
      </w:pPr>
      <w:r>
        <w:rPr>
          <w:rFonts w:ascii="Arial" w:cs="Arial" w:eastAsia="Arial" w:hAnsi="Arial"/>
          <w:sz w:val="16"/>
          <w:szCs w:val="16"/>
          <w:color w:val="auto"/>
        </w:rPr>
        <w:t>Borrowings under the Term Loan Facility will accrue interest at the London Interbank Offered Rate, or LIBOR, plus 2.25% or at the base rate plus 1.50%, subject to a 25 basis point step-down based on total gross leverage, and subject to a LIBOR floor of 50 basis points. The base rate is the highest of</w:t>
      </w:r>
    </w:p>
    <w:p>
      <w:pPr>
        <w:spacing w:after="0" w:line="1" w:lineRule="exact"/>
        <w:rPr>
          <w:sz w:val="20"/>
          <w:szCs w:val="20"/>
          <w:color w:val="auto"/>
        </w:rPr>
      </w:pPr>
    </w:p>
    <w:p>
      <w:pPr>
        <w:ind w:right="80" w:firstLine="8"/>
        <w:spacing w:after="0" w:line="239"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Funds Rate plus 0.50%, (ii) the Wells Fargo Bank, National Association prime rate and (iii) the one-month LIBOR plus 1.00%. The Term Loan Facility contains customary representations and warranties, affirmative and negative covenants and events of default, in each case consistent with the Credit Agreement. The Term Loan Facility does not contain any financial covenant.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ind w:firstLine="464"/>
        <w:spacing w:after="0" w:line="270" w:lineRule="auto"/>
        <w:rPr>
          <w:sz w:val="20"/>
          <w:szCs w:val="20"/>
          <w:color w:val="auto"/>
        </w:rPr>
      </w:pPr>
      <w:r>
        <w:rPr>
          <w:rFonts w:ascii="Arial" w:cs="Arial" w:eastAsia="Arial" w:hAnsi="Arial"/>
          <w:sz w:val="17"/>
          <w:szCs w:val="17"/>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with the fiscal year ending June 30, 2023, an excess cash flow sweep, subject to customary step-downs and thresholds.</w:t>
      </w:r>
    </w:p>
    <w:p>
      <w:pPr>
        <w:spacing w:after="0" w:line="56" w:lineRule="exact"/>
        <w:rPr>
          <w:sz w:val="20"/>
          <w:szCs w:val="20"/>
          <w:color w:val="auto"/>
        </w:rPr>
      </w:pPr>
    </w:p>
    <w:p>
      <w:pPr>
        <w:ind w:right="80" w:firstLine="464"/>
        <w:spacing w:after="0" w:line="248" w:lineRule="auto"/>
        <w:rPr>
          <w:sz w:val="20"/>
          <w:szCs w:val="20"/>
          <w:color w:val="auto"/>
        </w:rPr>
      </w:pPr>
      <w:r>
        <w:rPr>
          <w:rFonts w:ascii="Arial" w:cs="Arial" w:eastAsia="Arial" w:hAnsi="Arial"/>
          <w:sz w:val="18"/>
          <w:szCs w:val="18"/>
          <w:color w:val="auto"/>
        </w:rPr>
        <w:t>Debt issuance costs relating to the Term Loan Facility of $11.2 million, netted against the debt amount on the condensed consolidated balance sheet, are amortized as interest expense over 96 months. The total interest expense recorded on the Term Loan during both the three and nine months ended March 26, 2022, was $4.5 million and $5.9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04" w:lineRule="exact"/>
        <w:rPr>
          <w:sz w:val="20"/>
          <w:szCs w:val="20"/>
          <w:color w:val="auto"/>
        </w:rPr>
      </w:pPr>
    </w:p>
    <w:p>
      <w:pPr>
        <w:ind w:right="140" w:firstLine="464"/>
        <w:spacing w:after="0" w:line="262" w:lineRule="auto"/>
        <w:rPr>
          <w:sz w:val="20"/>
          <w:szCs w:val="20"/>
          <w:color w:val="auto"/>
        </w:rPr>
      </w:pPr>
      <w:r>
        <w:rPr>
          <w:rFonts w:ascii="Arial" w:cs="Arial" w:eastAsia="Arial" w:hAnsi="Arial"/>
          <w:sz w:val="17"/>
          <w:szCs w:val="17"/>
          <w:color w:val="auto"/>
        </w:rPr>
        <w:t>On June 1, 2021, pursuant to the Indenture, dated as of June 26, 2017 between us and Wells Fargo Bank, National Association, as trustee, or the Convertible Notes Indenture, we provided an irrevocable notice of redemption, for all $525,000,000 aggregate principal amount of our outstanding 0.50% convertible senior notes due in 2022, or the Convertible Notes. The Convertible Notes were redeemable at a cash redemption price of 100.0% of the principal amount, plus accrued and unpaid interest, if any, to, but excluding, the redemption date of August 4, 2021.</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Holders of the Convertible Notes had the right to convert the Convertible Notes called for redemption no later than August 3, 2021, or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Conversion Deadline. The conversion rate was equal to 13.7267 shares per $1,000 principal amount of the Convertible Notes, which was the initial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conversion rate of 13.6947 shares per $1,000 principal amount of the Convertible Notes plus a number of additional shares equal to 0.0320 shares per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the Convertible Notes. We elected to settle any conversions by Combination Settlement (as defined in the Convertible Notes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Indenture) with a Specified Dollar Amount (as defined in the Convertible Notes Indenture) per $1,000 principal amount of Convertible Notes equal to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$1,000, plus a number of shares of our common stock, to be determined pursuant to the Convertible Notes Indenture, together with additional cash, if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applicable, in lieu of delivering any fractional shares of common stock. As a result of this election, on August 4, 2021, we settled or redeemed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remaining outstanding Convertible Notes for $505.6 million in cash representing the principal amount outstanding and delivered approximately 3.5 million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shares in common stock from our treasury stock for additional amounts, resulting in a loss of approximately $8.1 million which is included in Interest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on our condensed consolidated statements of income included elsewhere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560" w:type="dxa"/>
            <w:vAlign w:val="bottom"/>
            <w:gridSpan w:val="4"/>
          </w:tcPr>
          <w:p>
            <w:pPr>
              <w:jc w:val="right"/>
              <w:ind w:right="21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jc w:val="right"/>
              <w:ind w:right="590"/>
              <w:spacing w:after="0"/>
              <w:rPr>
                <w:sz w:val="20"/>
                <w:szCs w:val="20"/>
                <w:color w:val="auto"/>
              </w:rPr>
            </w:pPr>
            <w:r>
              <w:rPr>
                <w:rFonts w:ascii="Arial" w:cs="Arial" w:eastAsia="Arial" w:hAnsi="Arial"/>
                <w:sz w:val="18"/>
                <w:szCs w:val="18"/>
                <w:color w:val="auto"/>
              </w:rPr>
              <w:t>Nine Months Ended</w:t>
            </w:r>
          </w:p>
        </w:tc>
      </w:tr>
      <w:tr>
        <w:trPr>
          <w:trHeight w:val="217"/>
        </w:trPr>
        <w:tc>
          <w:tcPr>
            <w:tcW w:w="4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March</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March</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200" w:type="dxa"/>
            <w:vAlign w:val="bottom"/>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196"/>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96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0.9</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33.4</w:t>
            </w:r>
          </w:p>
        </w:tc>
        <w:tc>
          <w:tcPr>
            <w:tcW w:w="100" w:type="dxa"/>
            <w:vAlign w:val="bottom"/>
          </w:tcPr>
          <w:p>
            <w:pPr>
              <w:spacing w:after="0"/>
              <w:rPr>
                <w:sz w:val="17"/>
                <w:szCs w:val="17"/>
                <w:color w:val="auto"/>
              </w:rPr>
            </w:pPr>
          </w:p>
        </w:tc>
      </w:tr>
      <w:tr>
        <w:trPr>
          <w:trHeight w:val="203"/>
        </w:trPr>
        <w:tc>
          <w:tcPr>
            <w:tcW w:w="42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45.7</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0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50"/>
              <w:spacing w:after="0" w:line="182"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34.1</w:t>
            </w: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25.1</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106.3</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70.0</w:t>
            </w:r>
          </w:p>
        </w:tc>
        <w:tc>
          <w:tcPr>
            <w:tcW w:w="100" w:type="dxa"/>
            <w:vAlign w:val="bottom"/>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2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Income tax benefit on share-based compensation</w:t>
            </w:r>
          </w:p>
        </w:tc>
        <w:tc>
          <w:tcPr>
            <w:tcW w:w="960" w:type="dxa"/>
            <w:vAlign w:val="bottom"/>
            <w:tcBorders>
              <w:bottom w:val="single" w:sz="8" w:color="auto"/>
            </w:tcBorders>
            <w:shd w:val="clear" w:color="auto" w:fill="CFF0FC"/>
          </w:tcPr>
          <w:p>
            <w:pPr>
              <w:jc w:val="right"/>
              <w:ind w:right="750"/>
              <w:spacing w:after="0" w:line="182"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w:t>
            </w:r>
          </w:p>
        </w:tc>
        <w:tc>
          <w:tcPr>
            <w:tcW w:w="240" w:type="dxa"/>
            <w:vAlign w:val="bottom"/>
            <w:tcBorders>
              <w:bottom w:val="single" w:sz="8" w:color="CFF0FC"/>
            </w:tcBorders>
            <w:shd w:val="clear" w:color="auto" w:fill="CFF0FC"/>
          </w:tcPr>
          <w:p>
            <w:pPr>
              <w:jc w:val="right"/>
              <w:ind w:right="101"/>
              <w:spacing w:after="0" w:line="183" w:lineRule="exact"/>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auto"/>
            </w:tcBorders>
            <w:shd w:val="clear" w:color="auto" w:fill="CFF0FC"/>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(20.1</w:t>
            </w:r>
          </w:p>
        </w:tc>
        <w:tc>
          <w:tcPr>
            <w:tcW w:w="220" w:type="dxa"/>
            <w:vAlign w:val="bottom"/>
            <w:tcBorders>
              <w:bottom w:val="single" w:sz="8" w:color="CFF0FC"/>
            </w:tcBorders>
            <w:shd w:val="clear" w:color="auto" w:fill="CFF0FC"/>
          </w:tcPr>
          <w:p>
            <w:pPr>
              <w:jc w:val="right"/>
              <w:ind w:right="81"/>
              <w:spacing w:after="0" w:line="183" w:lineRule="exact"/>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(11.5</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-313690</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-313690</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-313690</wp:posOffset>
            </wp:positionV>
            <wp:extent cx="6032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-313690</wp:posOffset>
            </wp:positionV>
            <wp:extent cx="6032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Included in the preceding table is share-based compensation for our cash-settled phantom stock units, which we granted in October 2019 (see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60" w:type="dxa"/>
            <w:vAlign w:val="bottom"/>
            <w:gridSpan w:val="4"/>
          </w:tcPr>
          <w:p>
            <w:pPr>
              <w:jc w:val="right"/>
              <w:ind w:right="15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March</w:t>
            </w: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March</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9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2022</w:t>
            </w:r>
          </w:p>
        </w:tc>
        <w:tc>
          <w:tcPr>
            <w:tcW w:w="340" w:type="dxa"/>
            <w:vAlign w:val="bottom"/>
          </w:tcPr>
          <w:p>
            <w:pPr>
              <w:spacing w:after="0"/>
              <w:rPr>
                <w:sz w:val="17"/>
                <w:szCs w:val="17"/>
                <w:color w:val="auto"/>
              </w:rPr>
            </w:pPr>
          </w:p>
        </w:tc>
        <w:tc>
          <w:tcPr>
            <w:tcW w:w="11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2021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2021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920" w:type="dxa"/>
            <w:vAlign w:val="bottom"/>
            <w:tcBorders>
              <w:top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ind w:right="71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5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9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8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54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920" w:type="dxa"/>
            <w:vAlign w:val="bottom"/>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c>
          <w:tcPr>
            <w:tcW w:w="1100" w:type="dxa"/>
            <w:vAlign w:val="bottom"/>
            <w:gridSpan w:val="2"/>
          </w:tcPr>
          <w:p>
            <w:pPr>
              <w:jc w:val="right"/>
              <w:ind w:right="710"/>
              <w:spacing w:after="0" w:line="18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44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32.5</w:t>
            </w:r>
          </w:p>
        </w:tc>
        <w:tc>
          <w:tcPr>
            <w:tcW w:w="46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20.2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-639445</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-639445</wp:posOffset>
            </wp:positionV>
            <wp:extent cx="431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-639445</wp:posOffset>
            </wp:positionV>
            <wp:extent cx="431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-639445</wp:posOffset>
            </wp:positionV>
            <wp:extent cx="431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ind w:firstLine="509"/>
        <w:spacing w:after="0" w:line="248" w:lineRule="auto"/>
        <w:rPr>
          <w:sz w:val="20"/>
          <w:szCs w:val="20"/>
          <w:color w:val="auto"/>
        </w:rPr>
      </w:pPr>
      <w:r>
        <w:rPr>
          <w:rFonts w:ascii="Arial" w:cs="Arial" w:eastAsia="Arial" w:hAnsi="Arial"/>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As of October 29, 2019, no new awards may be granted under the 2010 Incentive Plan or the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163"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twice, effective October 27, 2020 and October 26, 2021, respectively. The cumulative number of shares approved by stockholders under the 2019 Incentive Plan was 4,590,000 as of October 26, 2021. The 2019 ESPP authorizes the Company to provide eligible employees with an opportunity to acquire an equity interest in the Company through the purchase of stock at a discount, with an initial authorization of 1,500,000 shares.</w:t>
      </w:r>
    </w:p>
    <w:p>
      <w:pPr>
        <w:spacing w:after="0" w:line="51"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No new awards may be granted under the 2019 Inducement Equity Plan.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was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Stock</w:t>
            </w:r>
          </w:p>
        </w:tc>
        <w:tc>
          <w:tcPr>
            <w:tcW w:w="340" w:type="dxa"/>
            <w:vAlign w:val="bottom"/>
          </w:tcPr>
          <w:p>
            <w:pPr>
              <w:spacing w:after="0"/>
              <w:rPr>
                <w:sz w:val="16"/>
                <w:szCs w:val="16"/>
                <w:color w:val="auto"/>
              </w:rPr>
            </w:pPr>
          </w:p>
        </w:tc>
        <w:tc>
          <w:tcPr>
            <w:tcW w:w="1420" w:type="dxa"/>
            <w:vAlign w:val="bottom"/>
          </w:tcPr>
          <w:p>
            <w:pPr>
              <w:jc w:val="center"/>
              <w:ind w:right="279"/>
              <w:spacing w:after="0"/>
              <w:rPr>
                <w:sz w:val="20"/>
                <w:szCs w:val="20"/>
                <w:color w:val="auto"/>
              </w:rPr>
            </w:pPr>
            <w:r>
              <w:rPr>
                <w:rFonts w:ascii="Arial" w:cs="Arial" w:eastAsia="Arial" w:hAnsi="Arial"/>
                <w:sz w:val="16"/>
                <w:szCs w:val="16"/>
                <w:color w:val="auto"/>
                <w:w w:val="91"/>
              </w:rPr>
              <w:t>Weighted</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259"/>
              <w:spacing w:after="0"/>
              <w:rPr>
                <w:sz w:val="20"/>
                <w:szCs w:val="20"/>
                <w:color w:val="auto"/>
              </w:rPr>
            </w:pPr>
            <w:r>
              <w:rPr>
                <w:rFonts w:ascii="Arial" w:cs="Arial" w:eastAsia="Arial" w:hAnsi="Arial"/>
                <w:sz w:val="16"/>
                <w:szCs w:val="16"/>
                <w:color w:val="auto"/>
                <w:w w:val="92"/>
              </w:rPr>
              <w:t>Aggregate</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Option</w:t>
            </w:r>
          </w:p>
        </w:tc>
        <w:tc>
          <w:tcPr>
            <w:tcW w:w="340" w:type="dxa"/>
            <w:vAlign w:val="bottom"/>
          </w:tcPr>
          <w:p>
            <w:pPr>
              <w:spacing w:after="0"/>
              <w:rPr>
                <w:sz w:val="16"/>
                <w:szCs w:val="16"/>
                <w:color w:val="auto"/>
              </w:rPr>
            </w:pPr>
          </w:p>
        </w:tc>
        <w:tc>
          <w:tcPr>
            <w:tcW w:w="1420" w:type="dxa"/>
            <w:vAlign w:val="bottom"/>
          </w:tcPr>
          <w:p>
            <w:pPr>
              <w:jc w:val="center"/>
              <w:ind w:right="279"/>
              <w:spacing w:after="0"/>
              <w:rPr>
                <w:sz w:val="20"/>
                <w:szCs w:val="20"/>
                <w:color w:val="auto"/>
              </w:rPr>
            </w:pPr>
            <w:r>
              <w:rPr>
                <w:rFonts w:ascii="Arial" w:cs="Arial" w:eastAsia="Arial" w:hAnsi="Arial"/>
                <w:sz w:val="16"/>
                <w:szCs w:val="16"/>
                <w:color w:val="auto"/>
                <w:w w:val="90"/>
              </w:rPr>
              <w:t>Average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239"/>
              <w:spacing w:after="0"/>
              <w:rPr>
                <w:sz w:val="20"/>
                <w:szCs w:val="20"/>
                <w:color w:val="auto"/>
              </w:rPr>
            </w:pPr>
            <w:r>
              <w:rPr>
                <w:rFonts w:ascii="Arial" w:cs="Arial" w:eastAsia="Arial" w:hAnsi="Arial"/>
                <w:sz w:val="16"/>
                <w:szCs w:val="16"/>
                <w:color w:val="auto"/>
                <w:w w:val="97"/>
              </w:rPr>
              <w:t>Intrinsic</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Awards</w:t>
            </w:r>
          </w:p>
        </w:tc>
        <w:tc>
          <w:tcPr>
            <w:tcW w:w="340" w:type="dxa"/>
            <w:vAlign w:val="bottom"/>
          </w:tcPr>
          <w:p>
            <w:pPr>
              <w:spacing w:after="0"/>
              <w:rPr>
                <w:sz w:val="16"/>
                <w:szCs w:val="16"/>
                <w:color w:val="auto"/>
              </w:rPr>
            </w:pPr>
          </w:p>
        </w:tc>
        <w:tc>
          <w:tcPr>
            <w:tcW w:w="1420" w:type="dxa"/>
            <w:vAlign w:val="bottom"/>
          </w:tcPr>
          <w:p>
            <w:pPr>
              <w:jc w:val="center"/>
              <w:ind w:right="259"/>
              <w:spacing w:after="0"/>
              <w:rPr>
                <w:sz w:val="20"/>
                <w:szCs w:val="20"/>
                <w:color w:val="auto"/>
              </w:rPr>
            </w:pPr>
            <w:r>
              <w:rPr>
                <w:rFonts w:ascii="Arial" w:cs="Arial" w:eastAsia="Arial" w:hAnsi="Arial"/>
                <w:sz w:val="16"/>
                <w:szCs w:val="16"/>
                <w:color w:val="auto"/>
                <w:w w:val="91"/>
              </w:rPr>
              <w:t>Exercise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259"/>
              <w:spacing w:after="0"/>
              <w:rPr>
                <w:sz w:val="20"/>
                <w:szCs w:val="20"/>
                <w:color w:val="auto"/>
              </w:rPr>
            </w:pPr>
            <w:r>
              <w:rPr>
                <w:rFonts w:ascii="Arial" w:cs="Arial" w:eastAsia="Arial" w:hAnsi="Arial"/>
                <w:sz w:val="16"/>
                <w:szCs w:val="16"/>
                <w:color w:val="auto"/>
                <w:w w:val="87"/>
              </w:rPr>
              <w:t>Value</w:t>
            </w:r>
          </w:p>
        </w:tc>
        <w:tc>
          <w:tcPr>
            <w:tcW w:w="0" w:type="dxa"/>
            <w:vAlign w:val="bottom"/>
          </w:tcPr>
          <w:p>
            <w:pPr>
              <w:spacing w:after="0"/>
              <w:rPr>
                <w:sz w:val="1"/>
                <w:szCs w:val="1"/>
                <w:color w:val="auto"/>
              </w:rPr>
            </w:pPr>
          </w:p>
        </w:tc>
      </w:tr>
      <w:tr>
        <w:trPr>
          <w:trHeight w:val="199"/>
        </w:trPr>
        <w:tc>
          <w:tcPr>
            <w:tcW w:w="3180" w:type="dxa"/>
            <w:vAlign w:val="bottom"/>
          </w:tcPr>
          <w:p>
            <w:pPr>
              <w:spacing w:after="0"/>
              <w:rPr>
                <w:sz w:val="17"/>
                <w:szCs w:val="17"/>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Outstanding</w:t>
            </w:r>
          </w:p>
        </w:tc>
        <w:tc>
          <w:tcPr>
            <w:tcW w:w="340" w:type="dxa"/>
            <w:vAlign w:val="bottom"/>
          </w:tcPr>
          <w:p>
            <w:pPr>
              <w:spacing w:after="0"/>
              <w:rPr>
                <w:sz w:val="17"/>
                <w:szCs w:val="17"/>
                <w:color w:val="auto"/>
              </w:rPr>
            </w:pPr>
          </w:p>
        </w:tc>
        <w:tc>
          <w:tcPr>
            <w:tcW w:w="1420" w:type="dxa"/>
            <w:vAlign w:val="bottom"/>
          </w:tcPr>
          <w:p>
            <w:pPr>
              <w:jc w:val="center"/>
              <w:ind w:right="259"/>
              <w:spacing w:after="0"/>
              <w:rPr>
                <w:sz w:val="20"/>
                <w:szCs w:val="20"/>
                <w:color w:val="auto"/>
              </w:rPr>
            </w:pPr>
            <w:r>
              <w:rPr>
                <w:rFonts w:ascii="Arial" w:cs="Arial" w:eastAsia="Arial" w:hAnsi="Arial"/>
                <w:sz w:val="16"/>
                <w:szCs w:val="16"/>
                <w:color w:val="auto"/>
                <w:w w:val="87"/>
              </w:rPr>
              <w:t>Price</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259"/>
              <w:spacing w:after="0"/>
              <w:rPr>
                <w:sz w:val="20"/>
                <w:szCs w:val="20"/>
                <w:color w:val="auto"/>
              </w:rPr>
            </w:pPr>
            <w:r>
              <w:rPr>
                <w:rFonts w:ascii="Arial" w:cs="Arial" w:eastAsia="Arial" w:hAnsi="Arial"/>
                <w:sz w:val="16"/>
                <w:szCs w:val="16"/>
                <w:color w:val="auto"/>
                <w:w w:val="98"/>
              </w:rPr>
              <w:t>(in millions)</w:t>
            </w:r>
          </w:p>
        </w:tc>
        <w:tc>
          <w:tcPr>
            <w:tcW w:w="0" w:type="dxa"/>
            <w:vAlign w:val="bottom"/>
          </w:tcPr>
          <w:p>
            <w:pPr>
              <w:spacing w:after="0"/>
              <w:rPr>
                <w:sz w:val="1"/>
                <w:szCs w:val="1"/>
                <w:color w:val="auto"/>
              </w:rPr>
            </w:pPr>
          </w:p>
        </w:tc>
      </w:tr>
      <w:tr>
        <w:trPr>
          <w:trHeight w:val="183"/>
        </w:trPr>
        <w:tc>
          <w:tcPr>
            <w:tcW w:w="31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as of June 2021</w:t>
            </w:r>
          </w:p>
        </w:tc>
        <w:tc>
          <w:tcPr>
            <w:tcW w:w="18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55,061</w:t>
            </w:r>
          </w:p>
        </w:tc>
        <w:tc>
          <w:tcPr>
            <w:tcW w:w="24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66.68</w:t>
            </w:r>
          </w:p>
        </w:tc>
        <w:tc>
          <w:tcPr>
            <w:tcW w:w="20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540" w:type="dxa"/>
            <w:vAlign w:val="bottom"/>
            <w:tcBorders>
              <w:top w:val="single" w:sz="8" w:color="auto"/>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2040" w:type="dxa"/>
            <w:vAlign w:val="bottom"/>
            <w:gridSpan w:val="2"/>
          </w:tcPr>
          <w:p>
            <w:pPr>
              <w:jc w:val="right"/>
              <w:ind w:right="180"/>
              <w:spacing w:after="0"/>
              <w:rPr>
                <w:sz w:val="20"/>
                <w:szCs w:val="20"/>
                <w:color w:val="auto"/>
              </w:rPr>
            </w:pPr>
            <w:r>
              <w:rPr>
                <w:rFonts w:ascii="Arial" w:cs="Arial" w:eastAsia="Arial" w:hAnsi="Arial"/>
                <w:sz w:val="16"/>
                <w:szCs w:val="16"/>
                <w:color w:val="auto"/>
              </w:rPr>
              <w:t>(22,300 )</w:t>
            </w: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73.30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180" w:type="dxa"/>
            <w:vAlign w:val="bottom"/>
            <w:shd w:val="clear" w:color="auto" w:fill="CFF0FC"/>
          </w:tcPr>
          <w:p>
            <w:pPr>
              <w:spacing w:after="0" w:line="146" w:lineRule="exact"/>
              <w:rPr>
                <w:sz w:val="20"/>
                <w:szCs w:val="20"/>
                <w:color w:val="auto"/>
              </w:rPr>
            </w:pPr>
            <w:r>
              <w:rPr>
                <w:rFonts w:ascii="Arial" w:cs="Arial" w:eastAsia="Arial" w:hAnsi="Arial"/>
                <w:sz w:val="16"/>
                <w:szCs w:val="16"/>
                <w:color w:val="auto"/>
              </w:rPr>
              <w:t>Outstanding and Exercisable as of March</w:t>
            </w:r>
          </w:p>
        </w:tc>
        <w:tc>
          <w:tcPr>
            <w:tcW w:w="18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32,761</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62.18</w:t>
            </w:r>
          </w:p>
        </w:tc>
        <w:tc>
          <w:tcPr>
            <w:tcW w:w="4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78"/>
        </w:trPr>
        <w:tc>
          <w:tcPr>
            <w:tcW w:w="3180" w:type="dxa"/>
            <w:vAlign w:val="bottom"/>
            <w:shd w:val="clear" w:color="auto" w:fill="CFF0FC"/>
          </w:tcPr>
          <w:p>
            <w:pPr>
              <w:spacing w:after="0" w:line="138" w:lineRule="exact"/>
              <w:rPr>
                <w:sz w:val="20"/>
                <w:szCs w:val="20"/>
                <w:color w:val="auto"/>
              </w:rPr>
            </w:pPr>
            <w:r>
              <w:rPr>
                <w:rFonts w:ascii="Arial" w:cs="Arial" w:eastAsia="Arial" w:hAnsi="Arial"/>
                <w:sz w:val="16"/>
                <w:szCs w:val="16"/>
                <w:color w:val="auto"/>
              </w:rPr>
              <w:t>2022</w:t>
            </w:r>
          </w:p>
        </w:tc>
        <w:tc>
          <w:tcPr>
            <w:tcW w:w="18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20" w:type="dxa"/>
            <w:vAlign w:val="bottom"/>
            <w:vMerge w:val="continue"/>
            <w:shd w:val="clear" w:color="auto" w:fill="CFF0FC"/>
          </w:tcPr>
          <w:p>
            <w:pPr>
              <w:spacing w:after="0"/>
              <w:rPr>
                <w:sz w:val="15"/>
                <w:szCs w:val="15"/>
                <w:color w:val="auto"/>
              </w:rPr>
            </w:pPr>
          </w:p>
        </w:tc>
        <w:tc>
          <w:tcPr>
            <w:tcW w:w="460" w:type="dxa"/>
            <w:vAlign w:val="bottom"/>
            <w:gridSpan w:val="2"/>
            <w:vMerge w:val="continue"/>
            <w:shd w:val="clear" w:color="auto" w:fill="CFF0FC"/>
          </w:tcPr>
          <w:p>
            <w:pPr>
              <w:spacing w:after="0"/>
              <w:rPr>
                <w:sz w:val="15"/>
                <w:szCs w:val="15"/>
                <w:color w:val="auto"/>
              </w:rPr>
            </w:pPr>
          </w:p>
        </w:tc>
        <w:tc>
          <w:tcPr>
            <w:tcW w:w="154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right="1920" w:firstLine="509"/>
        <w:spacing w:after="0" w:line="360" w:lineRule="auto"/>
        <w:rPr>
          <w:sz w:val="20"/>
          <w:szCs w:val="20"/>
          <w:color w:val="auto"/>
        </w:rPr>
      </w:pPr>
      <w:r>
        <w:rPr>
          <w:rFonts w:ascii="Arial" w:cs="Arial" w:eastAsia="Arial" w:hAnsi="Arial"/>
          <w:sz w:val="18"/>
          <w:szCs w:val="18"/>
          <w:color w:val="auto"/>
        </w:rPr>
        <w:t xml:space="preserve">The aggregate intrinsic value was determined using the closing price of our common stock on March 25, 2022 of $217.52. </w:t>
      </w:r>
      <w:r>
        <w:rPr>
          <w:rFonts w:ascii="Arial" w:cs="Arial" w:eastAsia="Arial" w:hAnsi="Arial"/>
          <w:sz w:val="18"/>
          <w:szCs w:val="18"/>
          <w:i w:val="1"/>
          <w:iCs w:val="1"/>
          <w:color w:val="auto"/>
        </w:rPr>
        <w:t>Restricted Stock Units</w:t>
      </w:r>
    </w:p>
    <w:p>
      <w:pPr>
        <w:ind w:right="200" w:firstLine="509"/>
        <w:spacing w:after="0" w:line="241" w:lineRule="auto"/>
        <w:rPr>
          <w:sz w:val="20"/>
          <w:szCs w:val="20"/>
          <w:color w:val="auto"/>
        </w:rPr>
      </w:pPr>
      <w:r>
        <w:rPr>
          <w:rFonts w:ascii="Arial" w:cs="Arial" w:eastAsia="Arial" w:hAnsi="Arial"/>
          <w:sz w:val="18"/>
          <w:szCs w:val="18"/>
          <w:color w:val="auto"/>
        </w:rPr>
        <w:t>Our 2019 Incentive Plan provides for the grant of RSUs to our employees, consultants, and directors with initial grants occurring in 2019, and previously our 2019 Inducement Equity Plan and our 2010 Incentive Plan provided for the grant of deferred stock units, or DSUs, to our employees, consultants, and directors with initial grants occurring in 2006. An RSU and a DSU are each a promise to deliver shares of our common stock at a future date in accordance with the terms of the grant agreement and the words can be used interchangeably. Accordingly, any reference to RSU is intended to signify both an RSU and a DSU.</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RSUs granted generally vest ratably over three to four years from the vesting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RSU activity was as follows:</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92"/>
              </w:rPr>
              <w:t>Aggregate</w:t>
            </w:r>
          </w:p>
        </w:tc>
        <w:tc>
          <w:tcPr>
            <w:tcW w:w="60" w:type="dxa"/>
            <w:vAlign w:val="bottom"/>
          </w:tcPr>
          <w:p>
            <w:pPr>
              <w:spacing w:after="0"/>
              <w:rPr>
                <w:sz w:val="15"/>
                <w:szCs w:val="15"/>
                <w:color w:val="auto"/>
              </w:rPr>
            </w:pPr>
          </w:p>
        </w:tc>
      </w:tr>
      <w:tr>
        <w:trPr>
          <w:trHeight w:val="176"/>
        </w:trPr>
        <w:tc>
          <w:tcPr>
            <w:tcW w:w="500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RSU</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99"/>
              </w:rPr>
              <w:t>Intrinsic</w:t>
            </w:r>
          </w:p>
        </w:tc>
        <w:tc>
          <w:tcPr>
            <w:tcW w:w="6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Awards</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89"/>
              </w:rPr>
              <w:t>Value</w:t>
            </w:r>
          </w:p>
        </w:tc>
        <w:tc>
          <w:tcPr>
            <w:tcW w:w="60" w:type="dxa"/>
            <w:vAlign w:val="bottom"/>
          </w:tcPr>
          <w:p>
            <w:pPr>
              <w:spacing w:after="0"/>
              <w:rPr>
                <w:sz w:val="15"/>
                <w:szCs w:val="15"/>
                <w:color w:val="auto"/>
              </w:rPr>
            </w:pPr>
          </w:p>
        </w:tc>
      </w:tr>
      <w:tr>
        <w:trPr>
          <w:trHeight w:val="181"/>
        </w:trPr>
        <w:tc>
          <w:tcPr>
            <w:tcW w:w="500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Outstanding</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5"/>
                <w:szCs w:val="15"/>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June 2021</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1,323,286</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602,320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Delivered</w:t>
            </w:r>
          </w:p>
        </w:tc>
        <w:tc>
          <w:tcPr>
            <w:tcW w:w="15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(549,596 )</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(147,461 )</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50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as of March 2022</w:t>
            </w:r>
          </w:p>
        </w:tc>
        <w:tc>
          <w:tcPr>
            <w:tcW w:w="13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1,228,549</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267.2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25, 2022 of $217.52.</w:t>
      </w:r>
    </w:p>
    <w:p>
      <w:pPr>
        <w:spacing w:after="0" w:line="212" w:lineRule="exact"/>
        <w:rPr>
          <w:sz w:val="20"/>
          <w:szCs w:val="20"/>
          <w:color w:val="auto"/>
        </w:rPr>
      </w:pPr>
    </w:p>
    <w:p>
      <w:pPr>
        <w:jc w:val="both"/>
        <w:ind w:right="200" w:firstLine="509"/>
        <w:spacing w:after="0" w:line="270"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RSU award. Of the shares delivered, 162,082 shares valued at $30.2 million were withheld to meet statutory tax withholding requirements.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Our 2019 Incentive Plan, and previously our 2019 Inducement Equity Plan provide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have granted MSU awards to our executive officers and other management members under our 2010 Incentive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189" w:lineRule="exact"/>
        <w:rPr>
          <w:sz w:val="20"/>
          <w:szCs w:val="20"/>
          <w:color w:val="auto"/>
        </w:rPr>
      </w:pPr>
    </w:p>
    <w:p>
      <w:pPr>
        <w:ind w:firstLine="469"/>
        <w:spacing w:after="0" w:line="220" w:lineRule="auto"/>
        <w:rPr>
          <w:sz w:val="20"/>
          <w:szCs w:val="20"/>
          <w:color w:val="auto"/>
        </w:rPr>
      </w:pPr>
      <w:r>
        <w:rPr>
          <w:rFonts w:ascii="Arial" w:cs="Arial" w:eastAsia="Arial" w:hAnsi="Arial"/>
          <w:sz w:val="18"/>
          <w:szCs w:val="18"/>
          <w:color w:val="auto"/>
        </w:rPr>
        <w:t>For MSU awards granted after fiscal 2020,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of the TSRs of each company in the Russell 2000 Index, and a 200% payout will occur if our TSR performance exceeds the 75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of the TSRs of each company in the Russell 2000 Index. Performance payouts between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75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percentiles will be determined on a linear basis with performance at the 50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equal to 100% of target.</w:t>
      </w:r>
    </w:p>
    <w:p>
      <w:pPr>
        <w:spacing w:after="0" w:line="10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For MSU awards granted after fiscal 2020, 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82"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For MSU awards granted prior to fiscal 2021, performance is measured based on our achievement of a specified level of TSR relative to the TSR of the S&amp;P Semiconductor Select Industry Index, or SPSISC Index. The potential payout ranges from 0% to 200% of the target grant quantity and is adjusted on a two-to-one ratio based on our TSR performance relative to SPSISC Index TSR.</w:t>
      </w:r>
    </w:p>
    <w:p>
      <w:pPr>
        <w:spacing w:after="0" w:line="182"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For MSU awards granted prior to fiscal 2021 and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75"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MSU activity was as follows: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92"/>
              </w:rPr>
              <w:t>Aggregate</w:t>
            </w:r>
          </w:p>
        </w:tc>
        <w:tc>
          <w:tcPr>
            <w:tcW w:w="60" w:type="dxa"/>
            <w:vAlign w:val="bottom"/>
          </w:tcPr>
          <w:p>
            <w:pPr>
              <w:spacing w:after="0"/>
              <w:rPr>
                <w:sz w:val="15"/>
                <w:szCs w:val="15"/>
                <w:color w:val="auto"/>
              </w:rPr>
            </w:pPr>
          </w:p>
        </w:tc>
      </w:tr>
      <w:tr>
        <w:trPr>
          <w:trHeight w:val="176"/>
        </w:trPr>
        <w:tc>
          <w:tcPr>
            <w:tcW w:w="500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color w:val="auto"/>
              </w:rPr>
              <w:t>MSU</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99"/>
              </w:rPr>
              <w:t>Intrinsic</w:t>
            </w:r>
          </w:p>
        </w:tc>
        <w:tc>
          <w:tcPr>
            <w:tcW w:w="6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Awards</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89"/>
              </w:rPr>
              <w:t>Value</w:t>
            </w:r>
          </w:p>
        </w:tc>
        <w:tc>
          <w:tcPr>
            <w:tcW w:w="60" w:type="dxa"/>
            <w:vAlign w:val="bottom"/>
          </w:tcPr>
          <w:p>
            <w:pPr>
              <w:spacing w:after="0"/>
              <w:rPr>
                <w:sz w:val="15"/>
                <w:szCs w:val="15"/>
                <w:color w:val="auto"/>
              </w:rPr>
            </w:pPr>
          </w:p>
        </w:tc>
      </w:tr>
      <w:tr>
        <w:trPr>
          <w:trHeight w:val="181"/>
        </w:trPr>
        <w:tc>
          <w:tcPr>
            <w:tcW w:w="500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Outstanding</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5"/>
                <w:szCs w:val="15"/>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June 2021</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347,027</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134,728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Delivered</w:t>
            </w:r>
          </w:p>
        </w:tc>
        <w:tc>
          <w:tcPr>
            <w:tcW w:w="15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(203,883 )</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(25,898 )</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50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as of March 2022</w:t>
            </w:r>
          </w:p>
        </w:tc>
        <w:tc>
          <w:tcPr>
            <w:tcW w:w="13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251,974</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25, 2022 of $217.52.</w:t>
      </w:r>
    </w:p>
    <w:p>
      <w:pPr>
        <w:spacing w:after="0" w:line="212"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 Of the shares delivered, 105,719 shares valued at $18.3 million were withheld to meet statutory tax withholding requirements.</w:t>
      </w:r>
    </w:p>
    <w:p>
      <w:pPr>
        <w:spacing w:after="0" w:line="164"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We value MSUs using the Monte Carlo simulation model on the date of grant and amortize the compensation expense over the three- or four-year performance and service period on a ratable basis by tranche. The unrecognized share-based compensation cost of our outstanding MSUs was approximately $19.8 million as of March 26, 2022, which will be recognized over a weighted average period of approximately 1.0 years.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Our 2019 Incentive Plan, our 2010 Incentive Plan and our 2019 Inducement Equity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68" w:lineRule="exact"/>
        <w:rPr>
          <w:sz w:val="20"/>
          <w:szCs w:val="20"/>
          <w:color w:val="auto"/>
        </w:rPr>
      </w:pPr>
    </w:p>
    <w:p>
      <w:pPr>
        <w:ind w:firstLine="509"/>
        <w:spacing w:after="0" w:line="238" w:lineRule="auto"/>
        <w:rPr>
          <w:sz w:val="20"/>
          <w:szCs w:val="20"/>
          <w:color w:val="auto"/>
        </w:rPr>
      </w:pPr>
      <w:r>
        <w:rPr>
          <w:rFonts w:ascii="Arial" w:cs="Arial" w:eastAsia="Arial" w:hAnsi="Arial"/>
          <w:sz w:val="17"/>
          <w:szCs w:val="17"/>
          <w:color w:val="auto"/>
        </w:rPr>
        <w:t>We have granted PSUs to our executive officers and other management members under our 2010 Incentive Plan, our 2019 Incentive Plan and our 2019 Inducement Equity Plan, which are designed to vest in three tranches with the target quantity for each tranche equal to one-third of the total PSU grant. Generally, the grants have a specific one-year performance period and vesting occurs over three service periods with the final service period ending approximately three years from the grant date. Performance is measured based on the achievement of a specified level of certain performance criteria (for PSUs granted in fiscal 2021 it is based on a combination of our design win revenue, non-GAAP gross margin percentage and non-GAAP operating expenses and for the PSUs granted prior to fiscal 2021 and during fiscal 2022 it is based on non-GAAP earnings per share). The potential payout ranges from 0% to 200% of the target grant quantity and is adjusted on a linear basis with a payout triggering if our measurement result equals greater than 75% of the target with a maximum payout achieved at 125% of target.</w:t>
      </w:r>
    </w:p>
    <w:p>
      <w:pPr>
        <w:spacing w:after="0" w:line="177" w:lineRule="exact"/>
        <w:rPr>
          <w:sz w:val="20"/>
          <w:szCs w:val="20"/>
          <w:color w:val="auto"/>
        </w:rPr>
      </w:pPr>
    </w:p>
    <w:p>
      <w:pPr>
        <w:ind w:right="520" w:firstLine="509"/>
        <w:spacing w:after="0" w:line="246"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PSU activity was as follows: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92"/>
              </w:rPr>
              <w:t>Aggregate</w:t>
            </w:r>
          </w:p>
        </w:tc>
        <w:tc>
          <w:tcPr>
            <w:tcW w:w="6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PSU</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99"/>
              </w:rPr>
              <w:t>Intrinsic</w:t>
            </w:r>
          </w:p>
        </w:tc>
        <w:tc>
          <w:tcPr>
            <w:tcW w:w="6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Awards</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w w:val="89"/>
              </w:rPr>
              <w:t>Value</w:t>
            </w:r>
          </w:p>
        </w:tc>
        <w:tc>
          <w:tcPr>
            <w:tcW w:w="60" w:type="dxa"/>
            <w:vAlign w:val="bottom"/>
          </w:tcPr>
          <w:p>
            <w:pPr>
              <w:spacing w:after="0"/>
              <w:rPr>
                <w:sz w:val="15"/>
                <w:szCs w:val="15"/>
                <w:color w:val="auto"/>
              </w:rPr>
            </w:pPr>
          </w:p>
        </w:tc>
      </w:tr>
      <w:tr>
        <w:trPr>
          <w:trHeight w:val="181"/>
        </w:trPr>
        <w:tc>
          <w:tcPr>
            <w:tcW w:w="500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Outstanding</w:t>
            </w:r>
          </w:p>
        </w:tc>
        <w:tc>
          <w:tcPr>
            <w:tcW w:w="200" w:type="dxa"/>
            <w:vAlign w:val="bottom"/>
          </w:tcPr>
          <w:p>
            <w:pPr>
              <w:spacing w:after="0"/>
              <w:rPr>
                <w:sz w:val="15"/>
                <w:szCs w:val="15"/>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5"/>
                <w:szCs w:val="15"/>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as of June 2021</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317,392</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Awarded</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185,676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Released</w:t>
            </w:r>
          </w:p>
        </w:tc>
        <w:tc>
          <w:tcPr>
            <w:tcW w:w="15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(208,023 )</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(37,142 )</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50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as of March 2022</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257,903</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25, 2022 of $217.52.</w:t>
      </w:r>
    </w:p>
    <w:p>
      <w:pPr>
        <w:spacing w:after="0" w:line="198"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 Of the shares delivered, 94,642 shares valued at $17.6 million were withheld to meet statutory tax withholding requirements.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1" w:name="page22"/>
    <w:bookmarkEnd w:id="21"/>
    <w:p>
      <w:pPr>
        <w:ind w:right="160" w:firstLine="509"/>
        <w:spacing w:after="0" w:line="243"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$23.5 million as of March 26, 2022, which will be recognized over a weighted average period of approximately 1.0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The 2019 Incentive Plan authorizes the grant of phantom stock units to non-employee directors, officers and employees. We initially granted phantom stock units to certain non-officer employees in October 2019 and there have been no subsequent phantom stock unit grants.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$218.56 per unit at March 26, 2022 and our accrued liability for such units was $15.7 million.</w:t>
      </w:r>
    </w:p>
    <w:p>
      <w:pPr>
        <w:sectPr>
          <w:pgSz w:w="11900" w:h="16838" w:orient="portrait"/>
          <w:cols w:equalWidth="0" w:num="1">
            <w:col w:w="11220"/>
          </w:cols>
          <w:pgMar w:left="320" w:top="544" w:right="359" w:bottom="1440" w:gutter="0" w:footer="0" w:header="0"/>
        </w:sectPr>
      </w:pP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Phantom stock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Balance as of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-114300</wp:posOffset>
            </wp:positionV>
            <wp:extent cx="427736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-3175</wp:posOffset>
            </wp:positionV>
            <wp:extent cx="427736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440"/>
        <w:spacing w:after="0"/>
        <w:rPr>
          <w:sz w:val="20"/>
          <w:szCs w:val="20"/>
          <w:color w:val="auto"/>
        </w:rPr>
      </w:pPr>
      <w:r>
        <w:rPr>
          <w:rFonts w:ascii="Arial" w:cs="Arial" w:eastAsia="Arial" w:hAnsi="Arial"/>
          <w:sz w:val="18"/>
          <w:szCs w:val="18"/>
          <w:color w:val="auto"/>
        </w:rPr>
        <w:t>Forfeited</w:t>
      </w:r>
    </w:p>
    <w:p>
      <w:pPr>
        <w:spacing w:after="0" w:line="22" w:lineRule="exact"/>
        <w:rPr>
          <w:sz w:val="20"/>
          <w:szCs w:val="20"/>
          <w:color w:val="auto"/>
        </w:rPr>
      </w:pPr>
    </w:p>
    <w:p>
      <w:pPr>
        <w:jc w:val="right"/>
        <w:ind w:right="2720"/>
        <w:spacing w:after="0"/>
        <w:rPr>
          <w:sz w:val="20"/>
          <w:szCs w:val="20"/>
          <w:color w:val="auto"/>
        </w:rPr>
      </w:pPr>
      <w:r>
        <w:rPr>
          <w:rFonts w:ascii="Arial" w:cs="Arial" w:eastAsia="Arial" w:hAnsi="Arial"/>
          <w:sz w:val="18"/>
          <w:szCs w:val="18"/>
          <w:color w:val="auto"/>
        </w:rPr>
        <w:t>Balance as of March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40"/>
        <w:spacing w:after="0"/>
        <w:rPr>
          <w:sz w:val="20"/>
          <w:szCs w:val="20"/>
          <w:color w:val="auto"/>
        </w:rPr>
      </w:pPr>
      <w:r>
        <w:rPr>
          <w:rFonts w:ascii="Arial" w:cs="Arial" w:eastAsia="Arial" w:hAnsi="Arial"/>
          <w:sz w:val="18"/>
          <w:szCs w:val="18"/>
          <w:color w:val="auto"/>
        </w:rPr>
        <w:t>Phantom</w:t>
      </w:r>
    </w:p>
    <w:p>
      <w:pPr>
        <w:spacing w:after="0" w:line="12" w:lineRule="exact"/>
        <w:rPr>
          <w:sz w:val="20"/>
          <w:szCs w:val="20"/>
          <w:color w:val="auto"/>
        </w:rPr>
      </w:pPr>
    </w:p>
    <w:p>
      <w:pPr>
        <w:jc w:val="center"/>
        <w:ind w:right="2740"/>
        <w:spacing w:after="0"/>
        <w:rPr>
          <w:sz w:val="20"/>
          <w:szCs w:val="20"/>
          <w:color w:val="auto"/>
        </w:rPr>
      </w:pPr>
      <w:r>
        <w:rPr>
          <w:rFonts w:ascii="Arial" w:cs="Arial" w:eastAsia="Arial" w:hAnsi="Arial"/>
          <w:sz w:val="17"/>
          <w:szCs w:val="17"/>
          <w:color w:val="auto"/>
        </w:rPr>
        <w:t>Stock Units</w:t>
      </w:r>
    </w:p>
    <w:p>
      <w:pPr>
        <w:spacing w:after="0" w:line="7" w:lineRule="exact"/>
        <w:rPr>
          <w:sz w:val="20"/>
          <w:szCs w:val="20"/>
          <w:color w:val="auto"/>
        </w:rPr>
      </w:pPr>
    </w:p>
    <w:p>
      <w:pPr>
        <w:jc w:val="center"/>
        <w:ind w:right="2740"/>
        <w:spacing w:after="0"/>
        <w:rPr>
          <w:sz w:val="20"/>
          <w:szCs w:val="20"/>
          <w:color w:val="auto"/>
        </w:rPr>
      </w:pPr>
      <w:r>
        <w:rPr>
          <w:rFonts w:ascii="Arial" w:cs="Arial" w:eastAsia="Arial" w:hAnsi="Arial"/>
          <w:sz w:val="16"/>
          <w:szCs w:val="16"/>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10795</wp:posOffset>
            </wp:positionV>
            <wp:extent cx="9347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402,458</w:t>
      </w:r>
    </w:p>
    <w:p>
      <w:pPr>
        <w:jc w:val="right"/>
        <w:ind w:right="2380"/>
        <w:spacing w:after="0" w:line="234" w:lineRule="auto"/>
        <w:rPr>
          <w:sz w:val="20"/>
          <w:szCs w:val="20"/>
          <w:color w:val="auto"/>
        </w:rPr>
      </w:pPr>
      <w:r>
        <w:rPr>
          <w:rFonts w:ascii="Arial" w:cs="Arial" w:eastAsia="Arial" w:hAnsi="Arial"/>
          <w:sz w:val="18"/>
          <w:szCs w:val="18"/>
          <w:color w:val="auto"/>
        </w:rPr>
        <w:t>(196,420 )</w:t>
      </w:r>
    </w:p>
    <w:p>
      <w:pPr>
        <w:spacing w:after="0" w:line="1"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(25,845 )</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180,193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-1905</wp:posOffset>
            </wp:positionV>
            <wp:extent cx="9347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4720" cy="825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14605</wp:posOffset>
            </wp:positionV>
            <wp:extent cx="9347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880" w:space="720"/>
            <w:col w:w="3620"/>
          </w:cols>
          <w:pgMar w:left="320" w:top="544" w:right="35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04" w:lineRule="exact"/>
        <w:rPr>
          <w:sz w:val="20"/>
          <w:szCs w:val="20"/>
          <w:color w:val="auto"/>
        </w:rPr>
      </w:pPr>
    </w:p>
    <w:p>
      <w:pPr>
        <w:ind w:right="300" w:firstLine="509"/>
        <w:spacing w:after="0" w:line="291" w:lineRule="auto"/>
        <w:rPr>
          <w:sz w:val="20"/>
          <w:szCs w:val="20"/>
          <w:color w:val="auto"/>
        </w:rPr>
      </w:pPr>
      <w:r>
        <w:rPr>
          <w:rFonts w:ascii="Arial" w:cs="Arial" w:eastAsia="Arial" w:hAnsi="Arial"/>
          <w:sz w:val="17"/>
          <w:szCs w:val="17"/>
          <w:color w:val="auto"/>
        </w:rPr>
        <w:t>Shares purchased, weighted average purchase price, cash received, and the aggregate intrinsic value for employee stock purchase plan purchases during the nine months ended March 26, 2022 were as follows (in millions, except for shares purchased and weighted average price):</w:t>
      </w:r>
    </w:p>
    <w:p>
      <w:pPr>
        <w:spacing w:after="0" w:line="184"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19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138,502</w:t>
            </w: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Weighted average purchase price</w:t>
            </w:r>
          </w:p>
        </w:tc>
        <w:tc>
          <w:tcPr>
            <w:tcW w:w="1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97.91</w:t>
            </w:r>
          </w:p>
        </w:tc>
      </w:tr>
      <w:tr>
        <w:trPr>
          <w:trHeight w:val="203"/>
        </w:trPr>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received</w:t>
            </w:r>
          </w:p>
        </w:tc>
        <w:tc>
          <w:tcPr>
            <w:tcW w:w="190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4" w:lineRule="exact"/>
        <w:rPr>
          <w:sz w:val="20"/>
          <w:szCs w:val="20"/>
          <w:color w:val="auto"/>
        </w:rPr>
      </w:pPr>
    </w:p>
    <w:p>
      <w:pPr>
        <w:ind w:firstLine="509"/>
        <w:spacing w:after="0" w:line="227"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75" w:lineRule="exact"/>
        <w:rPr>
          <w:sz w:val="20"/>
          <w:szCs w:val="20"/>
          <w:color w:val="auto"/>
        </w:rPr>
      </w:pPr>
    </w:p>
    <w:p>
      <w:pPr>
        <w:ind w:right="40" w:firstLine="509"/>
        <w:spacing w:after="0" w:line="260" w:lineRule="auto"/>
        <w:rPr>
          <w:sz w:val="20"/>
          <w:szCs w:val="20"/>
          <w:color w:val="auto"/>
        </w:rPr>
      </w:pPr>
      <w:r>
        <w:rPr>
          <w:rFonts w:ascii="Arial" w:cs="Arial" w:eastAsia="Arial" w:hAnsi="Arial"/>
          <w:sz w:val="16"/>
          <w:szCs w:val="16"/>
          <w:color w:val="auto"/>
        </w:rPr>
        <w:t>The provision for income taxes of $24.4 million and $10.4 million for the three months ended March 26, 2022 and March 27, 2021, respectively, represented estimated federal, foreign, and state income taxes. The effective tax rate for the three months ended March 26, 2022 diverged from the combined U.S. federal and state statutory tax rate primarily because of the benefit of income taxed at lower rates, research credits and foreign tax credits, partially offset by foreign withholding taxes, non-deductible officer compensation and global intangible low-taxed income, or GILTI. The effective tax rate</w:t>
      </w:r>
    </w:p>
    <w:p>
      <w:pPr>
        <w:ind w:right="360"/>
        <w:spacing w:after="0" w:line="273" w:lineRule="auto"/>
        <w:rPr>
          <w:sz w:val="20"/>
          <w:szCs w:val="20"/>
          <w:color w:val="auto"/>
        </w:rPr>
      </w:pPr>
      <w:r>
        <w:rPr>
          <w:rFonts w:ascii="Arial" w:cs="Arial" w:eastAsia="Arial" w:hAnsi="Arial"/>
          <w:sz w:val="17"/>
          <w:szCs w:val="17"/>
          <w:color w:val="auto"/>
        </w:rPr>
        <w:t>for the three months ended March 27, 2021, diverged from the combined U.S. federal and state statutory tax rate, primarily because of income taxed at lower rates, the benefit of research credits and foreign tax credits, partially offset by foreign withholding taxes and GILTI.</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type w:val="continuous"/>
        </w:sectPr>
      </w:pPr>
    </w:p>
    <w:bookmarkStart w:id="22" w:name="page23"/>
    <w:bookmarkEnd w:id="22"/>
    <w:p>
      <w:pPr>
        <w:ind w:right="80" w:firstLine="509"/>
        <w:spacing w:after="0" w:line="257" w:lineRule="auto"/>
        <w:rPr>
          <w:sz w:val="20"/>
          <w:szCs w:val="20"/>
          <w:color w:val="auto"/>
        </w:rPr>
      </w:pPr>
      <w:r>
        <w:rPr>
          <w:rFonts w:ascii="Arial" w:cs="Arial" w:eastAsia="Arial" w:hAnsi="Arial"/>
          <w:sz w:val="16"/>
          <w:szCs w:val="16"/>
          <w:color w:val="auto"/>
        </w:rPr>
        <w:t>The provision for income taxes of $32.3 million and $16.4 million for the nine months ended March 26, 2022 and March 27, 2021, respectively, represented estimated federal, foreign, and state income taxes. The effective tax rate for the nine months ended March 26, 2022 diverged from the combined U.S. federal and state statutory tax rate primarily because of income taxed at lower rates, the benefit of research credits and foreign tax credits, partially offset by foreign withholding taxes, non-deductible officer compensation and GILTI. The effective tax rate for the nine months ended March 27, 2021, diverged from the combined U.S. federal and state statutory tax rate, primarily because of the benefit of income taxed at lower rates, research credits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foreign tax credits, partially offset by foreign withholding taxes and GILTI.</w:t>
      </w:r>
    </w:p>
    <w:p>
      <w:pPr>
        <w:spacing w:after="0" w:line="197" w:lineRule="exact"/>
        <w:rPr>
          <w:sz w:val="20"/>
          <w:szCs w:val="20"/>
          <w:color w:val="auto"/>
        </w:rPr>
      </w:pPr>
    </w:p>
    <w:p>
      <w:pPr>
        <w:ind w:firstLine="509"/>
        <w:spacing w:after="0" w:line="258" w:lineRule="auto"/>
        <w:rPr>
          <w:sz w:val="20"/>
          <w:szCs w:val="20"/>
          <w:color w:val="auto"/>
        </w:rPr>
      </w:pPr>
      <w:r>
        <w:rPr>
          <w:rFonts w:ascii="Arial" w:cs="Arial" w:eastAsia="Arial" w:hAnsi="Arial"/>
          <w:sz w:val="16"/>
          <w:szCs w:val="16"/>
          <w:color w:val="auto"/>
        </w:rPr>
        <w:t>The total liability for gross unrecognized tax benefits related to uncertain tax positions increased $14.4 million during the nine months ended March 26, 2022, to $37.0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March 26, 2022 were $2.7 million; this balance increased by $1.0 million compared to June 26, 2021.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177"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Our major tax jurisdictions are the United States, Hong Kong SAR, Israel, Japan and the United Kingdom. From fiscal 2014 onward, we remain subject to examination by one or more of these jurisdictions.</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January 2022, final foreign tax credit regulations were issued by the U.S. Treasury modifying long established rules, including rules used in the determination of whether foreign taxes paid or accrued are creditable against U.S. income taxes. We are evaluating these new regulations and certain research and development capitalization rule changes, all effective beginning with our fiscal 2023, but anticipate our future provision for income taxes will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Customers, and Geographic Information</w:t>
      </w:r>
    </w:p>
    <w:p>
      <w:pPr>
        <w:spacing w:after="0" w:line="108" w:lineRule="exact"/>
        <w:rPr>
          <w:sz w:val="20"/>
          <w:szCs w:val="20"/>
          <w:color w:val="auto"/>
        </w:rPr>
      </w:pPr>
    </w:p>
    <w:p>
      <w:pPr>
        <w:jc w:val="both"/>
        <w:ind w:right="160" w:firstLine="509"/>
        <w:spacing w:after="0" w:line="270" w:lineRule="auto"/>
        <w:rPr>
          <w:sz w:val="20"/>
          <w:szCs w:val="20"/>
          <w:color w:val="auto"/>
        </w:rPr>
      </w:pPr>
      <w:r>
        <w:rPr>
          <w:rFonts w:ascii="Arial" w:cs="Arial" w:eastAsia="Arial" w:hAnsi="Arial"/>
          <w:sz w:val="17"/>
          <w:szCs w:val="17"/>
          <w:color w:val="auto"/>
        </w:rPr>
        <w:t>We operate in one segment: the development, marketing, and sale of semiconductor products used in electronic devices and products. We generate our revenue from three broad product categories: the IoT product market, the personal computing, or PC, product market, and the Mobile product market. We sell our products to OEMs and to contract manufacturers that provide manufacturing services to OEMs.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4"/>
          </w:tcPr>
          <w:p>
            <w:pPr>
              <w:jc w:val="right"/>
              <w:ind w:right="270"/>
              <w:spacing w:after="0"/>
              <w:rPr>
                <w:sz w:val="20"/>
                <w:szCs w:val="20"/>
                <w:color w:val="auto"/>
              </w:rPr>
            </w:pPr>
            <w:r>
              <w:rPr>
                <w:rFonts w:ascii="Arial" w:cs="Arial" w:eastAsia="Arial" w:hAnsi="Arial"/>
                <w:sz w:val="18"/>
                <w:szCs w:val="18"/>
                <w:color w:val="auto"/>
                <w:w w:val="96"/>
              </w:rPr>
              <w:t>Three Months Ended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right"/>
              <w:ind w:right="210"/>
              <w:spacing w:after="0"/>
              <w:rPr>
                <w:sz w:val="20"/>
                <w:szCs w:val="20"/>
                <w:color w:val="auto"/>
              </w:rPr>
            </w:pPr>
            <w:r>
              <w:rPr>
                <w:rFonts w:ascii="Arial" w:cs="Arial" w:eastAsia="Arial" w:hAnsi="Arial"/>
                <w:sz w:val="18"/>
                <w:szCs w:val="18"/>
                <w:color w:val="auto"/>
                <w:w w:val="97"/>
              </w:rPr>
              <w:t>Nine Months Ended</w:t>
            </w:r>
          </w:p>
        </w:tc>
        <w:tc>
          <w:tcPr>
            <w:tcW w:w="60" w:type="dxa"/>
            <w:vAlign w:val="bottom"/>
          </w:tcPr>
          <w:p>
            <w:pPr>
              <w:spacing w:after="0"/>
              <w:rPr>
                <w:sz w:val="18"/>
                <w:szCs w:val="18"/>
                <w:color w:val="auto"/>
              </w:rPr>
            </w:pPr>
          </w:p>
        </w:tc>
      </w:tr>
      <w:tr>
        <w:trPr>
          <w:trHeight w:val="217"/>
        </w:trPr>
        <w:tc>
          <w:tcPr>
            <w:tcW w:w="3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w:t>
            </w: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3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2021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2021</w:t>
            </w:r>
          </w:p>
        </w:tc>
        <w:tc>
          <w:tcPr>
            <w:tcW w:w="60" w:type="dxa"/>
            <w:vAlign w:val="bottom"/>
          </w:tcPr>
          <w:p>
            <w:pPr>
              <w:spacing w:after="0"/>
              <w:rPr>
                <w:sz w:val="17"/>
                <w:szCs w:val="17"/>
                <w:color w:val="auto"/>
              </w:rPr>
            </w:pPr>
          </w:p>
        </w:tc>
      </w:tr>
      <w:tr>
        <w:trPr>
          <w:trHeight w:val="196"/>
        </w:trPr>
        <w:tc>
          <w:tcPr>
            <w:tcW w:w="3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China</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171.2</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448.4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406.2</w:t>
            </w:r>
          </w:p>
        </w:tc>
        <w:tc>
          <w:tcPr>
            <w:tcW w:w="60" w:type="dxa"/>
            <w:vAlign w:val="bottom"/>
            <w:shd w:val="clear" w:color="auto" w:fill="CFF0FC"/>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Taiwan</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140.1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268.1</w:t>
            </w:r>
          </w:p>
        </w:tc>
        <w:tc>
          <w:tcPr>
            <w:tcW w:w="60" w:type="dxa"/>
            <w:vAlign w:val="bottom"/>
          </w:tcPr>
          <w:p>
            <w:pPr>
              <w:spacing w:after="0"/>
              <w:rPr>
                <w:sz w:val="17"/>
                <w:szCs w:val="17"/>
                <w:color w:val="auto"/>
              </w:rPr>
            </w:pPr>
          </w:p>
        </w:tc>
      </w:tr>
      <w:tr>
        <w:trPr>
          <w:trHeight w:val="203"/>
        </w:trPr>
        <w:tc>
          <w:tcPr>
            <w:tcW w:w="3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Japan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127.9</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258.9</w:t>
            </w:r>
          </w:p>
        </w:tc>
        <w:tc>
          <w:tcPr>
            <w:tcW w:w="60" w:type="dxa"/>
            <w:vAlign w:val="bottom"/>
            <w:shd w:val="clear" w:color="auto" w:fill="CFF0FC"/>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54.7</w:t>
            </w:r>
          </w:p>
        </w:tc>
        <w:tc>
          <w:tcPr>
            <w:tcW w:w="60" w:type="dxa"/>
            <w:vAlign w:val="bottom"/>
          </w:tcPr>
          <w:p>
            <w:pPr>
              <w:spacing w:after="0"/>
              <w:rPr>
                <w:sz w:val="17"/>
                <w:szCs w:val="17"/>
                <w:color w:val="auto"/>
              </w:rPr>
            </w:pPr>
          </w:p>
        </w:tc>
      </w:tr>
      <w:tr>
        <w:trPr>
          <w:trHeight w:val="378"/>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2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FF0FC"/>
          </w:tcPr>
          <w:p>
            <w:pPr>
              <w:spacing w:after="0"/>
              <w:rPr>
                <w:sz w:val="24"/>
                <w:szCs w:val="24"/>
                <w:color w:val="auto"/>
              </w:rPr>
            </w:pPr>
          </w:p>
        </w:tc>
      </w:tr>
      <w:tr>
        <w:trPr>
          <w:trHeight w:val="365"/>
        </w:trPr>
        <w:tc>
          <w:tcPr>
            <w:tcW w:w="338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r>
      <w:tr>
        <w:trPr>
          <w:trHeight w:val="236"/>
        </w:trPr>
        <w:tc>
          <w:tcPr>
            <w:tcW w:w="3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470.1</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325.8</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1,263.3</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1,011.</w:t>
            </w:r>
            <w:r>
              <w:rPr>
                <w:rFonts w:ascii="Arial" w:cs="Arial" w:eastAsia="Arial" w:hAnsi="Arial"/>
                <w:sz w:val="18"/>
                <w:szCs w:val="18"/>
                <w:u w:val="single" w:color="auto"/>
                <w:color w:val="auto"/>
              </w:rPr>
              <w:t>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-25400</wp:posOffset>
            </wp:positionV>
            <wp:extent cx="431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-8255</wp:posOffset>
            </wp:positionV>
            <wp:extent cx="431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431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431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342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342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our customers for each product category was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4"/>
          </w:tcPr>
          <w:p>
            <w:pPr>
              <w:jc w:val="right"/>
              <w:ind w:right="250"/>
              <w:spacing w:after="0"/>
              <w:rPr>
                <w:sz w:val="20"/>
                <w:szCs w:val="20"/>
                <w:color w:val="auto"/>
              </w:rPr>
            </w:pPr>
            <w:r>
              <w:rPr>
                <w:rFonts w:ascii="Arial" w:cs="Arial" w:eastAsia="Arial" w:hAnsi="Arial"/>
                <w:sz w:val="18"/>
                <w:szCs w:val="18"/>
                <w:color w:val="auto"/>
                <w:w w:val="96"/>
              </w:rPr>
              <w:t>Three Months 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right"/>
              <w:ind w:right="270"/>
              <w:spacing w:after="0"/>
              <w:rPr>
                <w:sz w:val="20"/>
                <w:szCs w:val="20"/>
                <w:color w:val="auto"/>
              </w:rPr>
            </w:pPr>
            <w:r>
              <w:rPr>
                <w:rFonts w:ascii="Arial" w:cs="Arial" w:eastAsia="Arial" w:hAnsi="Arial"/>
                <w:sz w:val="18"/>
                <w:szCs w:val="18"/>
                <w:color w:val="auto"/>
                <w:w w:val="96"/>
              </w:rPr>
              <w:t>Nine Months Ended</w:t>
            </w:r>
          </w:p>
        </w:tc>
        <w:tc>
          <w:tcPr>
            <w:tcW w:w="1680" w:type="dxa"/>
            <w:vAlign w:val="bottom"/>
          </w:tcPr>
          <w:p>
            <w:pPr>
              <w:spacing w:after="0"/>
              <w:rPr>
                <w:sz w:val="18"/>
                <w:szCs w:val="18"/>
                <w:color w:val="auto"/>
              </w:rPr>
            </w:pPr>
          </w:p>
        </w:tc>
      </w:tr>
      <w:tr>
        <w:trPr>
          <w:trHeight w:val="217"/>
        </w:trPr>
        <w:tc>
          <w:tcPr>
            <w:tcW w:w="17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w:t>
            </w:r>
          </w:p>
        </w:tc>
        <w:tc>
          <w:tcPr>
            <w:tcW w:w="780" w:type="dxa"/>
            <w:vAlign w:val="bottom"/>
            <w:tcBorders>
              <w:bottom w:val="single" w:sz="8" w:color="auto"/>
            </w:tcBorders>
          </w:tcPr>
          <w:p>
            <w:pPr>
              <w:spacing w:after="0"/>
              <w:rPr>
                <w:sz w:val="18"/>
                <w:szCs w:val="18"/>
                <w:color w:val="auto"/>
              </w:rPr>
            </w:pPr>
          </w:p>
        </w:tc>
        <w:tc>
          <w:tcPr>
            <w:tcW w:w="1680" w:type="dxa"/>
            <w:vAlign w:val="bottom"/>
          </w:tcPr>
          <w:p>
            <w:pPr>
              <w:spacing w:after="0"/>
              <w:rPr>
                <w:sz w:val="18"/>
                <w:szCs w:val="18"/>
                <w:color w:val="auto"/>
              </w:rPr>
            </w:pPr>
          </w:p>
        </w:tc>
      </w:tr>
      <w:tr>
        <w:trPr>
          <w:trHeight w:val="196"/>
        </w:trPr>
        <w:tc>
          <w:tcPr>
            <w:tcW w:w="17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99"/>
              </w:rPr>
              <w:t>2021</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IoT product applications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301.6</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768.8</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435.0</w:t>
            </w:r>
          </w:p>
        </w:tc>
        <w:tc>
          <w:tcPr>
            <w:tcW w:w="1680" w:type="dxa"/>
            <w:vAlign w:val="bottom"/>
          </w:tcPr>
          <w:p>
            <w:pPr>
              <w:spacing w:after="0"/>
              <w:rPr>
                <w:sz w:val="17"/>
                <w:szCs w:val="17"/>
                <w:color w:val="auto"/>
              </w:rPr>
            </w:pPr>
          </w:p>
        </w:tc>
      </w:tr>
      <w:tr>
        <w:trPr>
          <w:trHeight w:val="378"/>
        </w:trPr>
        <w:tc>
          <w:tcPr>
            <w:tcW w:w="170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270.4</w:t>
            </w:r>
          </w:p>
        </w:tc>
        <w:tc>
          <w:tcPr>
            <w:tcW w:w="168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3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Mobile product applications</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78.4</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76.0</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233.1</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306.4</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470.1</w:t>
            </w:r>
          </w:p>
        </w:tc>
        <w:tc>
          <w:tcPr>
            <w:tcW w:w="4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325.8</w:t>
            </w:r>
          </w:p>
        </w:tc>
        <w:tc>
          <w:tcPr>
            <w:tcW w:w="3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1,263.</w:t>
            </w:r>
            <w:r>
              <w:rPr>
                <w:rFonts w:ascii="Arial" w:cs="Arial" w:eastAsia="Arial" w:hAnsi="Arial"/>
                <w:sz w:val="18"/>
                <w:szCs w:val="18"/>
                <w:u w:val="single" w:color="auto"/>
                <w:color w:val="auto"/>
              </w:rPr>
              <w:t>3</w:t>
            </w:r>
          </w:p>
        </w:tc>
        <w:tc>
          <w:tcPr>
            <w:tcW w:w="3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1,011.</w:t>
            </w:r>
            <w:r>
              <w:rPr>
                <w:rFonts w:ascii="Arial" w:cs="Arial" w:eastAsia="Arial" w:hAnsi="Arial"/>
                <w:sz w:val="18"/>
                <w:szCs w:val="18"/>
                <w:u w:val="single" w:color="auto"/>
                <w:color w:val="auto"/>
              </w:rPr>
              <w:t>8</w:t>
            </w:r>
          </w:p>
        </w:tc>
        <w:tc>
          <w:tcPr>
            <w:tcW w:w="16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5"/>
        </w:trPr>
        <w:tc>
          <w:tcPr>
            <w:tcW w:w="1700" w:type="dxa"/>
            <w:vAlign w:val="bottom"/>
            <w:tcBorders>
              <w:bottom w:val="single" w:sz="8" w:color="9A9A9A"/>
            </w:tcBorders>
          </w:tcPr>
          <w:p>
            <w:pPr>
              <w:spacing w:after="0"/>
              <w:rPr>
                <w:sz w:val="6"/>
                <w:szCs w:val="6"/>
                <w:color w:val="auto"/>
              </w:rPr>
            </w:pPr>
          </w:p>
        </w:tc>
        <w:tc>
          <w:tcPr>
            <w:tcW w:w="34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-622300</wp:posOffset>
            </wp:positionV>
            <wp:extent cx="431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-622300</wp:posOffset>
            </wp:positionV>
            <wp:extent cx="3429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-622300</wp:posOffset>
            </wp:positionV>
            <wp:extent cx="342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-622300</wp:posOffset>
            </wp:positionV>
            <wp:extent cx="342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3" w:name="page24"/>
    <w:bookmarkEnd w:id="23"/>
    <w:p>
      <w:pPr>
        <w:ind w:right="60" w:firstLine="509"/>
        <w:spacing w:after="0" w:line="248" w:lineRule="auto"/>
        <w:rPr>
          <w:sz w:val="20"/>
          <w:szCs w:val="20"/>
          <w:color w:val="auto"/>
        </w:rPr>
      </w:pPr>
      <w:r>
        <w:rPr>
          <w:rFonts w:ascii="Arial" w:cs="Arial" w:eastAsia="Arial" w:hAnsi="Arial"/>
          <w:sz w:val="18"/>
          <w:szCs w:val="18"/>
          <w:color w:val="auto"/>
        </w:rPr>
        <w:t>A reclassification has been made to the prior periods revenue presentation in the above table in order to conform to the current period revenue presentation. The reclassification of $5.4 million and $19.5 million during the three and nine months ended March 2021, respectively, moved virtual reality product revenue from Mobile product applications to IoT product applications.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7"/>
                <w:szCs w:val="17"/>
                <w:color w:val="auto"/>
              </w:rPr>
            </w:pPr>
          </w:p>
        </w:tc>
        <w:tc>
          <w:tcPr>
            <w:tcW w:w="2280" w:type="dxa"/>
            <w:vAlign w:val="bottom"/>
            <w:gridSpan w:val="4"/>
          </w:tcPr>
          <w:p>
            <w:pPr>
              <w:jc w:val="center"/>
              <w:spacing w:after="0"/>
              <w:rPr>
                <w:sz w:val="20"/>
                <w:szCs w:val="20"/>
                <w:color w:val="auto"/>
              </w:rPr>
            </w:pPr>
            <w:r>
              <w:rPr>
                <w:rFonts w:ascii="Arial" w:cs="Arial" w:eastAsia="Arial" w:hAnsi="Arial"/>
                <w:sz w:val="18"/>
                <w:szCs w:val="18"/>
                <w:color w:val="auto"/>
                <w:w w:val="91"/>
              </w:rPr>
              <w:t>Nine Months Ended</w:t>
            </w:r>
          </w:p>
        </w:tc>
      </w:tr>
      <w:tr>
        <w:trPr>
          <w:trHeight w:val="217"/>
        </w:trPr>
        <w:tc>
          <w:tcPr>
            <w:tcW w:w="50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890"/>
              <w:spacing w:after="0"/>
              <w:rPr>
                <w:sz w:val="20"/>
                <w:szCs w:val="20"/>
                <w:color w:val="auto"/>
              </w:rPr>
            </w:pPr>
            <w:r>
              <w:rPr>
                <w:rFonts w:ascii="Arial" w:cs="Arial" w:eastAsia="Arial" w:hAnsi="Arial"/>
                <w:sz w:val="18"/>
                <w:szCs w:val="18"/>
                <w:color w:val="auto"/>
                <w:w w:val="95"/>
              </w:rPr>
              <w:t>March</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730"/>
              <w:spacing w:after="0"/>
              <w:rPr>
                <w:sz w:val="20"/>
                <w:szCs w:val="20"/>
                <w:color w:val="auto"/>
              </w:rPr>
            </w:pPr>
            <w:r>
              <w:rPr>
                <w:rFonts w:ascii="Arial" w:cs="Arial" w:eastAsia="Arial" w:hAnsi="Arial"/>
                <w:sz w:val="18"/>
                <w:szCs w:val="18"/>
                <w:color w:val="auto"/>
                <w:w w:val="95"/>
              </w:rPr>
              <w:t>March</w:t>
            </w:r>
          </w:p>
        </w:tc>
      </w:tr>
      <w:tr>
        <w:trPr>
          <w:trHeight w:val="196"/>
        </w:trPr>
        <w:tc>
          <w:tcPr>
            <w:tcW w:w="5000" w:type="dxa"/>
            <w:vAlign w:val="bottom"/>
          </w:tcPr>
          <w:p>
            <w:pPr>
              <w:spacing w:after="0"/>
              <w:rPr>
                <w:sz w:val="17"/>
                <w:szCs w:val="17"/>
                <w:color w:val="auto"/>
              </w:rPr>
            </w:pPr>
          </w:p>
        </w:tc>
        <w:tc>
          <w:tcPr>
            <w:tcW w:w="980" w:type="dxa"/>
            <w:vAlign w:val="bottom"/>
          </w:tcPr>
          <w:p>
            <w:pPr>
              <w:jc w:val="center"/>
              <w:ind w:left="250"/>
              <w:spacing w:after="0" w:line="196" w:lineRule="exact"/>
              <w:rPr>
                <w:sz w:val="20"/>
                <w:szCs w:val="20"/>
                <w:color w:val="auto"/>
              </w:rPr>
            </w:pPr>
            <w:r>
              <w:rPr>
                <w:rFonts w:ascii="Arial" w:cs="Arial" w:eastAsia="Arial" w:hAnsi="Arial"/>
                <w:sz w:val="18"/>
                <w:szCs w:val="18"/>
                <w:color w:val="auto"/>
                <w:w w:val="89"/>
              </w:rPr>
              <w:t>2022</w:t>
            </w:r>
          </w:p>
        </w:tc>
        <w:tc>
          <w:tcPr>
            <w:tcW w:w="1740" w:type="dxa"/>
            <w:vAlign w:val="bottom"/>
            <w:gridSpan w:val="3"/>
          </w:tcPr>
          <w:p>
            <w:pPr>
              <w:jc w:val="center"/>
              <w:ind w:left="330"/>
              <w:spacing w:after="0" w:line="196" w:lineRule="exact"/>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7"/>
                <w:szCs w:val="17"/>
                <w:color w:val="auto"/>
              </w:rPr>
            </w:pPr>
          </w:p>
        </w:tc>
        <w:tc>
          <w:tcPr>
            <w:tcW w:w="820" w:type="dxa"/>
            <w:vAlign w:val="bottom"/>
          </w:tcPr>
          <w:p>
            <w:pPr>
              <w:jc w:val="center"/>
              <w:ind w:left="170"/>
              <w:spacing w:after="0" w:line="196" w:lineRule="exact"/>
              <w:rPr>
                <w:sz w:val="20"/>
                <w:szCs w:val="20"/>
                <w:color w:val="auto"/>
              </w:rPr>
            </w:pPr>
            <w:r>
              <w:rPr>
                <w:rFonts w:ascii="Arial" w:cs="Arial" w:eastAsia="Arial" w:hAnsi="Arial"/>
                <w:sz w:val="18"/>
                <w:szCs w:val="18"/>
                <w:color w:val="auto"/>
                <w:w w:val="89"/>
              </w:rPr>
              <w:t>2022</w:t>
            </w:r>
          </w:p>
        </w:tc>
        <w:tc>
          <w:tcPr>
            <w:tcW w:w="1460" w:type="dxa"/>
            <w:vAlign w:val="bottom"/>
            <w:gridSpan w:val="3"/>
          </w:tcPr>
          <w:p>
            <w:pPr>
              <w:jc w:val="center"/>
              <w:ind w:left="290"/>
              <w:spacing w:after="0" w:line="196" w:lineRule="exact"/>
              <w:rPr>
                <w:sz w:val="20"/>
                <w:szCs w:val="20"/>
                <w:color w:val="auto"/>
              </w:rPr>
            </w:pPr>
            <w:r>
              <w:rPr>
                <w:rFonts w:ascii="Arial" w:cs="Arial" w:eastAsia="Arial" w:hAnsi="Arial"/>
                <w:sz w:val="18"/>
                <w:szCs w:val="18"/>
                <w:color w:val="auto"/>
                <w:w w:val="89"/>
              </w:rPr>
              <w:t>2021</w:t>
            </w: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Customer A</w:t>
            </w:r>
          </w:p>
        </w:tc>
        <w:tc>
          <w:tcPr>
            <w:tcW w:w="980" w:type="dxa"/>
            <w:vAlign w:val="bottom"/>
            <w:tcBorders>
              <w:top w:val="single" w:sz="8" w:color="auto"/>
            </w:tcBorders>
            <w:shd w:val="clear" w:color="auto" w:fill="CFF0FC"/>
          </w:tcPr>
          <w:p>
            <w:pPr>
              <w:jc w:val="center"/>
              <w:ind w:left="230"/>
              <w:spacing w:after="0" w:line="196" w:lineRule="exact"/>
              <w:rPr>
                <w:sz w:val="20"/>
                <w:szCs w:val="20"/>
                <w:color w:val="auto"/>
              </w:rPr>
            </w:pPr>
            <w:r>
              <w:rPr>
                <w:rFonts w:ascii="Arial" w:cs="Arial" w:eastAsia="Arial" w:hAnsi="Arial"/>
                <w:sz w:val="18"/>
                <w:szCs w:val="18"/>
                <w:color w:val="auto"/>
                <w:w w:val="94"/>
              </w:rPr>
              <w:t>14%</w:t>
            </w:r>
          </w:p>
        </w:tc>
        <w:tc>
          <w:tcPr>
            <w:tcW w:w="3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4"/>
              </w:rPr>
              <w:t>13%</w:t>
            </w:r>
          </w:p>
        </w:tc>
        <w:tc>
          <w:tcPr>
            <w:tcW w:w="10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center"/>
              <w:ind w:left="170"/>
              <w:spacing w:after="0" w:line="196" w:lineRule="exact"/>
              <w:rPr>
                <w:sz w:val="20"/>
                <w:szCs w:val="20"/>
                <w:color w:val="auto"/>
              </w:rPr>
            </w:pPr>
            <w:r>
              <w:rPr>
                <w:rFonts w:ascii="Arial" w:cs="Arial" w:eastAsia="Arial" w:hAnsi="Arial"/>
                <w:sz w:val="18"/>
                <w:szCs w:val="18"/>
                <w:color w:val="auto"/>
                <w:w w:val="88"/>
              </w:rPr>
              <w:t>13%</w:t>
            </w:r>
          </w:p>
        </w:tc>
        <w:tc>
          <w:tcPr>
            <w:tcW w:w="2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4"/>
              </w:rPr>
              <w:t>12%</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Customer B</w:t>
            </w:r>
          </w:p>
        </w:tc>
        <w:tc>
          <w:tcPr>
            <w:tcW w:w="980" w:type="dxa"/>
            <w:vAlign w:val="bottom"/>
          </w:tcPr>
          <w:p>
            <w:pPr>
              <w:jc w:val="center"/>
              <w:ind w:left="230"/>
              <w:spacing w:after="0" w:line="202" w:lineRule="exact"/>
              <w:rPr>
                <w:sz w:val="20"/>
                <w:szCs w:val="20"/>
                <w:color w:val="auto"/>
              </w:rPr>
            </w:pPr>
            <w:r>
              <w:rPr>
                <w:rFonts w:ascii="Arial" w:cs="Arial" w:eastAsia="Arial" w:hAnsi="Arial"/>
                <w:sz w:val="18"/>
                <w:szCs w:val="18"/>
                <w:color w:val="auto"/>
                <w:w w:val="94"/>
              </w:rPr>
              <w:t>14%</w:t>
            </w:r>
          </w:p>
        </w:tc>
        <w:tc>
          <w:tcPr>
            <w:tcW w:w="1740" w:type="dxa"/>
            <w:vAlign w:val="bottom"/>
            <w:gridSpan w:val="3"/>
          </w:tcPr>
          <w:p>
            <w:pPr>
              <w:jc w:val="center"/>
              <w:ind w:left="350"/>
              <w:spacing w:after="0" w:line="202" w:lineRule="exact"/>
              <w:rPr>
                <w:sz w:val="20"/>
                <w:szCs w:val="20"/>
                <w:color w:val="auto"/>
              </w:rPr>
            </w:pPr>
            <w:r>
              <w:rPr>
                <w:rFonts w:ascii="Arial" w:cs="Arial" w:eastAsia="Arial" w:hAnsi="Arial"/>
                <w:sz w:val="18"/>
                <w:szCs w:val="18"/>
                <w:color w:val="auto"/>
                <w:w w:val="94"/>
              </w:rPr>
              <w:t>11%</w:t>
            </w:r>
          </w:p>
        </w:tc>
        <w:tc>
          <w:tcPr>
            <w:tcW w:w="920" w:type="dxa"/>
            <w:vAlign w:val="bottom"/>
            <w:gridSpan w:val="2"/>
          </w:tcPr>
          <w:p>
            <w:pPr>
              <w:jc w:val="center"/>
              <w:ind w:left="270"/>
              <w:spacing w:after="0" w:line="202" w:lineRule="exact"/>
              <w:rPr>
                <w:sz w:val="20"/>
                <w:szCs w:val="20"/>
                <w:color w:val="auto"/>
              </w:rPr>
            </w:pPr>
            <w:r>
              <w:rPr>
                <w:rFonts w:ascii="Arial" w:cs="Arial" w:eastAsia="Arial" w:hAnsi="Arial"/>
                <w:sz w:val="18"/>
                <w:szCs w:val="18"/>
                <w:color w:val="auto"/>
                <w:w w:val="88"/>
              </w:rPr>
              <w:t>13%</w:t>
            </w:r>
          </w:p>
        </w:tc>
        <w:tc>
          <w:tcPr>
            <w:tcW w:w="1460" w:type="dxa"/>
            <w:vAlign w:val="bottom"/>
            <w:gridSpan w:val="3"/>
          </w:tcPr>
          <w:p>
            <w:pPr>
              <w:jc w:val="center"/>
              <w:ind w:left="290"/>
              <w:spacing w:after="0" w:line="202" w:lineRule="exact"/>
              <w:rPr>
                <w:sz w:val="20"/>
                <w:szCs w:val="20"/>
                <w:color w:val="auto"/>
              </w:rPr>
            </w:pPr>
            <w:r>
              <w:rPr>
                <w:rFonts w:ascii="Arial" w:cs="Arial" w:eastAsia="Arial" w:hAnsi="Arial"/>
                <w:sz w:val="18"/>
                <w:szCs w:val="18"/>
                <w:color w:val="auto"/>
                <w:w w:val="88"/>
              </w:rPr>
              <w:t>11%</w:t>
            </w: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C</w:t>
            </w:r>
          </w:p>
        </w:tc>
        <w:tc>
          <w:tcPr>
            <w:tcW w:w="980" w:type="dxa"/>
            <w:vAlign w:val="bottom"/>
            <w:shd w:val="clear" w:color="auto" w:fill="CFF0FC"/>
          </w:tcPr>
          <w:p>
            <w:pPr>
              <w:jc w:val="center"/>
              <w:ind w:left="230"/>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3"/>
            <w:shd w:val="clear" w:color="auto" w:fill="CFF0FC"/>
          </w:tcPr>
          <w:p>
            <w:pPr>
              <w:jc w:val="center"/>
              <w:ind w:left="35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center"/>
              <w:ind w:left="29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center"/>
              <w:ind w:left="270"/>
              <w:spacing w:after="0" w:line="202" w:lineRule="exact"/>
              <w:rPr>
                <w:sz w:val="20"/>
                <w:szCs w:val="20"/>
                <w:color w:val="auto"/>
              </w:rPr>
            </w:pPr>
            <w:r>
              <w:rPr>
                <w:rFonts w:ascii="Arial" w:cs="Arial" w:eastAsia="Arial" w:hAnsi="Arial"/>
                <w:sz w:val="18"/>
                <w:szCs w:val="18"/>
                <w:color w:val="auto"/>
                <w:w w:val="94"/>
              </w:rPr>
              <w:t>16%</w:t>
            </w:r>
          </w:p>
        </w:tc>
      </w:tr>
    </w:tbl>
    <w:p>
      <w:pPr>
        <w:spacing w:after="0" w:line="236" w:lineRule="auto"/>
        <w:rPr>
          <w:sz w:val="20"/>
          <w:szCs w:val="20"/>
          <w:color w:val="auto"/>
        </w:rPr>
      </w:pPr>
      <w:r>
        <w:rPr>
          <w:rFonts w:ascii="Arial" w:cs="Arial" w:eastAsia="Arial" w:hAnsi="Arial"/>
          <w:sz w:val="18"/>
          <w:szCs w:val="18"/>
          <w:color w:val="auto"/>
        </w:rPr>
        <w:t>____________________</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101"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320" w:type="dxa"/>
            <w:vAlign w:val="bottom"/>
          </w:tcPr>
          <w:p>
            <w:pPr>
              <w:ind w:left="420"/>
              <w:spacing w:after="0"/>
              <w:rPr>
                <w:sz w:val="20"/>
                <w:szCs w:val="20"/>
                <w:color w:val="auto"/>
              </w:rPr>
            </w:pPr>
            <w:r>
              <w:rPr>
                <w:rFonts w:ascii="Arial" w:cs="Arial" w:eastAsia="Arial" w:hAnsi="Arial"/>
                <w:sz w:val="18"/>
                <w:szCs w:val="18"/>
                <w:color w:val="auto"/>
              </w:rPr>
              <w:t>March</w:t>
            </w:r>
          </w:p>
        </w:tc>
        <w:tc>
          <w:tcPr>
            <w:tcW w:w="120" w:type="dxa"/>
            <w:vAlign w:val="bottom"/>
          </w:tcPr>
          <w:p>
            <w:pPr>
              <w:spacing w:after="0"/>
              <w:rPr>
                <w:sz w:val="17"/>
                <w:szCs w:val="17"/>
                <w:color w:val="auto"/>
              </w:rPr>
            </w:pPr>
          </w:p>
        </w:tc>
        <w:tc>
          <w:tcPr>
            <w:tcW w:w="1320" w:type="dxa"/>
            <w:vAlign w:val="bottom"/>
          </w:tcPr>
          <w:p>
            <w:pPr>
              <w:ind w:left="500"/>
              <w:spacing w:after="0"/>
              <w:rPr>
                <w:sz w:val="20"/>
                <w:szCs w:val="20"/>
                <w:color w:val="auto"/>
              </w:rPr>
            </w:pPr>
            <w:r>
              <w:rPr>
                <w:rFonts w:ascii="Arial" w:cs="Arial" w:eastAsia="Arial" w:hAnsi="Arial"/>
                <w:sz w:val="18"/>
                <w:szCs w:val="18"/>
                <w:color w:val="auto"/>
              </w:rPr>
              <w:t>June</w:t>
            </w:r>
          </w:p>
        </w:tc>
      </w:tr>
      <w:tr>
        <w:trPr>
          <w:trHeight w:val="217"/>
        </w:trPr>
        <w:tc>
          <w:tcPr>
            <w:tcW w:w="5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r>
      <w:tr>
        <w:trPr>
          <w:trHeight w:val="398"/>
        </w:trPr>
        <w:tc>
          <w:tcPr>
            <w:tcW w:w="5100" w:type="dxa"/>
            <w:vAlign w:val="bottom"/>
          </w:tcPr>
          <w:p>
            <w:pPr>
              <w:spacing w:after="0"/>
              <w:rPr>
                <w:sz w:val="20"/>
                <w:szCs w:val="20"/>
                <w:color w:val="auto"/>
              </w:rPr>
            </w:pPr>
            <w:r>
              <w:rPr>
                <w:rFonts w:ascii="Arial" w:cs="Arial" w:eastAsia="Arial" w:hAnsi="Arial"/>
                <w:sz w:val="18"/>
                <w:szCs w:val="18"/>
                <w:color w:val="auto"/>
              </w:rPr>
              <w:t>Customer A</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21%</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15%</w:t>
            </w:r>
          </w:p>
        </w:tc>
      </w:tr>
      <w:tr>
        <w:trPr>
          <w:trHeight w:val="203"/>
        </w:trPr>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B</w:t>
            </w:r>
          </w:p>
        </w:tc>
        <w:tc>
          <w:tcPr>
            <w:tcW w:w="13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10%</w:t>
            </w:r>
          </w:p>
        </w:tc>
        <w:tc>
          <w:tcPr>
            <w:tcW w:w="144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88"/>
              </w:rPr>
              <w:t>12%</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Customer C</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Comprehensive Income</w:t>
      </w:r>
    </w:p>
    <w:p>
      <w:pPr>
        <w:spacing w:after="0" w:line="108"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Our comprehensive income generally consists of unrealized gains or losses on our available-for-sale securities. We recognize foreign currency remeasurement adjustments and foreign currency transaction gains and losses in our condensed consolidated statements of income as the U.S. dollar is the functional currency of our foreign entities.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Activities</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During fiscal 2022, we initiated restructuring activities which were for activities intended to further improve efficiencies in our operational activities. The restructuring costs related to these activities were recorded to the restructuring costs line item within our condensed consolidated statements of income. These activities are expected to be complete by the end of fiscal 2022. The restructuring liability activity for these restructuring activities during fiscal 2022 was as follows (in millions):</w:t>
      </w:r>
    </w:p>
    <w:p>
      <w:pPr>
        <w:spacing w:after="0" w:line="210"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2"/>
          </w:tcPr>
          <w:p>
            <w:pPr>
              <w:jc w:val="right"/>
              <w:ind w:right="740"/>
              <w:spacing w:after="0"/>
              <w:rPr>
                <w:sz w:val="20"/>
                <w:szCs w:val="20"/>
                <w:color w:val="auto"/>
              </w:rPr>
            </w:pPr>
            <w:r>
              <w:rPr>
                <w:rFonts w:ascii="Arial" w:cs="Arial" w:eastAsia="Arial" w:hAnsi="Arial"/>
                <w:sz w:val="18"/>
                <w:szCs w:val="18"/>
                <w:color w:val="auto"/>
              </w:rPr>
              <w:t>Employee Severance</w:t>
            </w:r>
          </w:p>
        </w:tc>
        <w:tc>
          <w:tcPr>
            <w:tcW w:w="0" w:type="dxa"/>
            <w:vAlign w:val="bottom"/>
          </w:tcPr>
          <w:p>
            <w:pPr>
              <w:spacing w:after="0"/>
              <w:rPr>
                <w:sz w:val="1"/>
                <w:szCs w:val="1"/>
                <w:color w:val="auto"/>
              </w:rPr>
            </w:pPr>
          </w:p>
        </w:tc>
      </w:tr>
      <w:tr>
        <w:trPr>
          <w:trHeight w:val="217"/>
        </w:trPr>
        <w:tc>
          <w:tcPr>
            <w:tcW w:w="4660" w:type="dxa"/>
            <w:vAlign w:val="bottom"/>
            <w:vMerge w:val="restart"/>
          </w:tcPr>
          <w:p>
            <w:pPr>
              <w:spacing w:after="0"/>
              <w:rPr>
                <w:sz w:val="20"/>
                <w:szCs w:val="20"/>
                <w:color w:val="auto"/>
              </w:rPr>
            </w:pPr>
            <w:r>
              <w:rPr>
                <w:rFonts w:ascii="Arial" w:cs="Arial" w:eastAsia="Arial" w:hAnsi="Arial"/>
                <w:sz w:val="18"/>
                <w:szCs w:val="18"/>
                <w:color w:val="auto"/>
              </w:rPr>
              <w:t>Balance, June 26, 2021</w:t>
            </w:r>
          </w:p>
        </w:tc>
        <w:tc>
          <w:tcPr>
            <w:tcW w:w="360" w:type="dxa"/>
            <w:vAlign w:val="bottom"/>
          </w:tcPr>
          <w:p>
            <w:pPr>
              <w:spacing w:after="0"/>
              <w:rPr>
                <w:sz w:val="18"/>
                <w:szCs w:val="18"/>
                <w:color w:val="auto"/>
              </w:rPr>
            </w:pPr>
          </w:p>
        </w:tc>
        <w:tc>
          <w:tcPr>
            <w:tcW w:w="2500" w:type="dxa"/>
            <w:vAlign w:val="bottom"/>
            <w:gridSpan w:val="2"/>
          </w:tcPr>
          <w:p>
            <w:pPr>
              <w:jc w:val="right"/>
              <w:ind w:right="1040"/>
              <w:spacing w:after="0"/>
              <w:rPr>
                <w:sz w:val="20"/>
                <w:szCs w:val="20"/>
                <w:color w:val="auto"/>
              </w:rPr>
            </w:pPr>
            <w:r>
              <w:rPr>
                <w:rFonts w:ascii="Arial" w:cs="Arial" w:eastAsia="Arial" w:hAnsi="Arial"/>
                <w:sz w:val="18"/>
                <w:szCs w:val="18"/>
                <w:color w:val="auto"/>
              </w:rPr>
              <w:t>and Benefits</w:t>
            </w:r>
          </w:p>
        </w:tc>
        <w:tc>
          <w:tcPr>
            <w:tcW w:w="0" w:type="dxa"/>
            <w:vAlign w:val="bottom"/>
          </w:tcPr>
          <w:p>
            <w:pPr>
              <w:spacing w:after="0"/>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360" w:type="dxa"/>
            <w:vAlign w:val="bottom"/>
            <w:tcBorders>
              <w:top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2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Accruals</w:t>
            </w:r>
          </w:p>
        </w:tc>
        <w:tc>
          <w:tcPr>
            <w:tcW w:w="360" w:type="dxa"/>
            <w:vAlign w:val="bottom"/>
            <w:shd w:val="clear" w:color="auto" w:fill="CFF0FC"/>
          </w:tcPr>
          <w:p>
            <w:pPr>
              <w:spacing w:after="0"/>
              <w:rPr>
                <w:sz w:val="17"/>
                <w:szCs w:val="17"/>
                <w:color w:val="auto"/>
              </w:rPr>
            </w:pPr>
          </w:p>
        </w:tc>
        <w:tc>
          <w:tcPr>
            <w:tcW w:w="2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Cash payments</w:t>
            </w:r>
          </w:p>
        </w:tc>
        <w:tc>
          <w:tcPr>
            <w:tcW w:w="360" w:type="dxa"/>
            <w:vAlign w:val="bottom"/>
          </w:tcPr>
          <w:p>
            <w:pPr>
              <w:spacing w:after="0"/>
              <w:rPr>
                <w:sz w:val="17"/>
                <w:szCs w:val="17"/>
                <w:color w:val="auto"/>
              </w:rPr>
            </w:pPr>
          </w:p>
        </w:tc>
        <w:tc>
          <w:tcPr>
            <w:tcW w:w="2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March 26, 2022</w:t>
            </w: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2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jc w:val="both"/>
        <w:ind w:firstLine="509"/>
        <w:spacing w:after="0" w:line="262" w:lineRule="auto"/>
        <w:rPr>
          <w:sz w:val="20"/>
          <w:szCs w:val="20"/>
          <w:color w:val="auto"/>
        </w:rPr>
      </w:pPr>
      <w:r>
        <w:rPr>
          <w:rFonts w:ascii="Arial" w:cs="Arial" w:eastAsia="Arial" w:hAnsi="Arial"/>
          <w:sz w:val="17"/>
          <w:szCs w:val="17"/>
          <w:color w:val="auto"/>
        </w:rPr>
        <w:t>During the second quarter of fiscal 2022, we initiated restructuring activities, which included severance costs for activities intended to gain synergies from the DSPG acquisition as well as accelerated vesting on equity awards. The restructuring costs related to these activities were recorded to the restructuring costs line item within our condensed consolidated statements of income, and the restructuring activities are expected to be complete by the end of fiscal 2022. The restructuring liability activity for these restructuring activities during fiscal 2022 was as follows (in millions):</w:t>
      </w:r>
    </w:p>
    <w:p>
      <w:pPr>
        <w:sectPr>
          <w:pgSz w:w="11900" w:h="16838" w:orient="portrait"/>
          <w:cols w:equalWidth="0" w:num="1">
            <w:col w:w="11220"/>
          </w:cols>
          <w:pgMar w:left="320" w:top="43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June 26, 2021</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Accruals</w:t>
      </w:r>
    </w:p>
    <w:p>
      <w:pPr>
        <w:ind w:left="1880"/>
        <w:spacing w:after="0"/>
        <w:rPr>
          <w:sz w:val="20"/>
          <w:szCs w:val="20"/>
          <w:color w:val="auto"/>
        </w:rPr>
      </w:pPr>
      <w:r>
        <w:rPr>
          <w:rFonts w:ascii="Arial" w:cs="Arial" w:eastAsia="Arial" w:hAnsi="Arial"/>
          <w:sz w:val="16"/>
          <w:szCs w:val="16"/>
          <w:color w:val="auto"/>
        </w:rPr>
        <w:t>Accelerated vesting on equity awards</w:t>
      </w:r>
    </w:p>
    <w:p>
      <w:pPr>
        <w:spacing w:after="0" w:line="3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Cash payments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March 26, 2022</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420" w:type="dxa"/>
            <w:vAlign w:val="bottom"/>
            <w:gridSpan w:val="2"/>
          </w:tcPr>
          <w:p>
            <w:pPr>
              <w:jc w:val="right"/>
              <w:ind w:right="660"/>
              <w:spacing w:after="0"/>
              <w:rPr>
                <w:sz w:val="20"/>
                <w:szCs w:val="20"/>
                <w:color w:val="auto"/>
              </w:rPr>
            </w:pPr>
            <w:r>
              <w:rPr>
                <w:rFonts w:ascii="Arial" w:cs="Arial" w:eastAsia="Arial" w:hAnsi="Arial"/>
                <w:sz w:val="18"/>
                <w:szCs w:val="18"/>
                <w:color w:val="auto"/>
              </w:rPr>
              <w:t>Employee Severance</w:t>
            </w:r>
          </w:p>
        </w:tc>
      </w:tr>
      <w:tr>
        <w:trPr>
          <w:trHeight w:val="217"/>
        </w:trPr>
        <w:tc>
          <w:tcPr>
            <w:tcW w:w="360" w:type="dxa"/>
            <w:vAlign w:val="bottom"/>
          </w:tcPr>
          <w:p>
            <w:pPr>
              <w:spacing w:after="0"/>
              <w:rPr>
                <w:sz w:val="18"/>
                <w:szCs w:val="18"/>
                <w:color w:val="auto"/>
              </w:rPr>
            </w:pPr>
          </w:p>
        </w:tc>
        <w:tc>
          <w:tcPr>
            <w:tcW w:w="2420" w:type="dxa"/>
            <w:vAlign w:val="bottom"/>
            <w:gridSpan w:val="2"/>
          </w:tcPr>
          <w:p>
            <w:pPr>
              <w:jc w:val="right"/>
              <w:ind w:right="960"/>
              <w:spacing w:after="0"/>
              <w:rPr>
                <w:sz w:val="20"/>
                <w:szCs w:val="20"/>
                <w:color w:val="auto"/>
              </w:rPr>
            </w:pPr>
            <w:r>
              <w:rPr>
                <w:rFonts w:ascii="Arial" w:cs="Arial" w:eastAsia="Arial" w:hAnsi="Arial"/>
                <w:sz w:val="18"/>
                <w:szCs w:val="18"/>
                <w:color w:val="auto"/>
              </w:rPr>
              <w:t>and Benefits</w:t>
            </w:r>
          </w:p>
        </w:tc>
      </w:tr>
      <w:tr>
        <w:trPr>
          <w:trHeight w:val="182"/>
        </w:trPr>
        <w:tc>
          <w:tcPr>
            <w:tcW w:w="36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23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r>
      <w:tr>
        <w:trPr>
          <w:trHeight w:val="203"/>
        </w:trPr>
        <w:tc>
          <w:tcPr>
            <w:tcW w:w="360" w:type="dxa"/>
            <w:vAlign w:val="bottom"/>
          </w:tcPr>
          <w:p>
            <w:pPr>
              <w:spacing w:after="0"/>
              <w:rPr>
                <w:sz w:val="17"/>
                <w:szCs w:val="17"/>
                <w:color w:val="auto"/>
              </w:rPr>
            </w:pPr>
          </w:p>
        </w:tc>
        <w:tc>
          <w:tcPr>
            <w:tcW w:w="23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6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23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60" w:type="dxa"/>
            <w:vAlign w:val="bottom"/>
          </w:tcPr>
          <w:p>
            <w:pPr>
              <w:spacing w:after="0"/>
              <w:rPr>
                <w:sz w:val="17"/>
                <w:szCs w:val="17"/>
                <w:color w:val="auto"/>
              </w:rPr>
            </w:pPr>
          </w:p>
        </w:tc>
      </w:tr>
      <w:tr>
        <w:trPr>
          <w:trHeight w:val="217"/>
        </w:trPr>
        <w:tc>
          <w:tcPr>
            <w:tcW w:w="360" w:type="dxa"/>
            <w:vAlign w:val="bottom"/>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(12.1 )</w:t>
            </w:r>
          </w:p>
        </w:tc>
      </w:tr>
      <w:tr>
        <w:trPr>
          <w:trHeight w:val="196"/>
        </w:trPr>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2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-676910</wp:posOffset>
            </wp:positionV>
            <wp:extent cx="477456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74565" cy="12890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-419735</wp:posOffset>
            </wp:positionV>
            <wp:extent cx="477456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74565" cy="12890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-153670</wp:posOffset>
            </wp:positionV>
            <wp:extent cx="477456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7456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60"/>
          </w:cols>
          <w:pgMar w:left="320" w:top="436" w:right="359" w:bottom="1440" w:gutter="0" w:footer="0" w:header="0"/>
          <w:type w:val="continuous"/>
        </w:sect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type w:val="continuous"/>
        </w:sectPr>
      </w:pPr>
    </w:p>
    <w:bookmarkStart w:id="25" w:name="page26"/>
    <w:bookmarkEnd w:id="25"/>
    <w:p>
      <w:pPr>
        <w:ind w:right="1220"/>
        <w:spacing w:after="0" w:line="36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This Quarterly Report on Form 10-Q for the quarter ended March 26, 2022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mobile product applications market and the PC product applications market for a substantial portion of our revenue; risks related to the volatility of our net revenue from our solutions for mobile product applications; our dependence on one or more large customers; the risk that our business, results of operations and financial condition (including liquidity) and prospects may be materially and adversely affected by health epidemics, including the COVID-19 pandemic; our exposure to industry downturns and cyclicality in our target markets; the risk that our product solutions for new markets will not be successful; global supply chain disruptions and component shortages that are currently affecting the semiconductor industry as a whole; our ability to maintain and build relationships with our customers; our dependence on third parties to maintain satisfactory manufacturing yields and deliverable schedule; and the risks as identified in the “Risk Factors,” “Management’s Discussion and Analysis of Financial Condition and Results of Operations” and “Business” sections of our Annual Report on Form 10-K for the fiscal year ended June 26, 2021,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375" w:lineRule="exact"/>
        <w:rPr>
          <w:sz w:val="20"/>
          <w:szCs w:val="20"/>
          <w:color w:val="auto"/>
        </w:rPr>
      </w:pPr>
    </w:p>
    <w:p>
      <w:pPr>
        <w:ind w:right="820" w:firstLine="509"/>
        <w:spacing w:after="0" w:line="261"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0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On March 11, 2020, the World Health Organization declared the COVID-19 outbreak a global pandemic. In response to the outbreak, governmental authorities implemented numerous containment measures, including travel bans and restrictions, quarantines, shelter-in-place orders, and business restrictions and shutdowns, resulting in rapidly changing market and economic conditions. In certain countries in which we operate, governments took swift and effective measures to stem the spread, while in other countries in which we operate governments were slow to react or missed opportunities to effectively contain the spread. Although some of these restrictions and other containment measures have since been lifted or scaled back, ongoing surges of COVID-19 have resulted in the re-imposition of certain restrictions and containment measures and may lead to other restrictions being re-implemented in the future in response to efforts to reduce the rapid spread of COVID-19 and its variants.</w:t>
      </w:r>
    </w:p>
    <w:p>
      <w:pPr>
        <w:spacing w:after="0" w:line="72"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 health and wellbeing of our workforce is our highest priority. Many of our employees have worked from home at times during the COVID-19 pandemic in order to minimize the potential risk of spread of COVID-19 in our office environment, or as required by local governments, including ongoing mandatory lockdowns and forced quarantines in Shanghai. Many employees who have been fully vaccinated have returned to the office environment on a part- or full-time basis, where permitted. As more employees return to the office, we will continue to adhere to return to work protocols, based on guidance from local and global health organizations and applicable laws and regulations.</w:t>
      </w:r>
    </w:p>
    <w:p>
      <w:pPr>
        <w:spacing w:after="0" w:line="66"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While the severity and duration of business disruption to our customers and suppliers due to the COVID-19 pandemic continues to remain uncertain, we expect that the ongoing global vaccination programs will continue to moderate the overall severity and duration and remain optimistic the most significant impact has passed. As more COVID-19 variants continue to emerge, some of which may be more infectious and may have greater resistance to the existing vaccines, we could experience episodes of renewed and sustained business disruption. To date, we have not incurred significant disruptions to our business or a materially negative impact on our condensed consolidated results of operations and financial condition from the COVID-19 outbreak, and we continue to believe our business will not be severely impacted as steps continue to be taken globally to mitigate the spread, vaccinate large portions of the population and achieve herd immunity.</w:t>
      </w:r>
    </w:p>
    <w:p>
      <w:pPr>
        <w:spacing w:after="0" w:line="72"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We will continue to evaluate the nature and scope of the impact of COVID-19 to our business, consolidated results of operations, and financial condition and may take further actions altering our business operations and managing our costs and liquidity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ind w:right="300"/>
        <w:spacing w:after="0" w:line="360" w:lineRule="auto"/>
        <w:rPr>
          <w:sz w:val="20"/>
          <w:szCs w:val="20"/>
          <w:color w:val="auto"/>
        </w:rPr>
      </w:pPr>
      <w:r>
        <w:rPr>
          <w:rFonts w:ascii="Arial" w:cs="Arial" w:eastAsia="Arial" w:hAnsi="Arial"/>
          <w:sz w:val="18"/>
          <w:szCs w:val="18"/>
          <w:color w:val="auto"/>
        </w:rPr>
        <w:t xml:space="preserve">that we deem necessary or appropriate to respond to this fast moving and uncertain global health crisis and the resulting global economic consequences. </w:t>
      </w:r>
      <w:r>
        <w:rPr>
          <w:rFonts w:ascii="Arial" w:cs="Arial" w:eastAsia="Arial" w:hAnsi="Arial"/>
          <w:sz w:val="18"/>
          <w:szCs w:val="18"/>
          <w:b w:val="1"/>
          <w:bCs w:val="1"/>
          <w:color w:val="auto"/>
        </w:rPr>
        <w:t>Overview</w:t>
      </w:r>
    </w:p>
    <w:p>
      <w:pPr>
        <w:ind w:right="180" w:firstLine="509"/>
        <w:spacing w:after="0" w:line="259" w:lineRule="auto"/>
        <w:rPr>
          <w:sz w:val="20"/>
          <w:szCs w:val="20"/>
          <w:color w:val="auto"/>
        </w:rPr>
      </w:pPr>
      <w:r>
        <w:rPr>
          <w:rFonts w:ascii="Arial" w:cs="Arial" w:eastAsia="Arial" w:hAnsi="Arial"/>
          <w:sz w:val="17"/>
          <w:szCs w:val="17"/>
          <w:color w:val="auto"/>
        </w:rPr>
        <w:t>We are a leading worldwide developer and supplier of custom-designed semiconductor solutions that is changing the way humans engage with connected devices and data, engineering exceptional experiences throughout the home, at work, in the car and on the go. Our current served markets include Internet of Things, or IoT, personal computer, or PC, and Mobile. We deliver complete chip, firmware and software semiconductor solutions that include connectivity products, audio input and output System-On-Chips, or SoCs, high-definition video and vision SoCs, SoCs with artificial intelligence capabilities, touch controllers, touchpads, display drivers and fingerprint biometric sensors.</w:t>
      </w:r>
    </w:p>
    <w:p>
      <w:pPr>
        <w:spacing w:after="0" w:line="66"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We are a market leader in providing premium mixed signal semiconductor solutions to our target markets. Our Original Equipment Manufacturer, or OEM, customers include many of the world’s largest OEMs for smart home devices, automotive solutions, notebook computers and peripherals, smartphones and tablets, and many large OEMs for audio and video products. We generally supply our product solutions to our OEM customers through their contract manufacturers, which take delivery of our products and pay us directly for such products.</w:t>
      </w:r>
    </w:p>
    <w:p>
      <w:pPr>
        <w:spacing w:after="0" w:line="172"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As a result of recent supply constraints and capacity shortages affecting the global semiconductor industry, we have entered into long-term capacity and pricing agreements with some suppliers. We use third-party wafer manufacturers to supply wafers and third-party packaging manufacturers to package our proprietary application specific integrated circuits, or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67"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 xml:space="preserve">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w:t>
      </w:r>
      <w:r>
        <w:rPr>
          <w:rFonts w:ascii="Arial" w:cs="Arial" w:eastAsia="Arial" w:hAnsi="Arial"/>
          <w:sz w:val="16"/>
          <w:szCs w:val="16"/>
          <w:color w:val="252525"/>
        </w:rPr>
        <w:t>expense in-process research and development projects acquired as part of a business acquisition, which have not yet reached</w:t>
      </w:r>
      <w:r>
        <w:rPr>
          <w:rFonts w:ascii="Arial" w:cs="Arial" w:eastAsia="Arial" w:hAnsi="Arial"/>
          <w:sz w:val="16"/>
          <w:szCs w:val="16"/>
          <w:color w:val="auto"/>
        </w:rPr>
        <w:t xml:space="preserve"> </w:t>
      </w:r>
      <w:r>
        <w:rPr>
          <w:rFonts w:ascii="Arial" w:cs="Arial" w:eastAsia="Arial" w:hAnsi="Arial"/>
          <w:sz w:val="16"/>
          <w:szCs w:val="16"/>
          <w:color w:val="252525"/>
        </w:rPr>
        <w:t xml:space="preserve">technological feasibility, and which have no foreseeable alternative future use. </w:t>
      </w:r>
      <w:r>
        <w:rPr>
          <w:rFonts w:ascii="Arial" w:cs="Arial" w:eastAsia="Arial" w:hAnsi="Arial"/>
          <w:sz w:val="16"/>
          <w:szCs w:val="16"/>
          <w:color w:val="000000"/>
        </w:rPr>
        <w:t>We continue to commit to the technological and design innovation required</w:t>
      </w:r>
      <w:r>
        <w:rPr>
          <w:rFonts w:ascii="Arial" w:cs="Arial" w:eastAsia="Arial" w:hAnsi="Arial"/>
          <w:sz w:val="16"/>
          <w:szCs w:val="16"/>
          <w:color w:val="252525"/>
        </w:rPr>
        <w:t xml:space="preserve"> </w:t>
      </w:r>
      <w:r>
        <w:rPr>
          <w:rFonts w:ascii="Arial" w:cs="Arial" w:eastAsia="Arial" w:hAnsi="Arial"/>
          <w:sz w:val="16"/>
          <w:szCs w:val="16"/>
          <w:color w:val="000000"/>
        </w:rPr>
        <w:t>to maintain our position in our existing markets, and to adapt our existing technologies or develop new technologies for new markets.</w:t>
      </w:r>
    </w:p>
    <w:p>
      <w:pPr>
        <w:spacing w:after="0" w:line="159"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Restructuring costs primarily reflect severance costs related to the restructuring of our operations to reduce operating expenses. These headcount related costs were in cost of revenue, research and development, and selling, general and administrative expenses.</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Interest and other expense, net, primarily reflects loss on extinguishment of debt as discussed in Note 11 Debt to the condensed consolidated financial statements contained elsewhere in this Report, interest expense on our senior notes, convertible notes and revolving line of credit as well as the amortization of debt issuance costs and discount on our convertible notes, partially offset by interest income earned on our cash, cash equivalents and short-term investments.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right="60" w:firstLine="509"/>
        <w:spacing w:after="0" w:line="261" w:lineRule="auto"/>
        <w:rPr>
          <w:sz w:val="20"/>
          <w:szCs w:val="20"/>
          <w:color w:val="auto"/>
        </w:rPr>
      </w:pPr>
      <w:r>
        <w:rPr>
          <w:rFonts w:ascii="Arial" w:cs="Arial" w:eastAsia="Arial" w:hAnsi="Arial"/>
          <w:sz w:val="18"/>
          <w:szCs w:val="18"/>
          <w:color w:val="auto"/>
        </w:rPr>
        <w:t>The gain from the sale of our equity investment in OXI Technology Ltd., was recorded as part of the equity investment gain (loss) in the condensed consolidated statements of income.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212"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On August 30, 2021, we entered into an agreement and plan of merger with DSP Group, Inc, or DSPG, to acquire all of the equity of DSPG for $22.00 per share of common stock. The transaction closed on December 2, 2021. As of March 26, 2022, our preliminary purchase consideration was $543.3 million, net of measurement period adjustments.</w:t>
      </w:r>
    </w:p>
    <w:p>
      <w:pPr>
        <w:spacing w:after="0" w:line="182"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We financed the transaction through a combination of cash on hand and a new $600.0 million incremental term loan facility under our existing senior credit facility.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results of DSPG are included in our condensed consolidated financial statements for the periods from December 3,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212" w:lineRule="exact"/>
        <w:rPr>
          <w:sz w:val="20"/>
          <w:szCs w:val="20"/>
          <w:color w:val="auto"/>
        </w:rPr>
      </w:pPr>
    </w:p>
    <w:p>
      <w:pPr>
        <w:jc w:val="both"/>
        <w:ind w:right="120" w:firstLine="509"/>
        <w:spacing w:after="0" w:line="270" w:lineRule="auto"/>
        <w:rPr>
          <w:sz w:val="20"/>
          <w:szCs w:val="20"/>
          <w:color w:val="auto"/>
        </w:rPr>
      </w:pPr>
      <w:r>
        <w:rPr>
          <w:rFonts w:ascii="Arial" w:cs="Arial" w:eastAsia="Arial" w:hAnsi="Arial"/>
          <w:sz w:val="17"/>
          <w:szCs w:val="17"/>
          <w:color w:val="auto"/>
        </w:rPr>
        <w:t>On July 17, 2020, we entered into a definitive agreement to acquire all of the equity interests in DisplayLink Corporation, or DisplayLink, a leader in high-performance video compression technology. The acquisition closed on July 31, 2020. Our purchase consideration was $444.0 million. The results of DisplayLink are included in our condensed consolidated financial statements for the periods from August 1,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21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On July 2, 2020, we entered into definitive agreements with Broadcom, Inc., or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We also entered into certain transition agreements with Broadcom for a period of three years. The results of the Broadcom Business Acquisition are included in our condensed consolidated financial statements for periods from July 24,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1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nine months ended March 26, 2022, compared with our critical accounting policies and estimates disclosed in Management’s Discussion and Analysis of Financial Condition and Results of Operations included in our Annual Report on Form 10-K for the fiscal year ended June 26, 2021.</w:t>
      </w:r>
    </w:p>
    <w:p>
      <w:pPr>
        <w:spacing w:after="0" w:line="70" w:lineRule="exact"/>
        <w:rPr>
          <w:sz w:val="20"/>
          <w:szCs w:val="20"/>
          <w:color w:val="auto"/>
        </w:rPr>
      </w:pPr>
    </w:p>
    <w:p>
      <w:pPr>
        <w:jc w:val="center"/>
        <w:ind w:right="9240"/>
        <w:spacing w:after="0"/>
        <w:rPr>
          <w:sz w:val="20"/>
          <w:szCs w:val="20"/>
          <w:color w:val="auto"/>
        </w:rPr>
      </w:pPr>
      <w:r>
        <w:rPr>
          <w:rFonts w:ascii="Arial" w:cs="Arial" w:eastAsia="Arial" w:hAnsi="Arial"/>
          <w:sz w:val="16"/>
          <w:szCs w:val="16"/>
          <w:b w:val="1"/>
          <w:bCs w:val="1"/>
          <w:color w:val="auto"/>
        </w:rPr>
        <w:t>Trends and Uncertainties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Supply Chain</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availability of various products is dependent on our suppliers, their locations, and the extent to which they are impacted by logistical constraints, local COVID-19 protocols, or their allocation of available supply to us. We continue to monitor and proactively work with our supply chain partners to secure capacity to meet end-customer demand. Further, during fiscal 2022 we have seen input price increases from our supply chain partners; however, we have worked closely with many of our customers to pass-through these increases in a manner that has not materially impacted our results of operations for the three and nine months ended March 26, 2022.</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Workforce</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ability to hire and secure critical hardware and software engineers to expand our research and development activities is currently constrained in many of the geographic markets in which we operate. The competition for available engineering talent has intensified for a variety of reasons resulting in wage inflation in the semiconductor development industry. Our ability to attract and retain skilled employees is critical to the long-term growth and success of our business.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Beginning in fiscal 2022, we are accounting for virtual reality revenue in IoT product applications rather than Mobile product applications. To conform the prior period revenue presentation to the current period revenue presentation, we reclassified $5.4 million and $19.5 million of virtual reality product revenue from Mobile product applications to IoT product applications for the three and nine months ended March 27, 2021, respectively. Certain of the data used in our condensed consolidated statements of income for the periods indicated, together with comparative absolute and percentage changes in these amounts, were as follows (in millions, except percentages):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3"/>
              </w:rPr>
              <w:t>Three Months Ended March</w:t>
            </w:r>
          </w:p>
        </w:tc>
        <w:tc>
          <w:tcPr>
            <w:tcW w:w="8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2"/>
              </w:rPr>
              <w:t>Nine Months Ended March</w:t>
            </w:r>
          </w:p>
        </w:tc>
        <w:tc>
          <w:tcPr>
            <w:tcW w:w="8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 Change</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1"/>
              </w:rPr>
              <w:t>% Change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Change</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1"/>
              </w:rPr>
              <w:t>% Change</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IoT product applications</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151.4</w:t>
            </w: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150.2</w:t>
            </w:r>
          </w:p>
        </w:tc>
        <w:tc>
          <w:tcPr>
            <w:tcW w:w="18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99.2</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768.8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435.0</w:t>
            </w: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333.8</w:t>
            </w:r>
          </w:p>
        </w:tc>
        <w:tc>
          <w:tcPr>
            <w:tcW w:w="1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76.7</w:t>
            </w:r>
          </w:p>
        </w:tc>
        <w:tc>
          <w:tcPr>
            <w:tcW w:w="3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line="202" w:lineRule="exact"/>
              <w:rPr>
                <w:sz w:val="20"/>
                <w:szCs w:val="20"/>
                <w:color w:val="auto"/>
              </w:rPr>
            </w:pPr>
            <w:r>
              <w:rPr>
                <w:rFonts w:ascii="Arial" w:cs="Arial" w:eastAsia="Arial" w:hAnsi="Arial"/>
                <w:sz w:val="18"/>
                <w:szCs w:val="18"/>
                <w:color w:val="auto"/>
              </w:rPr>
              <w:t>PC product applications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98.4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(8.3 )</w:t>
            </w:r>
          </w:p>
        </w:tc>
        <w:tc>
          <w:tcPr>
            <w:tcW w:w="60" w:type="dxa"/>
            <w:vAlign w:val="bottom"/>
          </w:tcPr>
          <w:p>
            <w:pPr>
              <w:spacing w:after="0"/>
              <w:rPr>
                <w:sz w:val="17"/>
                <w:szCs w:val="17"/>
                <w:color w:val="auto"/>
              </w:rPr>
            </w:pPr>
          </w:p>
        </w:tc>
        <w:tc>
          <w:tcPr>
            <w:tcW w:w="12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(8.4 %)</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270.4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(9.0 )</w:t>
            </w:r>
          </w:p>
        </w:tc>
        <w:tc>
          <w:tcPr>
            <w:tcW w:w="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3"/>
        </w:trPr>
        <w:tc>
          <w:tcPr>
            <w:tcW w:w="2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Mobile product applications</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3.2 %</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(73.3 )</w:t>
            </w:r>
          </w:p>
        </w:tc>
        <w:tc>
          <w:tcPr>
            <w:tcW w:w="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196"/>
        </w:trPr>
        <w:tc>
          <w:tcPr>
            <w:tcW w:w="270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revenue</w:t>
            </w: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470.1</w:t>
            </w: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325.8</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144.3</w:t>
            </w:r>
          </w:p>
        </w:tc>
        <w:tc>
          <w:tcPr>
            <w:tcW w:w="18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260" w:type="dxa"/>
            <w:vAlign w:val="bottom"/>
            <w:tcBorders>
              <w:top w:val="single" w:sz="8" w:color="CFF0FC"/>
            </w:tcBorders>
            <w:gridSpan w:val="2"/>
          </w:tcPr>
          <w:p>
            <w:pPr>
              <w:jc w:val="right"/>
              <w:ind w:right="150"/>
              <w:spacing w:after="0" w:line="196" w:lineRule="exact"/>
              <w:rPr>
                <w:sz w:val="20"/>
                <w:szCs w:val="20"/>
                <w:color w:val="auto"/>
              </w:rPr>
            </w:pPr>
            <w:r>
              <w:rPr>
                <w:rFonts w:ascii="Arial" w:cs="Arial" w:eastAsia="Arial" w:hAnsi="Arial"/>
                <w:sz w:val="18"/>
                <w:szCs w:val="18"/>
                <w:color w:val="auto"/>
              </w:rPr>
              <w:t>44.3 %</w:t>
            </w: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1,263.3</w:t>
            </w: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1,011.8</w:t>
            </w: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251.5</w:t>
            </w:r>
          </w:p>
        </w:tc>
        <w:tc>
          <w:tcPr>
            <w:tcW w:w="1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gridSpan w:val="2"/>
          </w:tcPr>
          <w:p>
            <w:pPr>
              <w:jc w:val="right"/>
              <w:ind w:right="50"/>
              <w:spacing w:after="0" w:line="196" w:lineRule="exact"/>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253.8</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98.3</w:t>
            </w:r>
          </w:p>
        </w:tc>
        <w:tc>
          <w:tcPr>
            <w:tcW w:w="1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63.2 %</w:t>
            </w: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677.0</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440.4</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236.6</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53.7 %</w:t>
            </w:r>
          </w:p>
        </w:tc>
        <w:tc>
          <w:tcPr>
            <w:tcW w:w="0" w:type="dxa"/>
            <w:vAlign w:val="bottom"/>
          </w:tcPr>
          <w:p>
            <w:pPr>
              <w:spacing w:after="0"/>
              <w:rPr>
                <w:sz w:val="1"/>
                <w:szCs w:val="1"/>
                <w:color w:val="auto"/>
              </w:rPr>
            </w:pPr>
          </w:p>
        </w:tc>
      </w:tr>
      <w:tr>
        <w:trPr>
          <w:trHeight w:val="196"/>
        </w:trPr>
        <w:tc>
          <w:tcPr>
            <w:tcW w:w="270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26.7 %</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162"/>
        </w:trPr>
        <w:tc>
          <w:tcPr>
            <w:tcW w:w="2700" w:type="dxa"/>
            <w:vAlign w:val="bottom"/>
          </w:tcPr>
          <w:p>
            <w:pPr>
              <w:ind w:left="200"/>
              <w:spacing w:after="0" w:line="162" w:lineRule="exact"/>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20.1 %</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16"/>
        </w:trPr>
        <w:tc>
          <w:tcPr>
            <w:tcW w:w="270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Acquired intangibles</w:t>
            </w: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37.9 %</w:t>
            </w:r>
          </w:p>
        </w:tc>
        <w:tc>
          <w:tcPr>
            <w:tcW w:w="16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00"/>
              <w:spacing w:after="0" w:line="202" w:lineRule="exact"/>
              <w:rPr>
                <w:sz w:val="20"/>
                <w:szCs w:val="20"/>
                <w:color w:val="auto"/>
              </w:rPr>
            </w:pPr>
            <w:r>
              <w:rPr>
                <w:rFonts w:ascii="Arial" w:cs="Arial" w:eastAsia="Arial" w:hAnsi="Arial"/>
                <w:sz w:val="18"/>
                <w:szCs w:val="18"/>
                <w:color w:val="auto"/>
              </w:rPr>
              <w:t>Restructuring costs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1156 %</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150.7 %</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4"/>
              </w:rPr>
              <w:t>Gain on sale of audio technology</w:t>
            </w: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(34.2 )</w:t>
            </w:r>
          </w:p>
        </w:tc>
        <w:tc>
          <w:tcPr>
            <w:tcW w:w="20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2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88.1</w:t>
            </w: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31.6</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56.5</w:t>
            </w:r>
          </w:p>
        </w:tc>
        <w:tc>
          <w:tcPr>
            <w:tcW w:w="18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260" w:type="dxa"/>
            <w:vAlign w:val="bottom"/>
            <w:tcBorders>
              <w:top w:val="single" w:sz="8" w:color="CFF0FC"/>
            </w:tcBorders>
            <w:gridSpan w:val="2"/>
          </w:tcPr>
          <w:p>
            <w:pPr>
              <w:jc w:val="right"/>
              <w:ind w:right="150"/>
              <w:spacing w:after="0" w:line="196" w:lineRule="exact"/>
              <w:rPr>
                <w:sz w:val="20"/>
                <w:szCs w:val="20"/>
                <w:color w:val="auto"/>
              </w:rPr>
            </w:pPr>
            <w:r>
              <w:rPr>
                <w:rFonts w:ascii="Arial" w:cs="Arial" w:eastAsia="Arial" w:hAnsi="Arial"/>
                <w:sz w:val="18"/>
                <w:szCs w:val="18"/>
                <w:color w:val="auto"/>
              </w:rPr>
              <w:t>178.8 %</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226.3</w:t>
            </w: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96.1</w:t>
            </w: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130.2</w:t>
            </w:r>
          </w:p>
        </w:tc>
        <w:tc>
          <w:tcPr>
            <w:tcW w:w="1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gridSpan w:val="2"/>
          </w:tcPr>
          <w:p>
            <w:pPr>
              <w:jc w:val="right"/>
              <w:ind w:right="50"/>
              <w:spacing w:after="0" w:line="196" w:lineRule="exact"/>
              <w:rPr>
                <w:sz w:val="20"/>
                <w:szCs w:val="20"/>
                <w:color w:val="auto"/>
              </w:rPr>
            </w:pPr>
            <w:r>
              <w:rPr>
                <w:rFonts w:ascii="Arial" w:cs="Arial" w:eastAsia="Arial" w:hAnsi="Arial"/>
                <w:sz w:val="18"/>
                <w:szCs w:val="18"/>
                <w:color w:val="auto"/>
              </w:rPr>
              <w:t>135.5 %</w:t>
            </w:r>
          </w:p>
        </w:tc>
        <w:tc>
          <w:tcPr>
            <w:tcW w:w="0" w:type="dxa"/>
            <w:vAlign w:val="bottom"/>
          </w:tcPr>
          <w:p>
            <w:pPr>
              <w:spacing w:after="0"/>
              <w:rPr>
                <w:sz w:val="1"/>
                <w:szCs w:val="1"/>
                <w:color w:val="auto"/>
              </w:rPr>
            </w:pPr>
          </w:p>
        </w:tc>
      </w:tr>
      <w:tr>
        <w:trPr>
          <w:trHeight w:val="203"/>
        </w:trPr>
        <w:tc>
          <w:tcPr>
            <w:tcW w:w="2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and other expense, net</w:t>
            </w:r>
          </w:p>
        </w:tc>
        <w:tc>
          <w:tcPr>
            <w:tcW w:w="1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(7.0 )</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4.3 %</w:t>
            </w:r>
          </w:p>
        </w:tc>
        <w:tc>
          <w:tcPr>
            <w:tcW w:w="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(18.3 )</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(17.7 )</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(0.6 )</w:t>
            </w:r>
          </w:p>
        </w:tc>
        <w:tc>
          <w:tcPr>
            <w:tcW w:w="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line="202" w:lineRule="exact"/>
              <w:rPr>
                <w:sz w:val="20"/>
                <w:szCs w:val="20"/>
                <w:color w:val="auto"/>
              </w:rPr>
            </w:pPr>
            <w:r>
              <w:rPr>
                <w:rFonts w:ascii="Arial" w:cs="Arial" w:eastAsia="Arial" w:hAnsi="Arial"/>
                <w:sz w:val="18"/>
                <w:szCs w:val="18"/>
                <w:color w:val="auto"/>
              </w:rPr>
              <w:t>Gain from sale and leaseback</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100.0 %</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8"/>
              </w:rPr>
              <w:t>Loss on redemption of convertible</w:t>
            </w: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(8.1 )</w:t>
            </w:r>
          </w:p>
        </w:tc>
        <w:tc>
          <w:tcPr>
            <w:tcW w:w="2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6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700" w:type="dxa"/>
            <w:vAlign w:val="bottom"/>
            <w:tcBorders>
              <w:top w:val="single" w:sz="8" w:color="CFF0FC"/>
            </w:tcBorders>
          </w:tcPr>
          <w:p>
            <w:pPr>
              <w:ind w:left="200"/>
              <w:spacing w:after="0" w:line="156" w:lineRule="exact"/>
              <w:rPr>
                <w:sz w:val="20"/>
                <w:szCs w:val="20"/>
                <w:color w:val="auto"/>
              </w:rPr>
            </w:pPr>
            <w:r>
              <w:rPr>
                <w:rFonts w:ascii="Arial" w:cs="Arial" w:eastAsia="Arial" w:hAnsi="Arial"/>
                <w:sz w:val="18"/>
                <w:szCs w:val="18"/>
                <w:color w:val="auto"/>
              </w:rPr>
              <w:t>Income before provision for</w:t>
            </w: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86.8</w:t>
            </w:r>
          </w:p>
        </w:tc>
        <w:tc>
          <w:tcPr>
            <w:tcW w:w="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1260" w:type="dxa"/>
            <w:vAlign w:val="bottom"/>
            <w:tcBorders>
              <w:top w:val="single" w:sz="8" w:color="CFF0FC"/>
            </w:tcBorders>
            <w:gridSpan w:val="2"/>
            <w:vMerge w:val="restart"/>
          </w:tcPr>
          <w:p>
            <w:pPr>
              <w:jc w:val="right"/>
              <w:ind w:right="150"/>
              <w:spacing w:after="0"/>
              <w:rPr>
                <w:sz w:val="20"/>
                <w:szCs w:val="20"/>
                <w:color w:val="auto"/>
              </w:rPr>
            </w:pPr>
            <w:r>
              <w:rPr>
                <w:rFonts w:ascii="Arial" w:cs="Arial" w:eastAsia="Arial" w:hAnsi="Arial"/>
                <w:sz w:val="18"/>
                <w:szCs w:val="18"/>
                <w:color w:val="auto"/>
              </w:rPr>
              <w:t>252.8 %</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205.3</w:t>
            </w:r>
          </w:p>
        </w:tc>
        <w:tc>
          <w:tcPr>
            <w:tcW w:w="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126.9</w:t>
            </w:r>
          </w:p>
        </w:tc>
        <w:tc>
          <w:tcPr>
            <w:tcW w:w="180" w:type="dxa"/>
            <w:vAlign w:val="bottom"/>
            <w:tcBorders>
              <w:top w:val="single" w:sz="8" w:color="CFF0FC"/>
            </w:tcBorders>
          </w:tcPr>
          <w:p>
            <w:pPr>
              <w:spacing w:after="0"/>
              <w:rPr>
                <w:sz w:val="13"/>
                <w:szCs w:val="13"/>
                <w:color w:val="auto"/>
              </w:rPr>
            </w:pPr>
          </w:p>
        </w:tc>
        <w:tc>
          <w:tcPr>
            <w:tcW w:w="20" w:type="dxa"/>
            <w:vAlign w:val="bottom"/>
            <w:tcBorders>
              <w:top w:val="single" w:sz="8" w:color="CFF0FC"/>
            </w:tcBorders>
          </w:tcPr>
          <w:p>
            <w:pPr>
              <w:spacing w:after="0"/>
              <w:rPr>
                <w:sz w:val="13"/>
                <w:szCs w:val="13"/>
                <w:color w:val="auto"/>
              </w:rPr>
            </w:pPr>
          </w:p>
        </w:tc>
        <w:tc>
          <w:tcPr>
            <w:tcW w:w="1160" w:type="dxa"/>
            <w:vAlign w:val="bottom"/>
            <w:tcBorders>
              <w:top w:val="single" w:sz="8" w:color="CFF0FC"/>
            </w:tcBorders>
            <w:gridSpan w:val="2"/>
            <w:vMerge w:val="restart"/>
          </w:tcPr>
          <w:p>
            <w:pPr>
              <w:jc w:val="right"/>
              <w:ind w:right="50"/>
              <w:spacing w:after="0"/>
              <w:rPr>
                <w:sz w:val="20"/>
                <w:szCs w:val="20"/>
                <w:color w:val="auto"/>
              </w:rPr>
            </w:pPr>
            <w:r>
              <w:rPr>
                <w:rFonts w:ascii="Arial" w:cs="Arial" w:eastAsia="Arial" w:hAnsi="Arial"/>
                <w:sz w:val="18"/>
                <w:szCs w:val="18"/>
                <w:color w:val="auto"/>
              </w:rPr>
              <w:t>161.9 %</w:t>
            </w:r>
          </w:p>
        </w:tc>
        <w:tc>
          <w:tcPr>
            <w:tcW w:w="0" w:type="dxa"/>
            <w:vAlign w:val="bottom"/>
          </w:tcPr>
          <w:p>
            <w:pPr>
              <w:spacing w:after="0"/>
              <w:rPr>
                <w:sz w:val="1"/>
                <w:szCs w:val="1"/>
                <w:color w:val="auto"/>
              </w:rPr>
            </w:pPr>
          </w:p>
        </w:tc>
      </w:tr>
      <w:tr>
        <w:trPr>
          <w:trHeight w:val="216"/>
        </w:trPr>
        <w:tc>
          <w:tcPr>
            <w:tcW w:w="270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134.6 %</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97.0 %</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line="202" w:lineRule="exact"/>
              <w:rPr>
                <w:sz w:val="20"/>
                <w:szCs w:val="20"/>
                <w:color w:val="auto"/>
              </w:rPr>
            </w:pPr>
            <w:r>
              <w:rPr>
                <w:rFonts w:ascii="Arial" w:cs="Arial" w:eastAsia="Arial" w:hAnsi="Arial"/>
                <w:sz w:val="18"/>
                <w:szCs w:val="18"/>
                <w:color w:val="auto"/>
              </w:rPr>
              <w:t>Equity investment loss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(0.4 )</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725.0 %</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(1.4 )</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214.3 %</w:t>
            </w:r>
          </w:p>
        </w:tc>
        <w:tc>
          <w:tcPr>
            <w:tcW w:w="0" w:type="dxa"/>
            <w:vAlign w:val="bottom"/>
          </w:tcPr>
          <w:p>
            <w:pPr>
              <w:spacing w:after="0"/>
              <w:rPr>
                <w:sz w:val="1"/>
                <w:szCs w:val="1"/>
                <w:color w:val="auto"/>
              </w:rPr>
            </w:pPr>
          </w:p>
        </w:tc>
      </w:tr>
      <w:tr>
        <w:trPr>
          <w:trHeight w:val="236"/>
        </w:trPr>
        <w:tc>
          <w:tcPr>
            <w:tcW w:w="270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64.9</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13.8</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center"/>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51.1</w:t>
            </w:r>
          </w:p>
        </w:tc>
        <w:tc>
          <w:tcPr>
            <w:tcW w:w="1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gridSpan w:val="2"/>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rPr>
              <w:t>370.3 %</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174.6</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60.6</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114.0</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gridSpan w:val="2"/>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188.1 %</w:t>
            </w:r>
          </w:p>
        </w:tc>
        <w:tc>
          <w:tcPr>
            <w:tcW w:w="0" w:type="dxa"/>
            <w:vAlign w:val="bottom"/>
          </w:tcPr>
          <w:p>
            <w:pPr>
              <w:spacing w:after="0"/>
              <w:rPr>
                <w:sz w:val="1"/>
                <w:szCs w:val="1"/>
                <w:color w:val="auto"/>
              </w:rPr>
            </w:pPr>
          </w:p>
        </w:tc>
      </w:tr>
      <w:tr>
        <w:trPr>
          <w:trHeight w:val="723"/>
        </w:trPr>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-3219450</wp:posOffset>
            </wp:positionV>
            <wp:extent cx="5969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-3219450</wp:posOffset>
            </wp:positionV>
            <wp:extent cx="6032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-3219450</wp:posOffset>
            </wp:positionV>
            <wp:extent cx="5969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-3219450</wp:posOffset>
            </wp:positionV>
            <wp:extent cx="6032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-3219450</wp:posOffset>
            </wp:positionV>
            <wp:extent cx="5143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-3219450</wp:posOffset>
            </wp:positionV>
            <wp:extent cx="5143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-2945130</wp:posOffset>
            </wp:positionV>
            <wp:extent cx="5969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-2945130</wp:posOffset>
            </wp:positionV>
            <wp:extent cx="6032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-2945130</wp:posOffset>
            </wp:positionV>
            <wp:extent cx="596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-2945130</wp:posOffset>
            </wp:positionV>
            <wp:extent cx="6032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-2945130</wp:posOffset>
            </wp:positionV>
            <wp:extent cx="5143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-2945130</wp:posOffset>
            </wp:positionV>
            <wp:extent cx="5143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-1839595</wp:posOffset>
            </wp:positionV>
            <wp:extent cx="5969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-1839595</wp:posOffset>
            </wp:positionV>
            <wp:extent cx="6032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-1839595</wp:posOffset>
            </wp:positionV>
            <wp:extent cx="5969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-1839595</wp:posOffset>
            </wp:positionV>
            <wp:extent cx="6032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-1839595</wp:posOffset>
            </wp:positionV>
            <wp:extent cx="5143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-1839595</wp:posOffset>
            </wp:positionV>
            <wp:extent cx="5143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-1213485</wp:posOffset>
            </wp:positionV>
            <wp:extent cx="5969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-1213485</wp:posOffset>
            </wp:positionV>
            <wp:extent cx="6032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-1213485</wp:posOffset>
            </wp:positionV>
            <wp:extent cx="5969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-1213485</wp:posOffset>
            </wp:positionV>
            <wp:extent cx="6032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-1213485</wp:posOffset>
            </wp:positionV>
            <wp:extent cx="5143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-1213485</wp:posOffset>
            </wp:positionV>
            <wp:extent cx="5143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-574040</wp:posOffset>
            </wp:positionV>
            <wp:extent cx="596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-556895</wp:posOffset>
            </wp:positionV>
            <wp:extent cx="596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-574040</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-556895</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-574040</wp:posOffset>
            </wp:positionV>
            <wp:extent cx="596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-556895</wp:posOffset>
            </wp:positionV>
            <wp:extent cx="596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-574040</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-556895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-574040</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-556895</wp:posOffset>
            </wp:positionV>
            <wp:extent cx="514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-574040</wp:posOffset>
            </wp:positionV>
            <wp:extent cx="51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-556895</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ind w:right="100" w:firstLine="509"/>
        <w:spacing w:after="0" w:line="261"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2360" w:type="dxa"/>
            <w:vAlign w:val="bottom"/>
            <w:gridSpan w:val="5"/>
            <w:vMerge w:val="restart"/>
          </w:tcPr>
          <w:p>
            <w:pPr>
              <w:jc w:val="center"/>
              <w:ind w:right="330"/>
              <w:spacing w:after="0"/>
              <w:rPr>
                <w:sz w:val="20"/>
                <w:szCs w:val="20"/>
                <w:color w:val="auto"/>
              </w:rPr>
            </w:pPr>
            <w:r>
              <w:rPr>
                <w:rFonts w:ascii="Arial" w:cs="Arial" w:eastAsia="Arial" w:hAnsi="Arial"/>
                <w:sz w:val="18"/>
                <w:szCs w:val="18"/>
                <w:b w:val="1"/>
                <w:bCs w:val="1"/>
                <w:color w:val="auto"/>
                <w:w w:val="90"/>
              </w:rPr>
              <w:t>Three Months Ended</w:t>
            </w:r>
          </w:p>
        </w:tc>
        <w:tc>
          <w:tcPr>
            <w:tcW w:w="14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8"/>
              </w:rPr>
              <w:t>Percentage</w:t>
            </w:r>
          </w:p>
        </w:tc>
        <w:tc>
          <w:tcPr>
            <w:tcW w:w="2300" w:type="dxa"/>
            <w:vAlign w:val="bottom"/>
            <w:gridSpan w:val="5"/>
            <w:vMerge w:val="restart"/>
          </w:tcPr>
          <w:p>
            <w:pPr>
              <w:jc w:val="center"/>
              <w:ind w:right="310"/>
              <w:spacing w:after="0"/>
              <w:rPr>
                <w:sz w:val="20"/>
                <w:szCs w:val="20"/>
                <w:color w:val="auto"/>
              </w:rPr>
            </w:pPr>
            <w:r>
              <w:rPr>
                <w:rFonts w:ascii="Arial" w:cs="Arial" w:eastAsia="Arial" w:hAnsi="Arial"/>
                <w:sz w:val="18"/>
                <w:szCs w:val="18"/>
                <w:b w:val="1"/>
                <w:bCs w:val="1"/>
                <w:color w:val="auto"/>
                <w:w w:val="91"/>
              </w:rPr>
              <w:t>Nine Months Ended</w:t>
            </w:r>
          </w:p>
        </w:tc>
        <w:tc>
          <w:tcPr>
            <w:tcW w:w="126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2360" w:type="dxa"/>
            <w:vAlign w:val="bottom"/>
            <w:gridSpan w:val="5"/>
            <w:vMerge w:val="continue"/>
          </w:tcPr>
          <w:p>
            <w:pPr>
              <w:spacing w:after="0"/>
              <w:rPr>
                <w:sz w:val="17"/>
                <w:szCs w:val="17"/>
                <w:color w:val="auto"/>
              </w:rPr>
            </w:pPr>
          </w:p>
        </w:tc>
        <w:tc>
          <w:tcPr>
            <w:tcW w:w="1400" w:type="dxa"/>
            <w:vAlign w:val="bottom"/>
            <w:gridSpan w:val="2"/>
          </w:tcPr>
          <w:p>
            <w:pPr>
              <w:jc w:val="center"/>
              <w:ind w:right="330"/>
              <w:spacing w:after="0" w:line="198" w:lineRule="exact"/>
              <w:rPr>
                <w:sz w:val="20"/>
                <w:szCs w:val="20"/>
                <w:color w:val="auto"/>
              </w:rPr>
            </w:pPr>
            <w:r>
              <w:rPr>
                <w:rFonts w:ascii="Arial" w:cs="Arial" w:eastAsia="Arial" w:hAnsi="Arial"/>
                <w:sz w:val="18"/>
                <w:szCs w:val="18"/>
                <w:b w:val="1"/>
                <w:bCs w:val="1"/>
                <w:color w:val="auto"/>
                <w:w w:val="93"/>
              </w:rPr>
              <w:t>Point</w:t>
            </w:r>
          </w:p>
        </w:tc>
        <w:tc>
          <w:tcPr>
            <w:tcW w:w="2300" w:type="dxa"/>
            <w:vAlign w:val="bottom"/>
            <w:gridSpan w:val="5"/>
            <w:vMerge w:val="continue"/>
          </w:tcPr>
          <w:p>
            <w:pPr>
              <w:spacing w:after="0"/>
              <w:rPr>
                <w:sz w:val="17"/>
                <w:szCs w:val="17"/>
                <w:color w:val="auto"/>
              </w:rPr>
            </w:pPr>
          </w:p>
        </w:tc>
        <w:tc>
          <w:tcPr>
            <w:tcW w:w="1260" w:type="dxa"/>
            <w:vAlign w:val="bottom"/>
            <w:gridSpan w:val="2"/>
          </w:tcPr>
          <w:p>
            <w:pPr>
              <w:jc w:val="center"/>
              <w:ind w:right="210"/>
              <w:spacing w:after="0" w:line="198" w:lineRule="exact"/>
              <w:rPr>
                <w:sz w:val="20"/>
                <w:szCs w:val="20"/>
                <w:color w:val="auto"/>
              </w:rPr>
            </w:pPr>
            <w:r>
              <w:rPr>
                <w:rFonts w:ascii="Arial" w:cs="Arial" w:eastAsia="Arial" w:hAnsi="Arial"/>
                <w:sz w:val="18"/>
                <w:szCs w:val="18"/>
                <w:b w:val="1"/>
                <w:bCs w:val="1"/>
                <w:color w:val="auto"/>
                <w:w w:val="88"/>
              </w:rPr>
              <w:t>Point</w:t>
            </w:r>
          </w:p>
        </w:tc>
        <w:tc>
          <w:tcPr>
            <w:tcW w:w="0" w:type="dxa"/>
            <w:vAlign w:val="bottom"/>
          </w:tcPr>
          <w:p>
            <w:pPr>
              <w:spacing w:after="0"/>
              <w:rPr>
                <w:sz w:val="1"/>
                <w:szCs w:val="1"/>
                <w:color w:val="auto"/>
              </w:rPr>
            </w:pPr>
          </w:p>
        </w:tc>
      </w:tr>
      <w:tr>
        <w:trPr>
          <w:trHeight w:val="221"/>
        </w:trPr>
        <w:tc>
          <w:tcPr>
            <w:tcW w:w="3920" w:type="dxa"/>
            <w:vAlign w:val="bottom"/>
          </w:tcPr>
          <w:p>
            <w:pPr>
              <w:spacing w:after="0"/>
              <w:rPr>
                <w:sz w:val="19"/>
                <w:szCs w:val="19"/>
                <w:color w:val="auto"/>
              </w:rPr>
            </w:pPr>
          </w:p>
        </w:tc>
        <w:tc>
          <w:tcPr>
            <w:tcW w:w="13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4"/>
              </w:rPr>
              <w:t>March</w:t>
            </w:r>
          </w:p>
        </w:tc>
        <w:tc>
          <w:tcPr>
            <w:tcW w:w="6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9"/>
              </w:rPr>
              <w:t>Increase/</w:t>
            </w:r>
          </w:p>
        </w:tc>
        <w:tc>
          <w:tcPr>
            <w:tcW w:w="12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8"/>
              </w:rPr>
              <w:t>March</w:t>
            </w:r>
          </w:p>
        </w:tc>
        <w:tc>
          <w:tcPr>
            <w:tcW w:w="6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7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7"/>
                <w:szCs w:val="17"/>
                <w:color w:val="auto"/>
              </w:rPr>
            </w:pPr>
          </w:p>
        </w:tc>
        <w:tc>
          <w:tcPr>
            <w:tcW w:w="1400" w:type="dxa"/>
            <w:vAlign w:val="bottom"/>
            <w:gridSpan w:val="2"/>
          </w:tcPr>
          <w:p>
            <w:pPr>
              <w:jc w:val="center"/>
              <w:ind w:right="330"/>
              <w:spacing w:after="0" w:line="196" w:lineRule="exact"/>
              <w:rPr>
                <w:sz w:val="20"/>
                <w:szCs w:val="20"/>
                <w:color w:val="auto"/>
              </w:rPr>
            </w:pPr>
            <w:r>
              <w:rPr>
                <w:rFonts w:ascii="Arial" w:cs="Arial" w:eastAsia="Arial" w:hAnsi="Arial"/>
                <w:sz w:val="18"/>
                <w:szCs w:val="18"/>
                <w:b w:val="1"/>
                <w:bCs w:val="1"/>
                <w:color w:val="auto"/>
                <w:w w:val="89"/>
              </w:rPr>
              <w:t>(Decrease)</w:t>
            </w:r>
          </w:p>
        </w:tc>
        <w:tc>
          <w:tcPr>
            <w:tcW w:w="7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7"/>
                <w:szCs w:val="17"/>
                <w:color w:val="auto"/>
              </w:rPr>
            </w:pPr>
          </w:p>
        </w:tc>
        <w:tc>
          <w:tcPr>
            <w:tcW w:w="1260" w:type="dxa"/>
            <w:vAlign w:val="bottom"/>
            <w:gridSpan w:val="2"/>
          </w:tcPr>
          <w:p>
            <w:pPr>
              <w:jc w:val="center"/>
              <w:ind w:right="210"/>
              <w:spacing w:after="0" w:line="196" w:lineRule="exact"/>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196"/>
        </w:trPr>
        <w:tc>
          <w:tcPr>
            <w:tcW w:w="3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IoT product applications</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64.2</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46.5</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60.9</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43.0</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PC product applications</w:t>
            </w: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19.2 %</w:t>
            </w:r>
          </w:p>
        </w:tc>
        <w:tc>
          <w:tcPr>
            <w:tcW w:w="120" w:type="dxa"/>
            <w:vAlign w:val="bottom"/>
          </w:tcPr>
          <w:p>
            <w:pPr>
              <w:spacing w:after="0"/>
              <w:rPr>
                <w:sz w:val="17"/>
                <w:szCs w:val="17"/>
                <w:color w:val="auto"/>
              </w:rPr>
            </w:pPr>
          </w:p>
        </w:tc>
        <w:tc>
          <w:tcPr>
            <w:tcW w:w="10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30.2 %</w:t>
            </w:r>
          </w:p>
        </w:tc>
        <w:tc>
          <w:tcPr>
            <w:tcW w:w="1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(11.0 %)</w:t>
            </w: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20.7 %</w:t>
            </w:r>
          </w:p>
        </w:tc>
        <w:tc>
          <w:tcPr>
            <w:tcW w:w="100" w:type="dxa"/>
            <w:vAlign w:val="bottom"/>
          </w:tcPr>
          <w:p>
            <w:pPr>
              <w:spacing w:after="0"/>
              <w:rPr>
                <w:sz w:val="17"/>
                <w:szCs w:val="17"/>
                <w:color w:val="auto"/>
              </w:rPr>
            </w:pPr>
          </w:p>
        </w:tc>
        <w:tc>
          <w:tcPr>
            <w:tcW w:w="10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26.7 %</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Mobile product applications</w:t>
            </w:r>
          </w:p>
        </w:tc>
        <w:tc>
          <w:tcPr>
            <w:tcW w:w="11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16.7 %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23.3 %</w:t>
            </w: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(6.6 %)</w:t>
            </w:r>
          </w:p>
        </w:tc>
        <w:tc>
          <w:tcPr>
            <w:tcW w:w="11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18.4 %</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30.3 %</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Pr>
          <w:p>
            <w:pPr>
              <w:ind w:left="200"/>
              <w:spacing w:after="0" w:line="196" w:lineRule="exact"/>
              <w:rPr>
                <w:sz w:val="20"/>
                <w:szCs w:val="20"/>
                <w:color w:val="auto"/>
              </w:rPr>
            </w:pPr>
            <w:r>
              <w:rPr>
                <w:rFonts w:ascii="Arial" w:cs="Arial" w:eastAsia="Arial" w:hAnsi="Arial"/>
                <w:sz w:val="18"/>
                <w:szCs w:val="18"/>
                <w:color w:val="auto"/>
              </w:rPr>
              <w:t>Net revenue</w:t>
            </w:r>
          </w:p>
        </w:tc>
        <w:tc>
          <w:tcPr>
            <w:tcW w:w="118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100.1 %</w:t>
            </w:r>
          </w:p>
        </w:tc>
        <w:tc>
          <w:tcPr>
            <w:tcW w:w="120" w:type="dxa"/>
            <w:vAlign w:val="bottom"/>
          </w:tcPr>
          <w:p>
            <w:pPr>
              <w:spacing w:after="0"/>
              <w:rPr>
                <w:sz w:val="17"/>
                <w:szCs w:val="17"/>
                <w:color w:val="auto"/>
              </w:rPr>
            </w:pPr>
          </w:p>
        </w:tc>
        <w:tc>
          <w:tcPr>
            <w:tcW w:w="106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100.0 %</w:t>
            </w:r>
          </w:p>
        </w:tc>
        <w:tc>
          <w:tcPr>
            <w:tcW w:w="140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0.1 %</w:t>
            </w:r>
          </w:p>
        </w:tc>
        <w:tc>
          <w:tcPr>
            <w:tcW w:w="118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100.0 %</w:t>
            </w:r>
          </w:p>
        </w:tc>
        <w:tc>
          <w:tcPr>
            <w:tcW w:w="100" w:type="dxa"/>
            <w:vAlign w:val="bottom"/>
          </w:tcPr>
          <w:p>
            <w:pPr>
              <w:spacing w:after="0"/>
              <w:rPr>
                <w:sz w:val="17"/>
                <w:szCs w:val="17"/>
                <w:color w:val="auto"/>
              </w:rPr>
            </w:pPr>
          </w:p>
        </w:tc>
        <w:tc>
          <w:tcPr>
            <w:tcW w:w="10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100.0 %</w:t>
            </w:r>
          </w:p>
        </w:tc>
        <w:tc>
          <w:tcPr>
            <w:tcW w:w="12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margin</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54.0</w:t>
            </w:r>
          </w:p>
        </w:tc>
        <w:tc>
          <w:tcPr>
            <w:tcW w:w="42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47.7</w:t>
            </w:r>
          </w:p>
        </w:tc>
        <w:tc>
          <w:tcPr>
            <w:tcW w:w="42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400" w:type="dxa"/>
            <w:vAlign w:val="bottom"/>
            <w:tcBorders>
              <w:bottom w:val="single" w:sz="8" w:color="CFF0FC"/>
            </w:tcBorders>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6.3 %</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53.6</w:t>
            </w:r>
          </w:p>
        </w:tc>
        <w:tc>
          <w:tcPr>
            <w:tcW w:w="42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43.5</w:t>
            </w:r>
          </w:p>
        </w:tc>
        <w:tc>
          <w:tcPr>
            <w:tcW w:w="400" w:type="dxa"/>
            <w:vAlign w:val="bottom"/>
            <w:tcBorders>
              <w:bottom w:val="single" w:sz="8" w:color="CFF0FC"/>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1260" w:type="dxa"/>
            <w:vAlign w:val="bottom"/>
            <w:tcBorders>
              <w:bottom w:val="single" w:sz="8" w:color="CFF0FC"/>
            </w:tcBorders>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196"/>
        </w:trPr>
        <w:tc>
          <w:tcPr>
            <w:tcW w:w="392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1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20.9 %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23.8 %</w:t>
            </w: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(2.9 %)</w:t>
            </w:r>
          </w:p>
        </w:tc>
        <w:tc>
          <w:tcPr>
            <w:tcW w:w="11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21.6 %</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23.3 %</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378"/>
        </w:trPr>
        <w:tc>
          <w:tcPr>
            <w:tcW w:w="39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24"/>
                <w:szCs w:val="24"/>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11.3 %</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(1.9 %)</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4"/>
                <w:szCs w:val="24"/>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11.0 %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378"/>
        </w:trPr>
        <w:tc>
          <w:tcPr>
            <w:tcW w:w="3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intangibles amortization</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2.7 %</w:t>
            </w:r>
          </w:p>
        </w:tc>
        <w:tc>
          <w:tcPr>
            <w:tcW w:w="1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(0.1 %)</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2.4 %</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Restructuring costs</w:t>
            </w: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2.4 %</w:t>
            </w:r>
          </w:p>
        </w:tc>
        <w:tc>
          <w:tcPr>
            <w:tcW w:w="120" w:type="dxa"/>
            <w:vAlign w:val="bottom"/>
          </w:tcPr>
          <w:p>
            <w:pPr>
              <w:spacing w:after="0"/>
              <w:rPr>
                <w:sz w:val="17"/>
                <w:szCs w:val="17"/>
                <w:color w:val="auto"/>
              </w:rPr>
            </w:pPr>
          </w:p>
        </w:tc>
        <w:tc>
          <w:tcPr>
            <w:tcW w:w="10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0.3 %</w:t>
            </w:r>
          </w:p>
        </w:tc>
        <w:tc>
          <w:tcPr>
            <w:tcW w:w="14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2.1 %</w:t>
            </w: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1.4 %</w:t>
            </w:r>
          </w:p>
        </w:tc>
        <w:tc>
          <w:tcPr>
            <w:tcW w:w="100" w:type="dxa"/>
            <w:vAlign w:val="bottom"/>
          </w:tcPr>
          <w:p>
            <w:pPr>
              <w:spacing w:after="0"/>
              <w:rPr>
                <w:sz w:val="17"/>
                <w:szCs w:val="17"/>
                <w:color w:val="auto"/>
              </w:rPr>
            </w:pPr>
          </w:p>
        </w:tc>
        <w:tc>
          <w:tcPr>
            <w:tcW w:w="10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0.7 %</w:t>
            </w: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Gain on sale of audio technology assets</w:t>
            </w:r>
          </w:p>
        </w:tc>
        <w:tc>
          <w:tcPr>
            <w:tcW w:w="11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4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0.0 %</w:t>
            </w:r>
          </w:p>
        </w:tc>
        <w:tc>
          <w:tcPr>
            <w:tcW w:w="11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(3.4 %)</w:t>
            </w:r>
          </w:p>
        </w:tc>
        <w:tc>
          <w:tcPr>
            <w:tcW w:w="12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Pr>
          <w:p>
            <w:pPr>
              <w:ind w:left="200"/>
              <w:spacing w:after="0" w:line="196" w:lineRule="exact"/>
              <w:rPr>
                <w:sz w:val="20"/>
                <w:szCs w:val="20"/>
                <w:color w:val="auto"/>
              </w:rPr>
            </w:pPr>
            <w:r>
              <w:rPr>
                <w:rFonts w:ascii="Arial" w:cs="Arial" w:eastAsia="Arial" w:hAnsi="Arial"/>
                <w:sz w:val="18"/>
                <w:szCs w:val="18"/>
                <w:color w:val="auto"/>
              </w:rPr>
              <w:t>Operating income</w:t>
            </w:r>
          </w:p>
        </w:tc>
        <w:tc>
          <w:tcPr>
            <w:tcW w:w="118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18.7 %</w:t>
            </w:r>
          </w:p>
        </w:tc>
        <w:tc>
          <w:tcPr>
            <w:tcW w:w="120" w:type="dxa"/>
            <w:vAlign w:val="bottom"/>
          </w:tcPr>
          <w:p>
            <w:pPr>
              <w:spacing w:after="0"/>
              <w:rPr>
                <w:sz w:val="17"/>
                <w:szCs w:val="17"/>
                <w:color w:val="auto"/>
              </w:rPr>
            </w:pPr>
          </w:p>
        </w:tc>
        <w:tc>
          <w:tcPr>
            <w:tcW w:w="106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9.7 %</w:t>
            </w:r>
          </w:p>
        </w:tc>
        <w:tc>
          <w:tcPr>
            <w:tcW w:w="140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9.0 %</w:t>
            </w:r>
          </w:p>
        </w:tc>
        <w:tc>
          <w:tcPr>
            <w:tcW w:w="118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17.9 %</w:t>
            </w:r>
          </w:p>
        </w:tc>
        <w:tc>
          <w:tcPr>
            <w:tcW w:w="100" w:type="dxa"/>
            <w:vAlign w:val="bottom"/>
          </w:tcPr>
          <w:p>
            <w:pPr>
              <w:spacing w:after="0"/>
              <w:rPr>
                <w:sz w:val="17"/>
                <w:szCs w:val="17"/>
                <w:color w:val="auto"/>
              </w:rPr>
            </w:pPr>
          </w:p>
        </w:tc>
        <w:tc>
          <w:tcPr>
            <w:tcW w:w="102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9.5 %</w:t>
            </w:r>
          </w:p>
        </w:tc>
        <w:tc>
          <w:tcPr>
            <w:tcW w:w="12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378"/>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other expense, net</w:t>
            </w:r>
          </w:p>
        </w:tc>
        <w:tc>
          <w:tcPr>
            <w:tcW w:w="11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(2.1 %)</w:t>
            </w:r>
          </w:p>
        </w:tc>
        <w:tc>
          <w:tcPr>
            <w:tcW w:w="1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0.7 %</w:t>
            </w:r>
          </w:p>
        </w:tc>
        <w:tc>
          <w:tcPr>
            <w:tcW w:w="11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(1.7 %)</w:t>
            </w: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Gain from sale and leaseback</w:t>
            </w: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1.1 %</w:t>
            </w:r>
          </w:p>
        </w:tc>
        <w:tc>
          <w:tcPr>
            <w:tcW w:w="120" w:type="dxa"/>
            <w:vAlign w:val="bottom"/>
          </w:tcPr>
          <w:p>
            <w:pPr>
              <w:spacing w:after="0"/>
              <w:rPr>
                <w:sz w:val="17"/>
                <w:szCs w:val="17"/>
                <w:color w:val="auto"/>
              </w:rPr>
            </w:pPr>
          </w:p>
        </w:tc>
        <w:tc>
          <w:tcPr>
            <w:tcW w:w="10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4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1.1 %</w:t>
            </w: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0.4 %</w:t>
            </w:r>
          </w:p>
        </w:tc>
        <w:tc>
          <w:tcPr>
            <w:tcW w:w="100" w:type="dxa"/>
            <w:vAlign w:val="bottom"/>
          </w:tcPr>
          <w:p>
            <w:pPr>
              <w:spacing w:after="0"/>
              <w:rPr>
                <w:sz w:val="17"/>
                <w:szCs w:val="17"/>
                <w:color w:val="auto"/>
              </w:rPr>
            </w:pPr>
          </w:p>
        </w:tc>
        <w:tc>
          <w:tcPr>
            <w:tcW w:w="10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0.0 %</w:t>
            </w: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redemption of convertible notes</w:t>
            </w:r>
          </w:p>
        </w:tc>
        <w:tc>
          <w:tcPr>
            <w:tcW w:w="11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0.0 %</w:t>
            </w:r>
          </w:p>
        </w:tc>
        <w:tc>
          <w:tcPr>
            <w:tcW w:w="14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0.0 %</w:t>
            </w:r>
          </w:p>
        </w:tc>
        <w:tc>
          <w:tcPr>
            <w:tcW w:w="11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(0.6 %)</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0.0 %</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20" w:type="dxa"/>
            <w:vAlign w:val="bottom"/>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18.5 %</w:t>
            </w:r>
          </w:p>
        </w:tc>
        <w:tc>
          <w:tcPr>
            <w:tcW w:w="120" w:type="dxa"/>
            <w:vAlign w:val="bottom"/>
          </w:tcPr>
          <w:p>
            <w:pPr>
              <w:spacing w:after="0"/>
              <w:rPr>
                <w:sz w:val="24"/>
                <w:szCs w:val="24"/>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7.6 %</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10.9 %</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24"/>
                <w:szCs w:val="24"/>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7.7 %</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1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5.2 %</w:t>
            </w: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3.2 %</w:t>
            </w:r>
          </w:p>
        </w:tc>
        <w:tc>
          <w:tcPr>
            <w:tcW w:w="14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2.0 %</w:t>
            </w:r>
          </w:p>
        </w:tc>
        <w:tc>
          <w:tcPr>
            <w:tcW w:w="11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2.6 %</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1.6 %</w:t>
            </w:r>
          </w:p>
        </w:tc>
        <w:tc>
          <w:tcPr>
            <w:tcW w:w="12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2"/>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Equity investment loss</w:t>
            </w: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0.5 %</w:t>
            </w:r>
          </w:p>
        </w:tc>
        <w:tc>
          <w:tcPr>
            <w:tcW w:w="120" w:type="dxa"/>
            <w:vAlign w:val="bottom"/>
          </w:tcPr>
          <w:p>
            <w:pPr>
              <w:spacing w:after="0"/>
              <w:rPr>
                <w:sz w:val="17"/>
                <w:szCs w:val="17"/>
                <w:color w:val="auto"/>
              </w:rPr>
            </w:pPr>
          </w:p>
        </w:tc>
        <w:tc>
          <w:tcPr>
            <w:tcW w:w="10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(0.1 %)</w:t>
            </w:r>
          </w:p>
        </w:tc>
        <w:tc>
          <w:tcPr>
            <w:tcW w:w="14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0.6 %</w:t>
            </w:r>
          </w:p>
        </w:tc>
        <w:tc>
          <w:tcPr>
            <w:tcW w:w="11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0.1 %</w:t>
            </w:r>
          </w:p>
        </w:tc>
        <w:tc>
          <w:tcPr>
            <w:tcW w:w="100" w:type="dxa"/>
            <w:vAlign w:val="bottom"/>
          </w:tcPr>
          <w:p>
            <w:pPr>
              <w:spacing w:after="0"/>
              <w:rPr>
                <w:sz w:val="17"/>
                <w:szCs w:val="17"/>
                <w:color w:val="auto"/>
              </w:rPr>
            </w:pPr>
          </w:p>
        </w:tc>
        <w:tc>
          <w:tcPr>
            <w:tcW w:w="10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(0.1 %)</w:t>
            </w:r>
          </w:p>
        </w:tc>
        <w:tc>
          <w:tcPr>
            <w:tcW w:w="1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13.8 %</w:t>
            </w:r>
          </w:p>
        </w:tc>
        <w:tc>
          <w:tcPr>
            <w:tcW w:w="12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4.2 %</w:t>
            </w:r>
          </w:p>
        </w:tc>
        <w:tc>
          <w:tcPr>
            <w:tcW w:w="1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9.6 %</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13.8 %</w:t>
            </w:r>
          </w:p>
        </w:tc>
        <w:tc>
          <w:tcPr>
            <w:tcW w:w="10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6.0 %</w:t>
            </w: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-2662555</wp:posOffset>
            </wp:positionV>
            <wp:extent cx="19748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-2662555</wp:posOffset>
            </wp:positionV>
            <wp:extent cx="19685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-2662555</wp:posOffset>
            </wp:positionV>
            <wp:extent cx="19685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-2662555</wp:posOffset>
            </wp:positionV>
            <wp:extent cx="18859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-2388235</wp:posOffset>
            </wp:positionV>
            <wp:extent cx="19748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-2388235</wp:posOffset>
            </wp:positionV>
            <wp:extent cx="19685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-2388235</wp:posOffset>
            </wp:positionV>
            <wp:extent cx="19685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-2388235</wp:posOffset>
            </wp:positionV>
            <wp:extent cx="18859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-1384935</wp:posOffset>
            </wp:positionV>
            <wp:extent cx="19748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-1384935</wp:posOffset>
            </wp:positionV>
            <wp:extent cx="19685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-1384935</wp:posOffset>
            </wp:positionV>
            <wp:extent cx="19685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-1384935</wp:posOffset>
            </wp:positionV>
            <wp:extent cx="18859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-750570</wp:posOffset>
            </wp:positionV>
            <wp:extent cx="19748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-750570</wp:posOffset>
            </wp:positionV>
            <wp:extent cx="19685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-750570</wp:posOffset>
            </wp:positionV>
            <wp:extent cx="19685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-750570</wp:posOffset>
            </wp:positionV>
            <wp:extent cx="18859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-24765</wp:posOffset>
            </wp:positionV>
            <wp:extent cx="1974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-8255</wp:posOffset>
            </wp:positionV>
            <wp:extent cx="19748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1968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1968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1968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19685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1885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1885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Net Revenue</w:t>
      </w:r>
    </w:p>
    <w:p>
      <w:pPr>
        <w:spacing w:after="0" w:line="10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6"/>
          <w:szCs w:val="16"/>
          <w:color w:val="auto"/>
        </w:rPr>
        <w:t>Net revenue was $470.1 million for the three months ended March 26, 2022, compared with $325.8 million for the three months ended March 27, 2021, an increase of $144.3 million, or 44.3%. Of this net revenue, $301.6 million, or 64.2%, was from IoT product applications, $90.1 million, or 19.2%, was from PC product applications, and $78.4 million, or 16.7%, was from Mobile product applications. The increase in net revenue for the three months ended March 26, 2022 was primarily attributable to an increase in net revenue from IoT and Mobile product applications, partially offset by a decrease in net revenue from PC product applications. Net revenue from IoT product applications increased as a result of an increase in units sold (which increased 66%) as well as higher average selling prices (which increased 19.9%) due to product sales mix. Net revenue from PC product applications decreased due to a decline in units sold related to certain end customers' supply chain constraints (which decreased 30.6%) and partially offset by higher average selling prices (which increased 31.9%) due to our product sales mix. Net revenue from Mobile product applications increased due to higher average selling prices (which increased 12.4%) and partially offset by a decline in units sold (which decreased 8.2%).</w:t>
      </w:r>
    </w:p>
    <w:p>
      <w:pPr>
        <w:spacing w:after="0" w:line="61"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Net revenue was $1,263.3 million for the nine months ended March 26, 2022, compared with $1,011.8 million for the nine months ended March 27, 2021, an increase of $251.5 million, or 24.9%. Of this net revenue, $768.8 million, or 60.9%, was from IoT product applications, $261.4 million, or 20.7%, was from PC product applications, and $233.1 million, or 18.4%, was from Mobile product applications. The increase in net revenue for the nine months ended March 26, 2022 was primarily attributable to an increase in net revenue from IoT product applications, partially offset by a decrease in net revenue from PC and Mobile product applications. Net revenue from IoT product applications increased as a result of an increase in units sold (which increased</w:t>
      </w:r>
    </w:p>
    <w:p>
      <w:pPr>
        <w:spacing w:after="0" w:line="1"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34.4%) as well as higher average selling prices (which increased 31.5%) due to product sales mix. Net revenue from PC product applications decreased due to a decline in units sold (which decreased 19.4%) partially offset by higher average selling prices (which increased 19.9%) due to our product sales mix. Net revenue from Mobile product applications decreased due to a decline in units sold (which decreased 25.2%) for Mobile product applications partially offset by higher average selling prices (which increased 1.7%) due to our product sales mix.</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0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Gross margin as a percentage of net revenue was 54.0%, or $253.8 million, for the three months ended March 26, 2022, compared with 47.7%, or $155.5 million, for the three months ended March 27, 2021. The 630 basis point increase in gross margin 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0" w:name="page31"/>
    <w:bookmarkEnd w:id="30"/>
    <w:p>
      <w:pPr>
        <w:ind w:right="460"/>
        <w:spacing w:after="0" w:line="261" w:lineRule="auto"/>
        <w:rPr>
          <w:sz w:val="20"/>
          <w:szCs w:val="20"/>
          <w:color w:val="auto"/>
        </w:rPr>
      </w:pPr>
      <w:r>
        <w:rPr>
          <w:rFonts w:ascii="Arial" w:cs="Arial" w:eastAsia="Arial" w:hAnsi="Arial"/>
          <w:sz w:val="18"/>
          <w:szCs w:val="18"/>
          <w:color w:val="auto"/>
        </w:rPr>
        <w:t>the three months ended March 26, 2022, was due to an overall favorable product mix and an increase in average sales prices partially offset by a $9.2 million increase in acquired intangibles amortization and inventory fair value adjustments included in cost of revenue.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margin as a percentage of net revenue was 53.6% or $677.0 million, for the nine months ended March 26, 2022, compared with 43.5%,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$440.4 million, for the nine months ended March 27, 2021. The 1,010 basis point increase in gross margin for the nine months ended March 26, 2022, was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due to an overall favorable product mix driven and an increase in average sales prices as well as a $13.2 million decrease in acquired intangibles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inventory fair value adjustments included in cost of revenue.</w:t>
      </w:r>
    </w:p>
    <w:p>
      <w:pPr>
        <w:spacing w:after="0" w:line="88"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Research and development expenses increased $20.7 million to $98.2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26, 2022, compared with $77.5 million for the three months ended March 27, 2021. The increase in research and development expenses primarily reflected a $5.1 million increase in share-based compensation costs primarily related to an increased stock price which impacted the value of the new grants and the phantom stock units accrual and an increase in payroll and variable compensation costs of $10.8 million, which includes costs associated with research and development headcount from our DSPG acquisition, which closed on December 2, 2021.</w:t>
      </w:r>
    </w:p>
    <w:p>
      <w:pPr>
        <w:spacing w:after="0" w:line="6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Research and development expenses increased $37.5 million to $273.2 million for the nine months ended March 26, 2022, compared with $235.7 for the nine months ended March 27, 2021. The increase in research and development expenses primarily reflected a $24.0 million increase in share-based compensation costs primarily related to an increased stock price which impacted the value of the new grants and the phantom stock units accrual, an increase in payroll and variable compensation costs of $13.3 million, which includes costs associated with research and development headcount from our DSPG acquisition, which closed on December 2, 2021.</w:t>
      </w:r>
    </w:p>
    <w:p>
      <w:pPr>
        <w:spacing w:after="0" w:line="81"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increased $7.4 million to $44.2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26, 2022, compared with $36.8 million for the three months ended March 27, 2021. The increase in selling, general, and administrative expenses primarily reflected a $3.8 million increase in share-based compensation costs primarily related to an increased stock price which impacted the value of the new grants and the phantom stock units accrual and an increase in payroll and variable compensation costs of $2.8 million, which includes costs associated with additional selling, general, and administrative headcount from our DSPG acquisition, which closed on December 2, 2021.</w:t>
      </w:r>
    </w:p>
    <w:p>
      <w:pPr>
        <w:spacing w:after="0" w:line="51"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Selling, general, and administrative expenses increased $18.5 million to $130.1 million for the nine months ended March 26, 2022, compared with $111.6 million for the nine months ended March 27, 2021. The increase in selling, general, and administrative expenses primarily reflected a $11.7 million increase in share-based compensation costs primarily related to an increased stock price which impacted the value of the new grants and the phantom stock units accrual and an increase in payroll and variable compensation costs of $6.0 million, which includes costs associated with additional selling, general, and administrative headcount from our DSPG acquisition, which closed on December 2, 2021.</w:t>
      </w:r>
    </w:p>
    <w:p>
      <w:pPr>
        <w:spacing w:after="0" w:line="66"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i w:val="1"/>
          <w:iCs w:val="1"/>
          <w:color w:val="auto"/>
        </w:rPr>
        <w:t>Acquired Intangibles Amortization</w:t>
      </w:r>
      <w:r>
        <w:rPr>
          <w:rFonts w:ascii="Arial" w:cs="Arial" w:eastAsia="Arial" w:hAnsi="Arial"/>
          <w:sz w:val="18"/>
          <w:szCs w:val="18"/>
          <w:color w:val="auto"/>
        </w:rPr>
        <w:t>. 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7 Acquired Intangibles and Goodwill to the condensed consolidated financial statements contained elsewhere in this Report.</w:t>
      </w:r>
    </w:p>
    <w:p>
      <w:pPr>
        <w:spacing w:after="0" w:line="74"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i w:val="1"/>
          <w:iCs w:val="1"/>
          <w:color w:val="auto"/>
        </w:rPr>
        <w:t>Restructuring Costs</w:t>
      </w:r>
      <w:r>
        <w:rPr>
          <w:rFonts w:ascii="Arial" w:cs="Arial" w:eastAsia="Arial" w:hAnsi="Arial"/>
          <w:sz w:val="17"/>
          <w:szCs w:val="17"/>
          <w:color w:val="auto"/>
        </w:rPr>
        <w:t>. Restructuring costs of $11.3 million in the three months ended March 26, 2022 are primarily related to activities intended to</w:t>
      </w:r>
      <w:r>
        <w:rPr>
          <w:rFonts w:ascii="Arial" w:cs="Arial" w:eastAsia="Arial" w:hAnsi="Arial"/>
          <w:sz w:val="17"/>
          <w:szCs w:val="17"/>
          <w:i w:val="1"/>
          <w:iCs w:val="1"/>
          <w:color w:val="auto"/>
        </w:rPr>
        <w:t xml:space="preserve"> </w:t>
      </w:r>
      <w:r>
        <w:rPr>
          <w:rFonts w:ascii="Arial" w:cs="Arial" w:eastAsia="Arial" w:hAnsi="Arial"/>
          <w:sz w:val="17"/>
          <w:szCs w:val="17"/>
          <w:color w:val="auto"/>
        </w:rPr>
        <w:t>gain synergies from our recent DSPG acquisition as well as an acceleration of vesting on certain equity awards. Restructuring activities commenced in fiscal 2022 and are expected to be complete by the end of the fourth quarter of fiscal 2022. For further discussion of restructuring costs, see Note 16 Restructuring Activities to the condensed consolidated financial statements contained elsewhere in this Report.</w:t>
      </w:r>
    </w:p>
    <w:p>
      <w:pPr>
        <w:spacing w:after="0" w:line="64"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Restructuring costs of $17.8 million in the nine months ended March 26, 2022 reflect severance costs for restructuring of our operations to reduce ongoing operating costs and for activities intended to gain synergies from our recent DSPG acquisition as well as an acceleration of vesting on certain equity awards. Restructuring activities commenced in fiscal 2022 and are expected to be complete by the end of the fourth quarter of fiscal 2022.</w:t>
      </w:r>
    </w:p>
    <w:p>
      <w:pPr>
        <w:spacing w:after="0" w:line="3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Interest and other expense, net, primarily includes interest on our debt, amortization of debt discount and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partially offset by interest income earned on our cash, cash equivalents and short-term investments and a gain recognized on settlement of a supplier agreement. Interest and other expense, net decreased by $0.3 million to $6.7 million for the three months ended March 26, 2022, as compared to $7.0 million for the three months ended March 27, 2021.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right="20" w:firstLine="509"/>
        <w:spacing w:after="0" w:line="259" w:lineRule="auto"/>
        <w:rPr>
          <w:sz w:val="20"/>
          <w:szCs w:val="20"/>
          <w:color w:val="auto"/>
        </w:rPr>
      </w:pPr>
      <w:r>
        <w:rPr>
          <w:rFonts w:ascii="Arial" w:cs="Arial" w:eastAsia="Arial" w:hAnsi="Arial"/>
          <w:sz w:val="17"/>
          <w:szCs w:val="17"/>
          <w:color w:val="auto"/>
        </w:rPr>
        <w:t>Interest and other expense, net, increased $0.6 million to $18.3 million for the nine months ended March 26, 2022, as compared to $17.7 million for the nine months ended March 27, 2021. The increase in interest and other expense, net, is primarily due to interest and amortization of debt issuance costs on the $400.0 million principal amount of Senior Notes issued in March 2021 and the $600 million incremental term loan facility executed in December 2021, partially offset by lower interest and amortization of debt issuance costs and discount on the convertible notes which were partially redeemed in the fourth quarter of fiscal 2021 and fully redeemed in the first quarter of fiscal 2022.</w:t>
      </w:r>
    </w:p>
    <w:p>
      <w:pPr>
        <w:spacing w:after="0" w:line="6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Gain from sale and leaseback transaction</w:t>
      </w:r>
      <w:r>
        <w:rPr>
          <w:rFonts w:ascii="Arial" w:cs="Arial" w:eastAsia="Arial" w:hAnsi="Arial"/>
          <w:sz w:val="18"/>
          <w:szCs w:val="18"/>
          <w:color w:val="auto"/>
        </w:rPr>
        <w:t>. Gain from sale and leaseback transaction represents the gain from the sale of our headquarters buildings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properties located at 1109-1251 McKay Drive and 1140-1150 Ringwood Court, San Jose, California. The sale and leaseback transaction was completed in the third quarter of fiscal 2022. For further discussion of the sale and leaseback transaction, see Note 8 Leases to the condensed consolidated financial statements contained elsewhere in this Report.</w:t>
      </w:r>
    </w:p>
    <w:p>
      <w:pPr>
        <w:spacing w:after="0" w:line="80" w:lineRule="exact"/>
        <w:rPr>
          <w:sz w:val="20"/>
          <w:szCs w:val="20"/>
          <w:color w:val="auto"/>
        </w:rPr>
      </w:pPr>
    </w:p>
    <w:p>
      <w:pPr>
        <w:ind w:right="640" w:firstLine="509"/>
        <w:spacing w:after="0" w:line="324" w:lineRule="auto"/>
        <w:rPr>
          <w:sz w:val="20"/>
          <w:szCs w:val="20"/>
          <w:color w:val="auto"/>
        </w:rPr>
      </w:pPr>
      <w:r>
        <w:rPr>
          <w:rFonts w:ascii="Arial" w:cs="Arial" w:eastAsia="Arial" w:hAnsi="Arial"/>
          <w:sz w:val="16"/>
          <w:szCs w:val="16"/>
          <w:i w:val="1"/>
          <w:iCs w:val="1"/>
          <w:color w:val="auto"/>
        </w:rPr>
        <w:t>Loss on redemption of convertible notes</w:t>
      </w:r>
      <w:r>
        <w:rPr>
          <w:rFonts w:ascii="Arial" w:cs="Arial" w:eastAsia="Arial" w:hAnsi="Arial"/>
          <w:sz w:val="16"/>
          <w:szCs w:val="16"/>
          <w:color w:val="auto"/>
        </w:rPr>
        <w:t>. Loss on redemption of convertible notes, which began in the fourth quarter of fiscal 2021 and was</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in the first quarter of fiscal 2022, represents the difference between fair value and the carrying value as of the redemption date.</w:t>
      </w:r>
    </w:p>
    <w:p>
      <w:pPr>
        <w:spacing w:after="0" w:line="16"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We account for income taxes under the asset and liability method. The provision for income taxes recorded in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6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provision for income taxes of $24.4 million and $10.4 million for the three months ended March 26, 2022 and March 27, 2021, respectively, represented estimated federal, foreign, and state income taxes. The effective tax rate for the three months ended March 26, 2022 diverged from the combined U.S. federal and state statutory tax rate primarily because of the benefit of income taxed at lower rates, research credits and foreign tax credits, partially offset by foreign withholding taxes, non-deductible officer compensation and global intangible low-taxed income, or GILTI. The effective tax rate for the three months ended March 27, 2021, diverged from the combined U.S. federal and state statutory tax rate, primarily because of income taxed at lower rates, the benefit of research credits and foreign tax credits, partially offset by foreign withholding taxes and GILTI.</w:t>
      </w:r>
    </w:p>
    <w:p>
      <w:pPr>
        <w:spacing w:after="0" w:line="53"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provision for income taxes of $32.3 million and $16.4 million for the nine months ended March 26, 2022 and March 27, 2021, respectively, represented estimated federal, foreign, and state income taxes. The effective tax rate for the nine months ended March 26, 2022 diverged from the combined U.S. federal and state statutory tax rate primarily because of the benefit of income taxed at lower rates, research credits and foreign tax credits, partially offset by foreign withholding taxes, non-deductible officer compensation and GILTI. The effective tax rate for the nine months ended March 27, 2021, diverged from the combined U.S. federal and state statutory tax rate, primarily because of the benefit of income taxed at lower rates, research credits and foreign tax credits, partially offset by foreign withholding taxes and GILTI.</w:t>
      </w:r>
    </w:p>
    <w:p>
      <w:pPr>
        <w:spacing w:after="0" w:line="6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January 2022, final foreign tax credit regulations were issued by the U.S. Treasury modifying long established rules, including rules used in the determination of whether foreign taxes paid or accrued are creditable against U.S. income taxes. We are evaluating these new regulations and certain research and development capitalization rule changes, all effective beginning with our fiscal 2023, but anticipate our future provision for income taxes will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cash and cash equivalents were $690.3 million as of March 26, 2022, compared with $836.3 million as of June 26, 2021, representing a decrease of $146.0 million. The decrease primarily reflected $505.6 million used for the payment for the redemption of convertible notes, net cash paid to acquire DSPG of $504.8 million, $66.1 million used for payroll taxes on the delivery of the underlying shares for Restricted Stock Units, or RSUs, Market Stock Units, or MSUs and Performance Stock Units, or PSUs, $26.9 million for the purchase of property and equipment, offset by proceeds from the term loan facility of $588.8, net of debt issuance costs paid of $11.2 million, proceeds from the sale of property and equipment of $55.9 million and $308.4 million of net cash provided by operating activities.</w:t>
      </w:r>
    </w:p>
    <w:p>
      <w:pPr>
        <w:spacing w:after="0" w:line="81"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March 26, 2022, $563.2 million of cash, cash equivalents and short-term investments was held by our foreign subsidiaries. If these funds are needed for our operations in the United States, we would be able to repatriate these funds without impacting our tax provision.</w:t>
      </w:r>
    </w:p>
    <w:p>
      <w:pPr>
        <w:spacing w:after="0" w:line="8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Operating activities during the nine months ended March 26, 2022 generated $308.4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$214.3 million net cash generated during the nine months ended March 27, 2021. For the nine months ended March 26, 2022, the primary operating activities were adjustments for non-cash charges of $164.5 million and a net change in operating assets and liabilities of $30.7 million. The net change in operating assets and liabilities was primarily attributable to a $57.3</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2" w:name="page33"/>
    <w:bookmarkEnd w:id="32"/>
    <w:p>
      <w:pPr>
        <w:ind w:right="540" w:firstLine="45"/>
        <w:spacing w:after="0" w:line="261" w:lineRule="auto"/>
        <w:rPr>
          <w:sz w:val="20"/>
          <w:szCs w:val="20"/>
          <w:color w:val="auto"/>
        </w:rPr>
      </w:pPr>
      <w:r>
        <w:rPr>
          <w:rFonts w:ascii="Arial" w:cs="Arial" w:eastAsia="Arial" w:hAnsi="Arial"/>
          <w:sz w:val="18"/>
          <w:szCs w:val="18"/>
          <w:color w:val="auto"/>
        </w:rPr>
        <w:t>million increase in accounts receivable, a $41.3 million increase in inventories, $21.1 million increase in accounts payable, and an increase of $31.1 million in income taxes payable and other accrued liabilities.</w:t>
      </w:r>
    </w:p>
    <w:p>
      <w:pPr>
        <w:spacing w:after="0" w:line="63" w:lineRule="exact"/>
        <w:rPr>
          <w:sz w:val="20"/>
          <w:szCs w:val="20"/>
          <w:color w:val="auto"/>
        </w:rPr>
      </w:pPr>
    </w:p>
    <w:p>
      <w:pPr>
        <w:ind w:right="300" w:firstLine="509"/>
        <w:spacing w:after="0" w:line="241" w:lineRule="auto"/>
        <w:rPr>
          <w:sz w:val="20"/>
          <w:szCs w:val="20"/>
          <w:color w:val="auto"/>
        </w:rPr>
      </w:pPr>
      <w:r>
        <w:rPr>
          <w:rFonts w:ascii="Arial" w:cs="Arial" w:eastAsia="Arial" w:hAnsi="Arial"/>
          <w:sz w:val="18"/>
          <w:szCs w:val="18"/>
          <w:color w:val="auto"/>
        </w:rPr>
        <w:t>For the nine months ended March 27, 2021, the primary operating activities were adjustments for non-cash charges of $126.3 million and a net change in operating assets and liabilities of $27.4 million. The net change in operating assets and liabilities was primarily attributable to a $65.8 million decrease in inventories and a $37.9 million increase in accounts payable, partially offset by a $31.3 million increase in accounts receivable, net, a $19.3 million decrease in other accrued liabilities, a $11.8 million decrease in income taxes payable, and a $7.9 million increase in prepaid expenses and other current assets.</w:t>
      </w:r>
    </w:p>
    <w:p>
      <w:pPr>
        <w:spacing w:after="0" w:line="81"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During the nine months ended March 26, 2022, our days sales outstanding was 57 days compared to 65 days at the same period a year ago. Our annual inventory turns decreased from eight to five over the same time period.</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i w:val="1"/>
          <w:iCs w:val="1"/>
          <w:color w:val="auto"/>
        </w:rPr>
        <w:t>Cash Flows from Investing Activities</w:t>
      </w:r>
      <w:r>
        <w:rPr>
          <w:rFonts w:ascii="Arial" w:cs="Arial" w:eastAsia="Arial" w:hAnsi="Arial"/>
          <w:sz w:val="17"/>
          <w:szCs w:val="17"/>
          <w:color w:val="auto"/>
        </w:rPr>
        <w:t>. Cash used in investing activities during the nine months ended March 26, 2022 consisted of $469.4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with $517.0 million net cash used during the nine months ended March 27, 2021. Net cash used in investing activities for the nine months ended March 26, 2022 consisted of $55.9 million proceeds from the sale of property, partially offset by $504.8 million for the DSPG acquisition and $26.9 million for purchases of property and equipment. Cash used in investing activities during the nine months ended March 27, 2021 consisted of $626.5 million used for the acquisition of businesses and $15.5 million for purchases of property and equipment, partially offset by $95.8 million in proceeds from maturities of investments and $34.2 million of proceeds from sale of audio technology assets.</w:t>
      </w:r>
    </w:p>
    <w:p>
      <w:pPr>
        <w:spacing w:after="0" w:line="6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 Cash provided by financing activities for the nine months ended March 26, 2022 was $16.9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$294.0 million used in financing activities for the nine months ended March 27, 2021. Net cash provided by financing activities for the nine months ended March 26, 2022 consisted of proceeds received from the term loan facility of $588.8 million (net of debt issuance costs paid of $11.2 million) and $15.1 million proceeds from issuance of shares, offset by a $505.6 million payment for redemption of convertible notes, $66.1 million used for payroll taxes on the delivery of the underlying shares for RSUs, MSUs and PSUs, and $16.6 million used for refundable deposit paid to vendor. Net cash used in financing activities for the nine months ended March 27, 2021 consisted of $400.0 million of proceeds from issuance of debt and $26.9 million of proceeds from issuance of shares, partially offset by primarily a $100.0 million payment on line of credit borrowings and $27.0 million used for payroll taxes on RSUs, MSUs and PSUs.</w:t>
      </w:r>
    </w:p>
    <w:p>
      <w:pPr>
        <w:spacing w:after="0" w:line="86"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i w:val="1"/>
          <w:iCs w:val="1"/>
          <w:color w:val="auto"/>
        </w:rPr>
        <w:t>Common Stock Repurchase Program</w:t>
      </w:r>
      <w:r>
        <w:rPr>
          <w:rFonts w:ascii="Arial" w:cs="Arial" w:eastAsia="Arial" w:hAnsi="Arial"/>
          <w:sz w:val="17"/>
          <w:szCs w:val="17"/>
          <w:color w:val="auto"/>
        </w:rPr>
        <w:t>. As of March 26, 2022, our board has cumulatively authorized $1.8 billion for our common stock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March 26, 2022, we purchased 31,749,195 shares of our common stock in the open market for an aggregate cost of $1.2 billion. During the nine months ended March 26, 2022, we did not repurchase any shares of our common stock. As of March 26, 2022, the remaining available authorization under our common stock repurchase program was $577.4 million.</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Debt</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Indenture provides that the Senior Notes will bear interest at a rate of 4.000%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80"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to, but excluding, the redemption date.</w:t>
      </w:r>
    </w:p>
    <w:p>
      <w:pPr>
        <w:spacing w:after="0" w:line="39"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may redeem some or all of the Senior Notes on or after June 15, 2024 at the redemption prices specified below, plus accrued and unpaid interest, if any, to, but excluding, the redemption date: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60" w:type="dxa"/>
            <w:vAlign w:val="bottom"/>
          </w:tcPr>
          <w:p>
            <w:pPr>
              <w:spacing w:after="0"/>
              <w:rPr>
                <w:sz w:val="18"/>
                <w:szCs w:val="18"/>
                <w:color w:val="auto"/>
              </w:rPr>
            </w:pPr>
          </w:p>
        </w:tc>
        <w:tc>
          <w:tcPr>
            <w:tcW w:w="2980" w:type="dxa"/>
            <w:vAlign w:val="bottom"/>
          </w:tcPr>
          <w:p>
            <w:pPr>
              <w:ind w:left="2340"/>
              <w:spacing w:after="0"/>
              <w:rPr>
                <w:sz w:val="20"/>
                <w:szCs w:val="20"/>
                <w:color w:val="auto"/>
              </w:rPr>
            </w:pPr>
            <w:r>
              <w:rPr>
                <w:rFonts w:ascii="Arial" w:cs="Arial" w:eastAsia="Arial" w:hAnsi="Arial"/>
                <w:sz w:val="18"/>
                <w:szCs w:val="18"/>
                <w:color w:val="auto"/>
              </w:rPr>
              <w:t>Year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70"/>
              <w:spacing w:after="0"/>
              <w:rPr>
                <w:sz w:val="20"/>
                <w:szCs w:val="20"/>
                <w:color w:val="auto"/>
              </w:rPr>
            </w:pPr>
            <w:r>
              <w:rPr>
                <w:rFonts w:ascii="Arial" w:cs="Arial" w:eastAsia="Arial" w:hAnsi="Arial"/>
                <w:sz w:val="18"/>
                <w:szCs w:val="18"/>
                <w:color w:val="auto"/>
              </w:rPr>
              <w:t>Price</w:t>
            </w:r>
          </w:p>
        </w:tc>
        <w:tc>
          <w:tcPr>
            <w:tcW w:w="2240" w:type="dxa"/>
            <w:vAlign w:val="bottom"/>
          </w:tcPr>
          <w:p>
            <w:pPr>
              <w:spacing w:after="0"/>
              <w:rPr>
                <w:sz w:val="18"/>
                <w:szCs w:val="18"/>
                <w:color w:val="auto"/>
              </w:rPr>
            </w:pPr>
          </w:p>
        </w:tc>
      </w:tr>
      <w:tr>
        <w:trPr>
          <w:trHeight w:val="196"/>
        </w:trPr>
        <w:tc>
          <w:tcPr>
            <w:tcW w:w="2260" w:type="dxa"/>
            <w:vAlign w:val="bottom"/>
          </w:tcPr>
          <w:p>
            <w:pPr>
              <w:spacing w:after="0"/>
              <w:rPr>
                <w:sz w:val="17"/>
                <w:szCs w:val="17"/>
                <w:color w:val="auto"/>
              </w:rPr>
            </w:pPr>
          </w:p>
        </w:tc>
        <w:tc>
          <w:tcPr>
            <w:tcW w:w="29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2024</w:t>
            </w:r>
          </w:p>
        </w:tc>
        <w:tc>
          <w:tcPr>
            <w:tcW w:w="2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9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760" w:type="dxa"/>
            <w:vAlign w:val="bottom"/>
            <w:gridSpan w:val="4"/>
          </w:tcPr>
          <w:p>
            <w:pPr>
              <w:jc w:val="right"/>
              <w:ind w:right="30"/>
              <w:spacing w:after="0" w:line="202" w:lineRule="exact"/>
              <w:rPr>
                <w:sz w:val="20"/>
                <w:szCs w:val="20"/>
                <w:color w:val="auto"/>
              </w:rPr>
            </w:pPr>
            <w:r>
              <w:rPr>
                <w:rFonts w:ascii="Arial" w:cs="Arial" w:eastAsia="Arial" w:hAnsi="Arial"/>
                <w:sz w:val="18"/>
                <w:szCs w:val="18"/>
                <w:color w:val="auto"/>
              </w:rPr>
              <w:t>101 %</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 and thereafter</w:t>
            </w:r>
          </w:p>
        </w:tc>
        <w:tc>
          <w:tcPr>
            <w:tcW w:w="3760" w:type="dxa"/>
            <w:vAlign w:val="bottom"/>
            <w:gridSpan w:val="4"/>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100 %</w:t>
            </w:r>
          </w:p>
        </w:tc>
        <w:tc>
          <w:tcPr>
            <w:tcW w:w="2240" w:type="dxa"/>
            <w:vAlign w:val="bottom"/>
          </w:tcPr>
          <w:p>
            <w:pPr>
              <w:spacing w:after="0"/>
              <w:rPr>
                <w:sz w:val="17"/>
                <w:szCs w:val="17"/>
                <w:color w:val="auto"/>
              </w:rPr>
            </w:pPr>
          </w:p>
        </w:tc>
      </w:tr>
      <w:tr>
        <w:trPr>
          <w:trHeight w:val="634"/>
        </w:trPr>
        <w:tc>
          <w:tcPr>
            <w:tcW w:w="2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40" w:type="dxa"/>
            <w:vAlign w:val="bottom"/>
          </w:tcPr>
          <w:p>
            <w:pPr>
              <w:jc w:val="right"/>
              <w:ind w:right="14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1"/>
        </w:trPr>
        <w:tc>
          <w:tcPr>
            <w:tcW w:w="226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100" w:firstLine="509"/>
        <w:spacing w:after="0" w:line="248"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to, but excluding, the applicable redemption date with the net cash proceeds from one or more equity offerings by us.</w:t>
      </w:r>
    </w:p>
    <w:p>
      <w:pPr>
        <w:spacing w:after="0" w:line="7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3"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5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Senior Notes.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Bank Credit Facility</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On March 11, 2021, we entered into a Second Amended and Restated Credit Agreement, or the Credit Agreement, with the lenders party thereto and Wells Fargo Bank, National Association, as administrative agent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ratio (as defined in the Credit Agreement)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Credit Agreement provides for a revolving credit facility in a principal amount of up to $250 million, which includes a $20 million sublimit for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and a $25 million sublimit for swingline loans. Under the terms of the Credit Agreement, we may, subject to the satisfaction of certain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conditions, request increases in the revolving credit facility commitments in an aggregate principal amount of up to $150 million to the extent existing 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lenders agree to provide such increased or additional commitments, as applicable. Future proceeds under the revolving credit facility are available for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and general corporate purposes. In March 2021 we used a portion of the proceeds from the Senior Notes described above to repay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$100.0 million outstanding borrowings on this revolving credit facility. As of March 26, 2022, there was no balance outstanding under the revolving credit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88" w:lineRule="exact"/>
        <w:rPr>
          <w:sz w:val="20"/>
          <w:szCs w:val="20"/>
          <w:color w:val="auto"/>
        </w:rPr>
      </w:pPr>
    </w:p>
    <w:p>
      <w:pPr>
        <w:ind w:right="440" w:firstLine="509"/>
        <w:spacing w:after="0" w:line="324" w:lineRule="auto"/>
        <w:rPr>
          <w:sz w:val="20"/>
          <w:szCs w:val="20"/>
          <w:color w:val="auto"/>
        </w:rPr>
      </w:pPr>
      <w:r>
        <w:rPr>
          <w:rFonts w:ascii="Arial" w:cs="Arial" w:eastAsia="Arial" w:hAnsi="Arial"/>
          <w:sz w:val="16"/>
          <w:szCs w:val="16"/>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1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8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100"/>
        <w:spacing w:after="0" w:line="259" w:lineRule="auto"/>
        <w:rPr>
          <w:sz w:val="20"/>
          <w:szCs w:val="20"/>
          <w:color w:val="auto"/>
        </w:rPr>
      </w:pPr>
      <w:r>
        <w:rPr>
          <w:rFonts w:ascii="Arial" w:cs="Arial" w:eastAsia="Arial" w:hAnsi="Arial"/>
          <w:sz w:val="17"/>
          <w:szCs w:val="17"/>
          <w:color w:val="auto"/>
        </w:rPr>
        <w:t>based on a sliding scale that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6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that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March 26, 2022, we remain in compliance with the restrictive covenants.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Term Loan Facility</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December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our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81"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Borrowings under the Term Loan Facility will accrue interest at the London Interbank Offered Rate, or LIBOR, plus 2.25% or at the base rate plus 1.50%, subject to a 25 basis point step-down based on total gross leverage, and subject to a LIBOR floor of 50 basis points. The base rate is the highest of</w:t>
      </w:r>
    </w:p>
    <w:p>
      <w:pPr>
        <w:spacing w:after="0" w:line="1" w:lineRule="exact"/>
        <w:rPr>
          <w:sz w:val="20"/>
          <w:szCs w:val="20"/>
          <w:color w:val="auto"/>
        </w:rPr>
      </w:pPr>
    </w:p>
    <w:p>
      <w:pPr>
        <w:ind w:right="60" w:firstLine="8"/>
        <w:spacing w:after="0" w:line="239"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Funds Rate plus 0.50%, (ii) the Wells Fargo Bank, National Association prime rate and (iii) the one-month LIBOR plus 1.00%. The Term Loan Facility contains customary representations and warranties, affirmative and negative covenants and events of default, in each case consistent with the Credit Agreement. The Term Loan Facility does not contain any financial covenant.</w:t>
      </w:r>
    </w:p>
    <w:p>
      <w:pPr>
        <w:spacing w:after="0" w:line="81" w:lineRule="exact"/>
        <w:rPr>
          <w:sz w:val="20"/>
          <w:szCs w:val="20"/>
          <w:color w:val="auto"/>
        </w:rPr>
      </w:pPr>
    </w:p>
    <w:p>
      <w:pPr>
        <w:ind w:right="280" w:firstLine="509"/>
        <w:spacing w:after="0" w:line="270" w:lineRule="auto"/>
        <w:rPr>
          <w:sz w:val="20"/>
          <w:szCs w:val="20"/>
          <w:color w:val="auto"/>
        </w:rPr>
      </w:pPr>
      <w:r>
        <w:rPr>
          <w:rFonts w:ascii="Arial" w:cs="Arial" w:eastAsia="Arial" w:hAnsi="Arial"/>
          <w:sz w:val="17"/>
          <w:szCs w:val="17"/>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with the fiscal year ending June 30, 2023, an excess cash flow sweep, subject to customary step-downs and thresholds.</w:t>
      </w:r>
    </w:p>
    <w:p>
      <w:pPr>
        <w:spacing w:after="0" w:line="5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$100 Million Shelf Registration</w:t>
      </w:r>
      <w:r>
        <w:rPr>
          <w:rFonts w:ascii="Arial" w:cs="Arial" w:eastAsia="Arial" w:hAnsi="Arial"/>
          <w:sz w:val="18"/>
          <w:szCs w:val="18"/>
          <w:color w:val="auto"/>
        </w:rPr>
        <w:t>. We have registered an aggregate of $100.0 million of common stock and preferred stock for issuance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acquisitions, which shares will generally be freely tradeable after their issuance under the Securities Act unless held by an affiliate of us, in which case such shares will be subject to the volume and manner of sale restrictions of Rule 144 of the Securities Act.</w:t>
      </w:r>
    </w:p>
    <w:p>
      <w:pPr>
        <w:spacing w:after="0" w:line="7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i w:val="1"/>
          <w:iCs w:val="1"/>
          <w:color w:val="auto"/>
        </w:rPr>
        <w:t>Working Capital Needs</w:t>
      </w:r>
      <w:r>
        <w:rPr>
          <w:rFonts w:ascii="Arial" w:cs="Arial" w:eastAsia="Arial" w:hAnsi="Arial"/>
          <w:sz w:val="16"/>
          <w:szCs w:val="16"/>
          <w:color w:val="auto"/>
        </w:rPr>
        <w:t>. We believe our existing cash and cash equivalents, anticipated cash flows from operating activities, anticipated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from financing activities, and available credit under our revolving credit facility, will be sufficient to meet our working capital and other cash requirements, including acquisitions, and our debt service obligations, for at least the next 12 months. Our future capital requirements will depend on many factors, including our revenue, the effectiveness of vaccines on variants of COVID-19, including the deployment of those vaccines to help reduce the length, duration and severity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59"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Based on our ability to access our cash and cash equivalents, our expected operating cash flows, and our other sources of cash, we do not currently anticipate the need to remit undistributed earnings of our foreign subsidiaries to meet our working capital and other cash requirements, but if we did remit such earnings, we may be required to pay certain state and foreign taxes to repatriate these funds, which could adversely impact our financial position.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March 26, 2022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0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157"/>
              <w:spacing w:after="0" w:line="133" w:lineRule="exact"/>
              <w:rPr>
                <w:sz w:val="20"/>
                <w:szCs w:val="20"/>
                <w:color w:val="auto"/>
              </w:rPr>
            </w:pPr>
            <w:r>
              <w:rPr>
                <w:rFonts w:ascii="Arial" w:cs="Arial" w:eastAsia="Arial" w:hAnsi="Arial"/>
                <w:sz w:val="14"/>
                <w:szCs w:val="14"/>
                <w:b w:val="1"/>
                <w:bCs w:val="1"/>
                <w:color w:val="auto"/>
                <w:w w:val="97"/>
              </w:rPr>
              <w:t>Less than</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9"/>
              </w:rPr>
              <w:t>Thereafter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57"/>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auto"/>
            </w:tcBorders>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Long-term debt </w:t>
            </w:r>
            <w:r>
              <w:rPr>
                <w:rFonts w:ascii="Arial" w:cs="Arial" w:eastAsia="Arial" w:hAnsi="Arial"/>
                <w:sz w:val="22"/>
                <w:szCs w:val="22"/>
                <w:color w:val="auto"/>
                <w:vertAlign w:val="superscript"/>
              </w:rPr>
              <w:t>(1)</w:t>
            </w: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1,118.5</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44.0</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44.0</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1,021.0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Leases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Purchase obligations and other commitments </w:t>
            </w:r>
            <w:r>
              <w:rPr>
                <w:rFonts w:ascii="Arial" w:cs="Arial" w:eastAsia="Arial" w:hAnsi="Arial"/>
                <w:sz w:val="23"/>
                <w:szCs w:val="23"/>
                <w:color w:val="auto"/>
                <w:vertAlign w:val="superscript"/>
              </w:rPr>
              <w:t>(2)</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CFF0FC"/>
            </w:tcBorders>
            <w:gridSpan w:val="2"/>
          </w:tcPr>
          <w:p>
            <w:pPr>
              <w:ind w:left="20"/>
              <w:spacing w:after="0" w:line="202" w:lineRule="exact"/>
              <w:rPr>
                <w:sz w:val="20"/>
                <w:szCs w:val="20"/>
                <w:color w:val="auto"/>
              </w:rPr>
            </w:pPr>
            <w:r>
              <w:rPr>
                <w:rFonts w:ascii="Arial" w:cs="Arial" w:eastAsia="Arial" w:hAnsi="Arial"/>
                <w:sz w:val="17"/>
                <w:szCs w:val="17"/>
                <w:color w:val="auto"/>
              </w:rPr>
              <w:t xml:space="preserve">Transition tax payable </w:t>
            </w:r>
            <w:r>
              <w:rPr>
                <w:rFonts w:ascii="Arial" w:cs="Arial" w:eastAsia="Arial" w:hAnsi="Arial"/>
                <w:sz w:val="23"/>
                <w:szCs w:val="23"/>
                <w:color w:val="auto"/>
                <w:vertAlign w:val="superscript"/>
              </w:rPr>
              <w:t>(3)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1,482.6</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58.2</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243.7</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122.6</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1,058.1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-161925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-161925</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4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-161925</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-161925</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-161925</wp:posOffset>
            </wp:positionV>
            <wp:extent cx="431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84" w:lineRule="exact"/>
        <w:rPr>
          <w:sz w:val="20"/>
          <w:szCs w:val="20"/>
          <w:color w:val="auto"/>
        </w:rPr>
      </w:pPr>
    </w:p>
    <w:p>
      <w:pPr>
        <w:ind w:left="1540" w:hanging="513"/>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103" w:lineRule="exact"/>
        <w:rPr>
          <w:rFonts w:ascii="Arial" w:cs="Arial" w:eastAsia="Arial" w:hAnsi="Arial"/>
          <w:sz w:val="18"/>
          <w:szCs w:val="18"/>
          <w:color w:val="auto"/>
        </w:rPr>
      </w:pPr>
    </w:p>
    <w:p>
      <w:pPr>
        <w:ind w:left="520" w:right="220" w:firstLine="507"/>
        <w:spacing w:after="0" w:line="261" w:lineRule="auto"/>
        <w:tabs>
          <w:tab w:leader="none" w:pos="1539"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spacing w:after="0" w:line="62" w:lineRule="exact"/>
        <w:rPr>
          <w:rFonts w:ascii="Arial" w:cs="Arial" w:eastAsia="Arial" w:hAnsi="Arial"/>
          <w:sz w:val="18"/>
          <w:szCs w:val="18"/>
          <w:color w:val="auto"/>
        </w:rPr>
      </w:pPr>
    </w:p>
    <w:p>
      <w:pPr>
        <w:ind w:left="520" w:right="480" w:firstLine="507"/>
        <w:spacing w:after="0" w:line="261" w:lineRule="auto"/>
        <w:tabs>
          <w:tab w:leader="none" w:pos="153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remaining balance of the one-time transition tax liability associated with our deemed repatriation of accumulated foreign earnings as a result of the enactment of the Tax Cuts and Jobs Act into law on December 22, 2017.</w:t>
      </w:r>
    </w:p>
    <w:p>
      <w:pPr>
        <w:spacing w:after="0" w:line="171"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The amounts in the table above exclude gross unrecognized tax benefits related to uncertain tax positions of $37.0 million. As of March 26, 2022, we were unable to make a reasonably reliable estimate of when cash settlement with a taxing authority may occur in connection with our gross unrecognized tax benefit.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580" w:firstLine="509"/>
        <w:spacing w:after="0" w:line="291" w:lineRule="auto"/>
        <w:rPr>
          <w:sz w:val="20"/>
          <w:szCs w:val="20"/>
          <w:color w:val="auto"/>
        </w:rPr>
      </w:pPr>
      <w:r>
        <w:rPr>
          <w:rFonts w:ascii="Arial" w:cs="Arial" w:eastAsia="Arial" w:hAnsi="Arial"/>
          <w:sz w:val="17"/>
          <w:szCs w:val="17"/>
          <w:color w:val="auto"/>
        </w:rPr>
        <w:t>As of March 26, 2022, our market risk related to interest rates on our cash and cash equivalents, and foreign currency exchange risks has not changed materially from the risks disclosed in Item 7A of our Annual Report on Form 10-K for the fiscal year ended June 26,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our Chief Executive Officer and our Chief Financial Officer, as appropriate, to allow timely decisions regarding required disclosure.</w:t>
      </w:r>
    </w:p>
    <w:p>
      <w:pPr>
        <w:spacing w:after="0" w:line="172"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Due to the COVID-19 pandemic, a portion of our employees are working from home while under governmental restrictions. Established business continuity plans were initiated in order to mitigate the impact to our control environment, operating procedures, data and internal controls. The design of our processes and controls allow for remote execution with accessibility to secure data.</w:t>
      </w:r>
    </w:p>
    <w:p>
      <w:pPr>
        <w:spacing w:after="0" w:line="18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of the end of the period covered by this Report. Based on this evaluation, our Chief Executive Officer and Chief Financial Officer concluded that our disclosure controls and procedures were effective as of the end of the period covered by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We assessed, with the participation of our CEO and CFO, any change in our internal control over financial reporting as of the end of the fiscal quarter covered by this Report.</w:t>
      </w:r>
    </w:p>
    <w:p>
      <w:pPr>
        <w:spacing w:after="0" w:line="63"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On December 2, 2021, we completed the DSPG acquisition. Under guidelines established by the SEC, companies are permitted to exclude acquisitions from their assessment of internal control over financial reporting during the first year of an acquisition while integrating the acquired company. In conducting our evaluation of the effectiveness of our internal control over financial reporting, we excluded DSPG from our evaluation for the period ended March 26, 2022. We are in the process of integrating DSPG into our system of internal control over financial reporting.</w:t>
      </w:r>
    </w:p>
    <w:p>
      <w:pPr>
        <w:spacing w:after="0" w:line="17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Except as noted above, there were no changes in our internal control over financial reporting (as defined in Rules 13a-15(f) and 15d-15(f) under the Exchange Act) during the period ended March 26, 2022, that have materially affected, or are reasonably likely to materially affect, our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252525"/>
        </w:rPr>
        <w:t xml:space="preserve">We refer you to the Company’s risk factors set forth in Part I, Item 1A, “Risk Factors,” of our Annual Report on Form 10-K for the fiscal year ended June 26, 2021 for material risks that may affect our business. </w:t>
      </w:r>
      <w:r>
        <w:rPr>
          <w:rFonts w:ascii="Arial" w:cs="Arial" w:eastAsia="Arial" w:hAnsi="Arial"/>
          <w:sz w:val="17"/>
          <w:szCs w:val="17"/>
          <w:color w:val="000000"/>
        </w:rPr>
        <w:t>There have been no material changes from the risk factors previously disclosed.</w:t>
      </w:r>
    </w:p>
    <w:p>
      <w:pPr>
        <w:spacing w:after="0" w:line="278" w:lineRule="exact"/>
        <w:rPr>
          <w:sz w:val="20"/>
          <w:szCs w:val="20"/>
          <w:color w:val="auto"/>
        </w:rPr>
      </w:pPr>
    </w:p>
    <w:p>
      <w:pPr>
        <w:ind w:right="4120"/>
        <w:spacing w:after="0" w:line="362"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Board of Directors has cumulatively authorized $1.8 billion for our common stock repurchase program, which expires at the end of July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 of March 26, 2022, the remaining amount authorized for the repurchase of our common stock was $577.4 million. During the three-month period ended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March 26, 2022, we did not repurchase any shares under our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Chief Executive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Chief Financial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56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Section 1350 Certification of Chief Executive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5760" w:type="dxa"/>
            <w:vAlign w:val="bottom"/>
            <w:tcBorders>
              <w:left w:val="single" w:sz="8" w:color="0000FF"/>
            </w:tcBorders>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Section 1350 Certification of Chief Financial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EE"/>
            </w:tcBorders>
            <w:gridSpan w:val="2"/>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560" w:type="dxa"/>
            <w:vAlign w:val="bottom"/>
            <w:gridSpan w:val="3"/>
          </w:tcPr>
          <w:p>
            <w:pPr>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956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283"/>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60" w:type="dxa"/>
            <w:vAlign w:val="bottom"/>
          </w:tcPr>
          <w:p>
            <w:pPr>
              <w:spacing w:after="0"/>
              <w:rPr>
                <w:sz w:val="20"/>
                <w:szCs w:val="20"/>
                <w:color w:val="auto"/>
              </w:rPr>
            </w:pPr>
          </w:p>
        </w:tc>
      </w:tr>
    </w:tbl>
    <w:p>
      <w:pPr>
        <w:spacing w:after="0" w:line="106" w:lineRule="exact"/>
        <w:rPr>
          <w:sz w:val="20"/>
          <w:szCs w:val="20"/>
          <w:color w:val="auto"/>
        </w:rPr>
      </w:pPr>
    </w:p>
    <w:p>
      <w:pPr>
        <w:ind w:left="1160" w:hanging="1139"/>
        <w:spacing w:after="0" w:line="235"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20" w:right="140" w:hanging="509"/>
        <w:spacing w:after="0" w:line="261" w:lineRule="auto"/>
        <w:rPr>
          <w:rFonts w:ascii="Arial" w:cs="Arial" w:eastAsia="Arial" w:hAnsi="Arial"/>
          <w:sz w:val="18"/>
          <w:szCs w:val="18"/>
          <w:color w:val="auto"/>
        </w:rPr>
      </w:pPr>
      <w:r>
        <w:rPr>
          <w:rFonts w:ascii="Arial" w:cs="Arial" w:eastAsia="Arial" w:hAnsi="Arial"/>
          <w:sz w:val="18"/>
          <w:szCs w:val="18"/>
          <w:color w:val="auto"/>
        </w:rPr>
        <w:t>* 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14230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4" w:right="49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3040"/>
              <w:spacing w:after="0"/>
              <w:rPr>
                <w:sz w:val="20"/>
                <w:szCs w:val="20"/>
                <w:color w:val="auto"/>
              </w:rPr>
            </w:pPr>
            <w:r>
              <w:rPr>
                <w:rFonts w:ascii="Arial" w:cs="Arial" w:eastAsia="Arial" w:hAnsi="Arial"/>
                <w:sz w:val="18"/>
                <w:szCs w:val="18"/>
                <w:b w:val="1"/>
                <w:bCs w:val="1"/>
                <w:color w:val="auto"/>
              </w:rPr>
              <w:t>SYNAPTICS INCORPORATED</w:t>
            </w:r>
          </w:p>
        </w:tc>
      </w:tr>
      <w:tr>
        <w:trPr>
          <w:trHeight w:val="405"/>
        </w:trPr>
        <w:tc>
          <w:tcPr>
            <w:tcW w:w="348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3920" w:type="dxa"/>
            <w:vAlign w:val="bottom"/>
          </w:tcPr>
          <w:p>
            <w:pPr>
              <w:ind w:left="304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E. Hurlston</w:t>
            </w:r>
          </w:p>
        </w:tc>
      </w:tr>
      <w:tr>
        <w:trPr>
          <w:trHeight w:val="155"/>
        </w:trPr>
        <w:tc>
          <w:tcPr>
            <w:tcW w:w="3480" w:type="dxa"/>
            <w:vAlign w:val="bottom"/>
          </w:tcPr>
          <w:p>
            <w:pPr>
              <w:spacing w:after="0"/>
              <w:rPr>
                <w:sz w:val="13"/>
                <w:szCs w:val="13"/>
                <w:color w:val="auto"/>
              </w:rPr>
            </w:pPr>
          </w:p>
        </w:tc>
        <w:tc>
          <w:tcPr>
            <w:tcW w:w="3920" w:type="dxa"/>
            <w:vAlign w:val="bottom"/>
          </w:tcPr>
          <w:p>
            <w:pPr>
              <w:ind w:left="3040"/>
              <w:spacing w:after="0" w:line="154" w:lineRule="exact"/>
              <w:rPr>
                <w:sz w:val="20"/>
                <w:szCs w:val="20"/>
                <w:color w:val="auto"/>
              </w:rPr>
            </w:pPr>
            <w:r>
              <w:rPr>
                <w:rFonts w:ascii="Arial" w:cs="Arial" w:eastAsia="Arial" w:hAnsi="Arial"/>
                <w:sz w:val="17"/>
                <w:szCs w:val="17"/>
                <w:color w:val="auto"/>
              </w:rPr>
              <w:t>Name:</w:t>
            </w:r>
          </w:p>
        </w:tc>
        <w:tc>
          <w:tcPr>
            <w:tcW w:w="3840" w:type="dxa"/>
            <w:vAlign w:val="bottom"/>
          </w:tcPr>
          <w:p>
            <w:pPr>
              <w:spacing w:after="0" w:line="154" w:lineRule="exact"/>
              <w:rPr>
                <w:sz w:val="20"/>
                <w:szCs w:val="20"/>
                <w:color w:val="auto"/>
              </w:rPr>
            </w:pPr>
            <w:r>
              <w:rPr>
                <w:rFonts w:ascii="Arial" w:cs="Arial" w:eastAsia="Arial" w:hAnsi="Arial"/>
                <w:sz w:val="17"/>
                <w:szCs w:val="17"/>
                <w:color w:val="auto"/>
              </w:rPr>
              <w:t>Michael E. Hurlston</w:t>
            </w:r>
          </w:p>
        </w:tc>
      </w:tr>
      <w:tr>
        <w:trPr>
          <w:trHeight w:val="230"/>
        </w:trPr>
        <w:tc>
          <w:tcPr>
            <w:tcW w:w="3480" w:type="dxa"/>
            <w:vAlign w:val="bottom"/>
          </w:tcPr>
          <w:p>
            <w:pPr>
              <w:spacing w:after="0"/>
              <w:rPr>
                <w:sz w:val="20"/>
                <w:szCs w:val="20"/>
                <w:color w:val="auto"/>
              </w:rPr>
            </w:pPr>
          </w:p>
        </w:tc>
        <w:tc>
          <w:tcPr>
            <w:tcW w:w="3920" w:type="dxa"/>
            <w:vAlign w:val="bottom"/>
          </w:tcPr>
          <w:p>
            <w:pPr>
              <w:ind w:left="3040"/>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580"/>
        </w:trPr>
        <w:tc>
          <w:tcPr>
            <w:tcW w:w="348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3920" w:type="dxa"/>
            <w:vAlign w:val="bottom"/>
          </w:tcPr>
          <w:p>
            <w:pPr>
              <w:ind w:left="304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Dean Butler</w:t>
            </w:r>
          </w:p>
        </w:tc>
      </w:tr>
      <w:tr>
        <w:trPr>
          <w:trHeight w:val="155"/>
        </w:trPr>
        <w:tc>
          <w:tcPr>
            <w:tcW w:w="3480" w:type="dxa"/>
            <w:vAlign w:val="bottom"/>
          </w:tcPr>
          <w:p>
            <w:pPr>
              <w:spacing w:after="0"/>
              <w:rPr>
                <w:sz w:val="13"/>
                <w:szCs w:val="13"/>
                <w:color w:val="auto"/>
              </w:rPr>
            </w:pPr>
          </w:p>
        </w:tc>
        <w:tc>
          <w:tcPr>
            <w:tcW w:w="3920" w:type="dxa"/>
            <w:vAlign w:val="bottom"/>
          </w:tcPr>
          <w:p>
            <w:pPr>
              <w:ind w:left="3040"/>
              <w:spacing w:after="0" w:line="154" w:lineRule="exact"/>
              <w:rPr>
                <w:sz w:val="20"/>
                <w:szCs w:val="20"/>
                <w:color w:val="auto"/>
              </w:rPr>
            </w:pPr>
            <w:r>
              <w:rPr>
                <w:rFonts w:ascii="Arial" w:cs="Arial" w:eastAsia="Arial" w:hAnsi="Arial"/>
                <w:sz w:val="17"/>
                <w:szCs w:val="17"/>
                <w:color w:val="auto"/>
              </w:rPr>
              <w:t>Name:</w:t>
            </w:r>
          </w:p>
        </w:tc>
        <w:tc>
          <w:tcPr>
            <w:tcW w:w="3840" w:type="dxa"/>
            <w:vAlign w:val="bottom"/>
          </w:tcPr>
          <w:p>
            <w:pPr>
              <w:spacing w:after="0" w:line="154" w:lineRule="exact"/>
              <w:rPr>
                <w:sz w:val="20"/>
                <w:szCs w:val="20"/>
                <w:color w:val="auto"/>
              </w:rPr>
            </w:pPr>
            <w:r>
              <w:rPr>
                <w:rFonts w:ascii="Arial" w:cs="Arial" w:eastAsia="Arial" w:hAnsi="Arial"/>
                <w:sz w:val="17"/>
                <w:szCs w:val="17"/>
                <w:color w:val="auto"/>
              </w:rPr>
              <w:t>Dean Butler</w:t>
            </w:r>
          </w:p>
        </w:tc>
      </w:tr>
      <w:tr>
        <w:trPr>
          <w:trHeight w:val="230"/>
        </w:trPr>
        <w:tc>
          <w:tcPr>
            <w:tcW w:w="3480" w:type="dxa"/>
            <w:vAlign w:val="bottom"/>
          </w:tcPr>
          <w:p>
            <w:pPr>
              <w:spacing w:after="0"/>
              <w:rPr>
                <w:sz w:val="20"/>
                <w:szCs w:val="20"/>
                <w:color w:val="auto"/>
              </w:rPr>
            </w:pPr>
          </w:p>
        </w:tc>
        <w:tc>
          <w:tcPr>
            <w:tcW w:w="3920" w:type="dxa"/>
            <w:vAlign w:val="bottom"/>
          </w:tcPr>
          <w:p>
            <w:pPr>
              <w:ind w:left="3040"/>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w w:val="97"/>
              </w:rPr>
              <w:t>Senior Vice President and Chief Financial Officer</w:t>
            </w:r>
          </w:p>
        </w:tc>
      </w:tr>
      <w:tr>
        <w:trPr>
          <w:trHeight w:val="378"/>
        </w:trPr>
        <w:tc>
          <w:tcPr>
            <w:tcW w:w="348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3920" w:type="dxa"/>
            <w:vAlign w:val="bottom"/>
          </w:tcPr>
          <w:p>
            <w:pPr>
              <w:ind w:left="304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Kermit Nolan</w:t>
            </w:r>
          </w:p>
        </w:tc>
      </w:tr>
      <w:tr>
        <w:trPr>
          <w:trHeight w:val="155"/>
        </w:trPr>
        <w:tc>
          <w:tcPr>
            <w:tcW w:w="3480" w:type="dxa"/>
            <w:vAlign w:val="bottom"/>
          </w:tcPr>
          <w:p>
            <w:pPr>
              <w:spacing w:after="0"/>
              <w:rPr>
                <w:sz w:val="13"/>
                <w:szCs w:val="13"/>
                <w:color w:val="auto"/>
              </w:rPr>
            </w:pPr>
          </w:p>
        </w:tc>
        <w:tc>
          <w:tcPr>
            <w:tcW w:w="3920" w:type="dxa"/>
            <w:vAlign w:val="bottom"/>
          </w:tcPr>
          <w:p>
            <w:pPr>
              <w:ind w:left="3040"/>
              <w:spacing w:after="0" w:line="154" w:lineRule="exact"/>
              <w:rPr>
                <w:sz w:val="20"/>
                <w:szCs w:val="20"/>
                <w:color w:val="auto"/>
              </w:rPr>
            </w:pPr>
            <w:r>
              <w:rPr>
                <w:rFonts w:ascii="Arial" w:cs="Arial" w:eastAsia="Arial" w:hAnsi="Arial"/>
                <w:sz w:val="17"/>
                <w:szCs w:val="17"/>
                <w:color w:val="auto"/>
              </w:rPr>
              <w:t>Name:</w:t>
            </w:r>
          </w:p>
        </w:tc>
        <w:tc>
          <w:tcPr>
            <w:tcW w:w="3840" w:type="dxa"/>
            <w:vAlign w:val="bottom"/>
          </w:tcPr>
          <w:p>
            <w:pPr>
              <w:spacing w:after="0" w:line="154" w:lineRule="exact"/>
              <w:rPr>
                <w:sz w:val="20"/>
                <w:szCs w:val="20"/>
                <w:color w:val="auto"/>
              </w:rPr>
            </w:pPr>
            <w:r>
              <w:rPr>
                <w:rFonts w:ascii="Arial" w:cs="Arial" w:eastAsia="Arial" w:hAnsi="Arial"/>
                <w:sz w:val="17"/>
                <w:szCs w:val="17"/>
                <w:color w:val="auto"/>
              </w:rPr>
              <w:t>Kermit Nolan</w:t>
            </w:r>
          </w:p>
        </w:tc>
      </w:tr>
      <w:tr>
        <w:trPr>
          <w:trHeight w:val="176"/>
        </w:trPr>
        <w:tc>
          <w:tcPr>
            <w:tcW w:w="3480" w:type="dxa"/>
            <w:vAlign w:val="bottom"/>
          </w:tcPr>
          <w:p>
            <w:pPr>
              <w:spacing w:after="0"/>
              <w:rPr>
                <w:sz w:val="15"/>
                <w:szCs w:val="15"/>
                <w:color w:val="auto"/>
              </w:rPr>
            </w:pPr>
          </w:p>
        </w:tc>
        <w:tc>
          <w:tcPr>
            <w:tcW w:w="3920" w:type="dxa"/>
            <w:vAlign w:val="bottom"/>
          </w:tcPr>
          <w:p>
            <w:pPr>
              <w:ind w:left="3040"/>
              <w:spacing w:after="0" w:line="176" w:lineRule="exact"/>
              <w:rPr>
                <w:sz w:val="20"/>
                <w:szCs w:val="20"/>
                <w:color w:val="auto"/>
              </w:rPr>
            </w:pPr>
            <w:r>
              <w:rPr>
                <w:rFonts w:ascii="Arial" w:cs="Arial" w:eastAsia="Arial" w:hAnsi="Arial"/>
                <w:sz w:val="18"/>
                <w:szCs w:val="18"/>
                <w:color w:val="auto"/>
              </w:rPr>
              <w:t>Title:</w:t>
            </w:r>
          </w:p>
        </w:tc>
        <w:tc>
          <w:tcPr>
            <w:tcW w:w="3840" w:type="dxa"/>
            <w:vAlign w:val="bottom"/>
          </w:tcPr>
          <w:p>
            <w:pPr>
              <w:spacing w:after="0" w:line="176" w:lineRule="exact"/>
              <w:rPr>
                <w:sz w:val="20"/>
                <w:szCs w:val="20"/>
                <w:color w:val="auto"/>
              </w:rPr>
            </w:pPr>
            <w:r>
              <w:rPr>
                <w:rFonts w:ascii="Arial" w:cs="Arial" w:eastAsia="Arial" w:hAnsi="Arial"/>
                <w:sz w:val="18"/>
                <w:szCs w:val="18"/>
                <w:color w:val="auto"/>
              </w:rPr>
              <w:t>Corporate Vice President and Chief Accounting</w:t>
            </w:r>
          </w:p>
        </w:tc>
      </w:tr>
      <w:tr>
        <w:trPr>
          <w:trHeight w:val="230"/>
        </w:trPr>
        <w:tc>
          <w:tcPr>
            <w:tcW w:w="34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Officer</w:t>
            </w:r>
          </w:p>
        </w:tc>
      </w:tr>
      <w:tr>
        <w:trPr>
          <w:trHeight w:val="620"/>
        </w:trPr>
        <w:tc>
          <w:tcPr>
            <w:tcW w:w="3480" w:type="dxa"/>
            <w:vAlign w:val="bottom"/>
          </w:tcPr>
          <w:p>
            <w:pPr>
              <w:spacing w:after="0"/>
              <w:rPr>
                <w:sz w:val="24"/>
                <w:szCs w:val="24"/>
                <w:color w:val="auto"/>
              </w:rPr>
            </w:pPr>
          </w:p>
        </w:tc>
        <w:tc>
          <w:tcPr>
            <w:tcW w:w="3920" w:type="dxa"/>
            <w:vAlign w:val="bottom"/>
          </w:tcPr>
          <w:p>
            <w:pPr>
              <w:ind w:left="2060"/>
              <w:spacing w:after="0"/>
              <w:rPr>
                <w:sz w:val="20"/>
                <w:szCs w:val="20"/>
                <w:color w:val="auto"/>
              </w:rPr>
            </w:pPr>
            <w:r>
              <w:rPr>
                <w:rFonts w:ascii="Arial" w:cs="Arial" w:eastAsia="Arial" w:hAnsi="Arial"/>
                <w:sz w:val="18"/>
                <w:szCs w:val="18"/>
                <w:color w:val="auto"/>
              </w:rPr>
              <w:t>40</w:t>
            </w:r>
          </w:p>
        </w:tc>
        <w:tc>
          <w:tcPr>
            <w:tcW w:w="3840" w:type="dxa"/>
            <w:vAlign w:val="bottom"/>
          </w:tcPr>
          <w:p>
            <w:pPr>
              <w:spacing w:after="0"/>
              <w:rPr>
                <w:sz w:val="24"/>
                <w:szCs w:val="24"/>
                <w:color w:val="auto"/>
              </w:rPr>
            </w:pPr>
          </w:p>
        </w:tc>
      </w:tr>
      <w:tr>
        <w:trPr>
          <w:trHeight w:val="102"/>
        </w:trPr>
        <w:tc>
          <w:tcPr>
            <w:tcW w:w="348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3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04" w:lineRule="exact"/>
        <w:rPr>
          <w:sz w:val="20"/>
          <w:szCs w:val="20"/>
          <w:color w:val="auto"/>
        </w:rPr>
      </w:pPr>
    </w:p>
    <w:p>
      <w:pPr>
        <w:ind w:left="700" w:hanging="183"/>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7"/>
        <w:spacing w:after="0" w:line="248"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506"/>
        <w:spacing w:after="0" w:line="248" w:lineRule="auto"/>
        <w:tabs>
          <w:tab w:leader="none" w:pos="121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200" w:firstLine="506"/>
        <w:spacing w:after="0" w:line="248" w:lineRule="auto"/>
        <w:tabs>
          <w:tab w:leader="none" w:pos="122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320" w:firstLine="506"/>
        <w:spacing w:after="0" w:line="324" w:lineRule="auto"/>
        <w:tabs>
          <w:tab w:leader="none" w:pos="1214"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300" w:firstLine="506"/>
        <w:spacing w:after="0" w:line="248" w:lineRule="auto"/>
        <w:tabs>
          <w:tab w:leader="none" w:pos="122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0" w:firstLine="517"/>
        <w:spacing w:after="0" w:line="291" w:lineRule="auto"/>
        <w:tabs>
          <w:tab w:leader="none" w:pos="68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40" w:firstLine="506"/>
        <w:spacing w:after="0" w:line="291" w:lineRule="auto"/>
        <w:tabs>
          <w:tab w:leader="none" w:pos="1214"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20" w:firstLine="506"/>
        <w:spacing w:after="0" w:line="261" w:lineRule="auto"/>
        <w:tabs>
          <w:tab w:leader="none" w:pos="122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Michael E. Hurlston</w:t>
      </w: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04" w:lineRule="exact"/>
        <w:rPr>
          <w:sz w:val="20"/>
          <w:szCs w:val="20"/>
          <w:color w:val="auto"/>
        </w:rPr>
      </w:pPr>
    </w:p>
    <w:p>
      <w:pPr>
        <w:ind w:left="700" w:hanging="18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7"/>
        <w:spacing w:after="0" w:line="248" w:lineRule="auto"/>
        <w:tabs>
          <w:tab w:leader="none" w:pos="6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firstLine="506"/>
        <w:spacing w:after="0" w:line="248" w:lineRule="auto"/>
        <w:tabs>
          <w:tab w:leader="none" w:pos="12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200" w:firstLine="506"/>
        <w:spacing w:after="0" w:line="248" w:lineRule="auto"/>
        <w:tabs>
          <w:tab w:leader="none" w:pos="12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320" w:firstLine="506"/>
        <w:spacing w:after="0" w:line="324" w:lineRule="auto"/>
        <w:tabs>
          <w:tab w:leader="none" w:pos="1214"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300" w:firstLine="506"/>
        <w:spacing w:after="0" w:line="248" w:lineRule="auto"/>
        <w:tabs>
          <w:tab w:leader="none" w:pos="12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0" w:firstLine="517"/>
        <w:spacing w:after="0" w:line="291" w:lineRule="auto"/>
        <w:tabs>
          <w:tab w:leader="none" w:pos="68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40" w:firstLine="506"/>
        <w:spacing w:after="0" w:line="291" w:lineRule="auto"/>
        <w:tabs>
          <w:tab w:leader="none" w:pos="1214"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20" w:firstLine="506"/>
        <w:spacing w:after="0" w:line="261" w:lineRule="auto"/>
        <w:tabs>
          <w:tab w:leader="none" w:pos="12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line="232" w:lineRule="auto"/>
        <w:rPr>
          <w:sz w:val="20"/>
          <w:szCs w:val="20"/>
          <w:color w:val="auto"/>
        </w:rPr>
      </w:pPr>
      <w:r>
        <w:rPr>
          <w:rFonts w:ascii="Arial" w:cs="Arial" w:eastAsia="Arial" w:hAnsi="Arial"/>
          <w:sz w:val="18"/>
          <w:szCs w:val="18"/>
          <w:color w:val="auto"/>
        </w:rPr>
        <w:t>Dean Butler</w:t>
      </w: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16" w:lineRule="exact"/>
        <w:rPr>
          <w:sz w:val="20"/>
          <w:szCs w:val="20"/>
          <w:color w:val="auto"/>
        </w:rPr>
      </w:pPr>
    </w:p>
    <w:p>
      <w:pPr>
        <w:jc w:val="both"/>
        <w:ind w:right="100" w:firstLine="509"/>
        <w:spacing w:after="0" w:line="294"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26, 2022,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right="26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E. Hurlston</w:t>
      </w:r>
    </w:p>
    <w:p>
      <w:pPr>
        <w:ind w:left="20"/>
        <w:spacing w:after="0"/>
        <w:rPr>
          <w:sz w:val="20"/>
          <w:szCs w:val="20"/>
          <w:color w:val="auto"/>
        </w:rPr>
      </w:pPr>
      <w:r>
        <w:rPr>
          <w:rFonts w:ascii="Arial" w:cs="Arial" w:eastAsia="Arial" w:hAnsi="Arial"/>
          <w:sz w:val="18"/>
          <w:szCs w:val="18"/>
          <w:color w:val="auto"/>
        </w:rPr>
        <w:t>Chief Executive Officer</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16"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26, 2022,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520" w:right="26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Dean Butler</w:t>
      </w:r>
    </w:p>
    <w:p>
      <w:pPr>
        <w:ind w:left="20"/>
        <w:spacing w:after="0"/>
        <w:rPr>
          <w:sz w:val="20"/>
          <w:szCs w:val="20"/>
          <w:color w:val="auto"/>
        </w:rPr>
      </w:pPr>
      <w:r>
        <w:rPr>
          <w:rFonts w:ascii="Arial" w:cs="Arial" w:eastAsia="Arial" w:hAnsi="Arial"/>
          <w:sz w:val="18"/>
          <w:szCs w:val="18"/>
          <w:color w:val="auto"/>
        </w:rPr>
        <w:t>Chief Financial Officer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0"/>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1)"/>
      <w:numFmt w:val="lowerRoman"/>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lvl w:ilvl="1">
      <w:lvlJc w:val="left"/>
      <w:lvlText w:val="%2"/>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2022-05-05T16:34:14Z</dcterms:created>
  <dcterms:modified xsi:type="dcterms:W3CDTF">2022-05-05T16:34:14Z</dcterms:modified>
</cp:coreProperties>
</file>