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189230</wp:posOffset>
            </wp:positionH>
            <wp:positionV relativeFrom="page">
              <wp:posOffset>138430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224790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7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4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25, 2026</w:t>
      </w:r>
    </w:p>
    <w:p>
      <w:pPr>
        <w:spacing w:after="0" w:line="13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30"/>
          <w:szCs w:val="30"/>
          <w:b w:val="1"/>
          <w:bCs w:val="1"/>
          <w:color w:val="auto"/>
        </w:rPr>
        <w:t>SYNAPTICS INCORPORATED</w:t>
      </w:r>
    </w:p>
    <w:p>
      <w:pPr>
        <w:spacing w:after="0" w:line="5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1302"/>
          </w:cols>
          <w:pgMar w:left="298" w:top="411" w:right="299" w:bottom="1440" w:gutter="0" w:footer="0" w:header="0"/>
        </w:sectPr>
      </w:pPr>
    </w:p>
    <w:p>
      <w:pPr>
        <w:spacing w:after="0" w:line="146" w:lineRule="exact"/>
        <w:rPr>
          <w:sz w:val="24"/>
          <w:szCs w:val="24"/>
          <w:color w:val="auto"/>
        </w:rPr>
      </w:pPr>
    </w:p>
    <w:p>
      <w:pPr>
        <w:jc w:val="center"/>
        <w:ind w:right="438"/>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p>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3"/>
          <w:szCs w:val="13"/>
          <w:b w:val="1"/>
          <w:bCs w:val="1"/>
          <w:color w:val="auto"/>
        </w:rPr>
        <w:t>000-49602</w:t>
      </w:r>
    </w:p>
    <w:p>
      <w:pPr>
        <w:spacing w:after="0" w:line="20"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77-0118518</w:t>
      </w:r>
    </w:p>
    <w:p>
      <w:pPr>
        <w:spacing w:after="0" w:line="20"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148" w:lineRule="exact"/>
        <w:rPr>
          <w:sz w:val="24"/>
          <w:szCs w:val="24"/>
          <w:color w:val="auto"/>
        </w:rPr>
      </w:pPr>
    </w:p>
    <w:p>
      <w:pPr>
        <w:sectPr>
          <w:pgSz w:w="11900" w:h="16838" w:orient="portrait"/>
          <w:cols w:equalWidth="0" w:num="3">
            <w:col w:w="4182" w:space="720"/>
            <w:col w:w="2860" w:space="720"/>
            <w:col w:w="2820"/>
          </w:cols>
          <w:pgMar w:left="298" w:top="411" w:right="299" w:bottom="1440" w:gutter="0" w:footer="0" w:header="0"/>
          <w:type w:val="continuous"/>
        </w:sectPr>
      </w:pPr>
    </w:p>
    <w:p>
      <w:pPr>
        <w:jc w:val="center"/>
        <w:ind w:right="1958"/>
        <w:spacing w:after="0"/>
        <w:rPr>
          <w:sz w:val="20"/>
          <w:szCs w:val="20"/>
          <w:color w:val="auto"/>
        </w:rPr>
      </w:pPr>
      <w:r>
        <w:rPr>
          <w:rFonts w:ascii="Times New Roman" w:cs="Times New Roman" w:eastAsia="Times New Roman" w:hAnsi="Times New Roman"/>
          <w:sz w:val="13"/>
          <w:szCs w:val="13"/>
          <w:b w:val="1"/>
          <w:bCs w:val="1"/>
          <w:color w:val="auto"/>
        </w:rPr>
        <w:t>1109 McKay Drive</w:t>
      </w:r>
    </w:p>
    <w:p>
      <w:pPr>
        <w:spacing w:after="0" w:line="20" w:lineRule="exact"/>
        <w:rPr>
          <w:sz w:val="24"/>
          <w:szCs w:val="24"/>
          <w:color w:val="auto"/>
        </w:rPr>
      </w:pPr>
    </w:p>
    <w:p>
      <w:pPr>
        <w:jc w:val="center"/>
        <w:ind w:right="1958"/>
        <w:spacing w:after="0"/>
        <w:rPr>
          <w:sz w:val="20"/>
          <w:szCs w:val="20"/>
          <w:color w:val="auto"/>
        </w:rPr>
      </w:pPr>
      <w:r>
        <w:rPr>
          <w:rFonts w:ascii="Times New Roman" w:cs="Times New Roman" w:eastAsia="Times New Roman" w:hAnsi="Times New Roman"/>
          <w:sz w:val="13"/>
          <w:szCs w:val="13"/>
          <w:b w:val="1"/>
          <w:bCs w:val="1"/>
          <w:color w:val="auto"/>
        </w:rPr>
        <w:t>San Jose, California</w:t>
      </w:r>
    </w:p>
    <w:p>
      <w:pPr>
        <w:spacing w:after="0" w:line="6" w:lineRule="exact"/>
        <w:rPr>
          <w:sz w:val="24"/>
          <w:szCs w:val="24"/>
          <w:color w:val="auto"/>
        </w:rPr>
      </w:pPr>
    </w:p>
    <w:p>
      <w:pPr>
        <w:jc w:val="center"/>
        <w:ind w:right="195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3"/>
          <w:szCs w:val="13"/>
          <w:b w:val="1"/>
          <w:bCs w:val="1"/>
          <w:color w:val="auto"/>
        </w:rPr>
        <w:t>95131</w:t>
      </w:r>
    </w:p>
    <w:p>
      <w:pPr>
        <w:spacing w:after="0" w:line="20"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9" w:lineRule="exact"/>
        <w:rPr>
          <w:sz w:val="24"/>
          <w:szCs w:val="24"/>
          <w:color w:val="auto"/>
        </w:rPr>
      </w:pPr>
    </w:p>
    <w:p>
      <w:pPr>
        <w:sectPr>
          <w:pgSz w:w="11900" w:h="16838" w:orient="portrait"/>
          <w:cols w:equalWidth="0" w:num="2">
            <w:col w:w="7502" w:space="720"/>
            <w:col w:w="3080"/>
          </w:cols>
          <w:pgMar w:left="298" w:top="411" w:right="299" w:bottom="1440" w:gutter="0" w:footer="0" w:header="0"/>
          <w:type w:val="continuous"/>
        </w:sect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(408) 904-1100</w:t>
      </w:r>
    </w:p>
    <w:p>
      <w:pPr>
        <w:spacing w:after="0" w:line="16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64" w:lineRule="exact"/>
        <w:rPr>
          <w:sz w:val="24"/>
          <w:szCs w:val="24"/>
          <w:color w:val="auto"/>
        </w:rPr>
      </w:pPr>
    </w:p>
    <w:p>
      <w:pPr>
        <w:ind w:left="2"/>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42" w:hanging="242"/>
        <w:spacing w:after="0"/>
        <w:tabs>
          <w:tab w:leader="none" w:pos="24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62" w:lineRule="exact"/>
        <w:rPr>
          <w:sz w:val="24"/>
          <w:szCs w:val="24"/>
          <w:color w:val="auto"/>
        </w:rPr>
      </w:pPr>
    </w:p>
    <w:p>
      <w:pPr>
        <w:ind w:left="242" w:hanging="242"/>
        <w:spacing w:after="0"/>
        <w:tabs>
          <w:tab w:leader="none" w:pos="242"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61" w:lineRule="exact"/>
        <w:rPr>
          <w:rFonts w:ascii="MS PGothic" w:cs="MS PGothic" w:eastAsia="MS PGothic" w:hAnsi="MS PGothic"/>
          <w:sz w:val="13"/>
          <w:szCs w:val="13"/>
          <w:color w:val="auto"/>
        </w:rPr>
      </w:pPr>
    </w:p>
    <w:p>
      <w:pPr>
        <w:ind w:left="242" w:hanging="242"/>
        <w:spacing w:after="0"/>
        <w:tabs>
          <w:tab w:leader="none" w:pos="242"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61" w:lineRule="exact"/>
        <w:rPr>
          <w:rFonts w:ascii="MS PGothic" w:cs="MS PGothic" w:eastAsia="MS PGothic" w:hAnsi="MS PGothic"/>
          <w:sz w:val="13"/>
          <w:szCs w:val="13"/>
          <w:color w:val="auto"/>
        </w:rPr>
      </w:pPr>
    </w:p>
    <w:p>
      <w:pPr>
        <w:ind w:left="2" w:right="5280" w:hanging="2"/>
        <w:spacing w:after="0" w:line="498" w:lineRule="auto"/>
        <w:tabs>
          <w:tab w:leader="none" w:pos="23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2" w:type="dxa"/>
        <w:tblCellMar>
          <w:top w:w="0" w:type="dxa"/>
          <w:left w:w="0" w:type="dxa"/>
          <w:bottom w:w="0" w:type="dxa"/>
          <w:right w:w="0" w:type="dxa"/>
        </w:tblCellMar>
      </w:tblPr>
      <w:tr>
        <w:trPr>
          <w:trHeight w:val="156"/>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0"/>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on which registered</w:t>
            </w:r>
          </w:p>
        </w:tc>
      </w:tr>
      <w:tr>
        <w:trPr>
          <w:trHeight w:val="167"/>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Common stock, par value $0.001 per share</w:t>
            </w: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SYNA</w:t>
            </w:r>
          </w:p>
        </w:tc>
        <w:tc>
          <w:tcPr>
            <w:tcW w:w="100" w:type="dxa"/>
            <w:vAlign w:val="bottom"/>
          </w:tcPr>
          <w:p>
            <w:pPr>
              <w:spacing w:after="0"/>
              <w:rPr>
                <w:sz w:val="14"/>
                <w:szCs w:val="14"/>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NASDAQ</w:t>
            </w:r>
          </w:p>
        </w:tc>
      </w:tr>
    </w:tbl>
    <w:p>
      <w:pPr>
        <w:spacing w:after="0" w:line="131" w:lineRule="exact"/>
        <w:rPr>
          <w:sz w:val="24"/>
          <w:szCs w:val="24"/>
          <w:color w:val="auto"/>
        </w:rPr>
      </w:pPr>
    </w:p>
    <w:p>
      <w:pPr>
        <w:ind w:left="2" w:right="30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2"/>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1" w:lineRule="exact"/>
        <w:rPr>
          <w:sz w:val="24"/>
          <w:szCs w:val="24"/>
          <w:color w:val="auto"/>
        </w:rPr>
      </w:pPr>
    </w:p>
    <w:p>
      <w:pPr>
        <w:ind w:left="2" w:right="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303530</wp:posOffset>
            </wp:positionV>
            <wp:extent cx="7170420"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411" w:right="299" w:bottom="1440" w:gutter="0" w:footer="0" w:header="0"/>
          <w:type w:val="continuous"/>
        </w:sectPr>
      </w:pPr>
    </w:p>
    <w:bookmarkStart w:id="1" w:name="page2"/>
    <w:bookmarkEnd w:id="1"/>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1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3"/>
          <w:szCs w:val="13"/>
          <w:color w:val="auto"/>
        </w:rPr>
        <w:t>On June 25, 2026, Synaptics Incorporated,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Synaptics</w:t>
      </w:r>
      <w:r>
        <w:rPr>
          <w:rFonts w:ascii="Times New Roman" w:cs="Times New Roman" w:eastAsia="Times New Roman" w:hAnsi="Times New Roman"/>
          <w:sz w:val="13"/>
          <w:szCs w:val="13"/>
          <w:color w:val="auto"/>
        </w:rPr>
        <w:t>”), entered into an Agreement and Plan of Reorganization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by and among the Company, ON Semiconductor Corporation,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onsemi</w:t>
      </w:r>
      <w:r>
        <w:rPr>
          <w:rFonts w:ascii="Times New Roman" w:cs="Times New Roman" w:eastAsia="Times New Roman" w:hAnsi="Times New Roman"/>
          <w:sz w:val="13"/>
          <w:szCs w:val="13"/>
          <w:color w:val="auto"/>
        </w:rPr>
        <w:t>”), and Sonic Acquisition Corp., a Delaware corporation and wholly-owned subsidiary of Parent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which provides, among other things, that subject to the satisfaction or waiver of the conditions set forth therein, Merger Sub will merge with and into the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the Company surviving as an indirect, wholly-owned subsidiary of Parent (the “</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Capitalized terms used but not defined herein shall have the meanings given to them in the Merger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Merger Consideration</w:t>
      </w:r>
    </w:p>
    <w:p>
      <w:pPr>
        <w:spacing w:after="0" w:line="16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3"/>
          <w:szCs w:val="13"/>
          <w:color w:val="auto"/>
        </w:rPr>
        <w:t>Subject to the terms and conditions set forth in the Merger Agreement, at the effective time of the Merger (the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by virtue of the Merger, each share of common stock of the Company, $0.001 par value per share (“</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issued and outstanding immediately prior to the Effective Time shall be converted into the right to receive 1.350 validly issued, fully paid and non-assessable shares of common stock of Parent, par value $0.01 per share (“</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(such number of shares, the “</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and such consideration,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Treatment of Company Equity Awards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Merger Agreement, at the Effective Time:</w:t>
      </w:r>
    </w:p>
    <w:p>
      <w:pPr>
        <w:spacing w:after="0" w:line="160" w:lineRule="exact"/>
        <w:rPr>
          <w:sz w:val="20"/>
          <w:szCs w:val="20"/>
          <w:color w:val="auto"/>
        </w:rPr>
      </w:pPr>
    </w:p>
    <w:p>
      <w:pPr>
        <w:ind w:left="460" w:hanging="229"/>
        <w:spacing w:after="0" w:line="265"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award of restricted stock units of the Company (each a “</w:t>
      </w:r>
      <w:r>
        <w:rPr>
          <w:rFonts w:ascii="Times New Roman" w:cs="Times New Roman" w:eastAsia="Times New Roman" w:hAnsi="Times New Roman"/>
          <w:sz w:val="13"/>
          <w:szCs w:val="13"/>
          <w:b w:val="1"/>
          <w:bCs w:val="1"/>
          <w:color w:val="auto"/>
        </w:rPr>
        <w:t>Company RSU</w:t>
      </w:r>
      <w:r>
        <w:rPr>
          <w:rFonts w:ascii="Times New Roman" w:cs="Times New Roman" w:eastAsia="Times New Roman" w:hAnsi="Times New Roman"/>
          <w:sz w:val="13"/>
          <w:szCs w:val="13"/>
          <w:color w:val="auto"/>
        </w:rPr>
        <w:t>”) that is outstanding and unvested and held by an individual who, as of immediately following the Effective Time, constitutes an “employee” of Parent within the meaning of Form S-8 (each, a “</w:t>
      </w:r>
      <w:r>
        <w:rPr>
          <w:rFonts w:ascii="Times New Roman" w:cs="Times New Roman" w:eastAsia="Times New Roman" w:hAnsi="Times New Roman"/>
          <w:sz w:val="13"/>
          <w:szCs w:val="13"/>
          <w:b w:val="1"/>
          <w:bCs w:val="1"/>
          <w:color w:val="auto"/>
        </w:rPr>
        <w:t>Company Converted RSU</w:t>
      </w:r>
      <w:r>
        <w:rPr>
          <w:rFonts w:ascii="Times New Roman" w:cs="Times New Roman" w:eastAsia="Times New Roman" w:hAnsi="Times New Roman"/>
          <w:sz w:val="13"/>
          <w:szCs w:val="13"/>
          <w:color w:val="auto"/>
        </w:rPr>
        <w:t>”), will be assumed by Parent and converted into a restricted stock unit award denominated in shares of Parent Common Stock, subject to the same terms and conditions as were applicable to such Company RSU immediately before the Effective Time, except as set forth in the Merger Agreement.</w:t>
      </w:r>
    </w:p>
    <w:p>
      <w:pPr>
        <w:spacing w:after="0" w:line="129" w:lineRule="exact"/>
        <w:rPr>
          <w:rFonts w:ascii="Times New Roman" w:cs="Times New Roman" w:eastAsia="Times New Roman" w:hAnsi="Times New Roman"/>
          <w:sz w:val="13"/>
          <w:szCs w:val="13"/>
          <w:color w:val="auto"/>
        </w:rPr>
      </w:pPr>
    </w:p>
    <w:p>
      <w:pPr>
        <w:ind w:left="460" w:right="20" w:hanging="229"/>
        <w:spacing w:after="0" w:line="264"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RSU that is outstanding and that (A) is vested but not settled, (B) by its terms becomes vested in connection with the closing of the Merger or (C) is held by a non-employee member of the Company’s board of directors (each, a “</w:t>
      </w:r>
      <w:r>
        <w:rPr>
          <w:rFonts w:ascii="Times New Roman" w:cs="Times New Roman" w:eastAsia="Times New Roman" w:hAnsi="Times New Roman"/>
          <w:sz w:val="13"/>
          <w:szCs w:val="13"/>
          <w:b w:val="1"/>
          <w:bCs w:val="1"/>
          <w:color w:val="auto"/>
        </w:rPr>
        <w:t>Company Accelerated RSU</w:t>
      </w:r>
      <w:r>
        <w:rPr>
          <w:rFonts w:ascii="Times New Roman" w:cs="Times New Roman" w:eastAsia="Times New Roman" w:hAnsi="Times New Roman"/>
          <w:sz w:val="13"/>
          <w:szCs w:val="13"/>
          <w:color w:val="auto"/>
        </w:rPr>
        <w:t>”), will be cancelled, and such holders will be entitled to receive an amount of the Merger Consideration applicable to shares of Company Common Stock subject to such Company Accelerated RSUs, as determined in accordance with the formula specified in the Merger Agreement, less applicable tax withholdings.</w:t>
      </w:r>
    </w:p>
    <w:p>
      <w:pPr>
        <w:spacing w:after="0" w:line="127" w:lineRule="exact"/>
        <w:rPr>
          <w:rFonts w:ascii="Times New Roman" w:cs="Times New Roman" w:eastAsia="Times New Roman" w:hAnsi="Times New Roman"/>
          <w:sz w:val="13"/>
          <w:szCs w:val="13"/>
          <w:color w:val="auto"/>
        </w:rPr>
      </w:pPr>
    </w:p>
    <w:p>
      <w:pPr>
        <w:ind w:left="460" w:right="60" w:hanging="229"/>
        <w:spacing w:after="0" w:line="260"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performance stock unit of the Company (each a “</w:t>
      </w:r>
      <w:r>
        <w:rPr>
          <w:rFonts w:ascii="Times New Roman" w:cs="Times New Roman" w:eastAsia="Times New Roman" w:hAnsi="Times New Roman"/>
          <w:sz w:val="13"/>
          <w:szCs w:val="13"/>
          <w:b w:val="1"/>
          <w:bCs w:val="1"/>
          <w:color w:val="auto"/>
        </w:rPr>
        <w:t>Company PSU</w:t>
      </w:r>
      <w:r>
        <w:rPr>
          <w:rFonts w:ascii="Times New Roman" w:cs="Times New Roman" w:eastAsia="Times New Roman" w:hAnsi="Times New Roman"/>
          <w:sz w:val="13"/>
          <w:szCs w:val="13"/>
          <w:color w:val="auto"/>
        </w:rPr>
        <w:t>”) that is outstanding and unvested and held by an individual who, as of immediately following the Effective Time, constitutes an “employee” of Parent within the meaning of Form S-8 (each, a “</w:t>
      </w:r>
      <w:r>
        <w:rPr>
          <w:rFonts w:ascii="Times New Roman" w:cs="Times New Roman" w:eastAsia="Times New Roman" w:hAnsi="Times New Roman"/>
          <w:sz w:val="13"/>
          <w:szCs w:val="13"/>
          <w:b w:val="1"/>
          <w:bCs w:val="1"/>
          <w:color w:val="auto"/>
        </w:rPr>
        <w:t>Company Converted PSU</w:t>
      </w:r>
      <w:r>
        <w:rPr>
          <w:rFonts w:ascii="Times New Roman" w:cs="Times New Roman" w:eastAsia="Times New Roman" w:hAnsi="Times New Roman"/>
          <w:sz w:val="13"/>
          <w:szCs w:val="13"/>
          <w:color w:val="auto"/>
        </w:rPr>
        <w:t>”), will be assumed by Parent and converted into a performance-based stock unit award denominated in shares of Parent Common Stock, as determined in accordance with the formula specified in the Merger Agreement and subject to the same terms and conditions as were applicable to such Company PSU immediately before the Effective Time, except as set forth in the Merger Agreement.</w:t>
      </w:r>
    </w:p>
    <w:p>
      <w:pPr>
        <w:spacing w:after="0" w:line="132" w:lineRule="exact"/>
        <w:rPr>
          <w:rFonts w:ascii="Times New Roman" w:cs="Times New Roman" w:eastAsia="Times New Roman" w:hAnsi="Times New Roman"/>
          <w:sz w:val="13"/>
          <w:szCs w:val="13"/>
          <w:color w:val="auto"/>
        </w:rPr>
      </w:pPr>
    </w:p>
    <w:p>
      <w:pPr>
        <w:ind w:left="460" w:right="40" w:hanging="229"/>
        <w:spacing w:after="0" w:line="264" w:lineRule="auto"/>
        <w:tabs>
          <w:tab w:leader="none" w:pos="4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PSU that is outstanding and that (A) is vested but not settled, (B) by its terms becomes vested in connection with the closing of the Merger or (C) is held by a non-employee member of the Company’s board of directors (each, a “</w:t>
      </w:r>
      <w:r>
        <w:rPr>
          <w:rFonts w:ascii="Times New Roman" w:cs="Times New Roman" w:eastAsia="Times New Roman" w:hAnsi="Times New Roman"/>
          <w:sz w:val="13"/>
          <w:szCs w:val="13"/>
          <w:b w:val="1"/>
          <w:bCs w:val="1"/>
          <w:color w:val="auto"/>
        </w:rPr>
        <w:t>Company Accelerated PSU</w:t>
      </w:r>
      <w:r>
        <w:rPr>
          <w:rFonts w:ascii="Times New Roman" w:cs="Times New Roman" w:eastAsia="Times New Roman" w:hAnsi="Times New Roman"/>
          <w:sz w:val="13"/>
          <w:szCs w:val="13"/>
          <w:color w:val="auto"/>
        </w:rPr>
        <w:t>”), will be cancelled, and such holders will be entitled to receive an amount of the Merger Consideration applicable to shares of Company Common Stock subject to such Company Accelerated PSUs, as determined in accordance with the formula specified in the Merger Agreement, less applicable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 w:name="page3"/>
    <w:bookmarkEnd w:id="2"/>
    <w:p>
      <w:pPr>
        <w:ind w:left="460" w:right="20" w:hanging="229"/>
        <w:spacing w:after="0" w:line="260"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market stock unit of the Company (each, a “</w:t>
      </w:r>
      <w:r>
        <w:rPr>
          <w:rFonts w:ascii="Times New Roman" w:cs="Times New Roman" w:eastAsia="Times New Roman" w:hAnsi="Times New Roman"/>
          <w:sz w:val="13"/>
          <w:szCs w:val="13"/>
          <w:b w:val="1"/>
          <w:bCs w:val="1"/>
          <w:color w:val="auto"/>
        </w:rPr>
        <w:t>Company MSU</w:t>
      </w:r>
      <w:r>
        <w:rPr>
          <w:rFonts w:ascii="Times New Roman" w:cs="Times New Roman" w:eastAsia="Times New Roman" w:hAnsi="Times New Roman"/>
          <w:sz w:val="13"/>
          <w:szCs w:val="13"/>
          <w:color w:val="auto"/>
        </w:rPr>
        <w:t>”) that is outstanding and unvested and held by an individual who, as of immediately following the Effective Time, constitutes an “employee” of Parent within the meaning of Form S-8 (each, a “</w:t>
      </w:r>
      <w:r>
        <w:rPr>
          <w:rFonts w:ascii="Times New Roman" w:cs="Times New Roman" w:eastAsia="Times New Roman" w:hAnsi="Times New Roman"/>
          <w:sz w:val="13"/>
          <w:szCs w:val="13"/>
          <w:b w:val="1"/>
          <w:bCs w:val="1"/>
          <w:color w:val="auto"/>
        </w:rPr>
        <w:t>Company Converted MSU</w:t>
      </w:r>
      <w:r>
        <w:rPr>
          <w:rFonts w:ascii="Times New Roman" w:cs="Times New Roman" w:eastAsia="Times New Roman" w:hAnsi="Times New Roman"/>
          <w:sz w:val="13"/>
          <w:szCs w:val="13"/>
          <w:color w:val="auto"/>
        </w:rPr>
        <w:t>”), will be assumed by Parent and converted into a restricted stock unit award denominated in shares of Parent Common Stock, as determined in accordance with the formula specified in the Merger Agreement and, subject to the same terms and conditions as were applicable to such Company MSU immediately before the Effective Time, except as set forth in the Merger Agreement.</w:t>
      </w:r>
    </w:p>
    <w:p>
      <w:pPr>
        <w:spacing w:after="0" w:line="132" w:lineRule="exact"/>
        <w:rPr>
          <w:rFonts w:ascii="Times New Roman" w:cs="Times New Roman" w:eastAsia="Times New Roman" w:hAnsi="Times New Roman"/>
          <w:sz w:val="13"/>
          <w:szCs w:val="13"/>
          <w:color w:val="auto"/>
        </w:rPr>
      </w:pPr>
    </w:p>
    <w:p>
      <w:pPr>
        <w:ind w:left="460" w:right="60" w:hanging="229"/>
        <w:spacing w:after="0" w:line="264" w:lineRule="auto"/>
        <w:tabs>
          <w:tab w:leader="none" w:pos="4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MSU that is outstanding and that (A) is vested but not settled, (B) by its terms becomes vested in connection with the closing of the Merger or (C) is held by a non-employee member of the Company’s board of directors (each, a “</w:t>
      </w:r>
      <w:r>
        <w:rPr>
          <w:rFonts w:ascii="Times New Roman" w:cs="Times New Roman" w:eastAsia="Times New Roman" w:hAnsi="Times New Roman"/>
          <w:sz w:val="13"/>
          <w:szCs w:val="13"/>
          <w:b w:val="1"/>
          <w:bCs w:val="1"/>
          <w:color w:val="auto"/>
        </w:rPr>
        <w:t>Company Accelerated MSU</w:t>
      </w:r>
      <w:r>
        <w:rPr>
          <w:rFonts w:ascii="Times New Roman" w:cs="Times New Roman" w:eastAsia="Times New Roman" w:hAnsi="Times New Roman"/>
          <w:sz w:val="13"/>
          <w:szCs w:val="13"/>
          <w:color w:val="auto"/>
        </w:rPr>
        <w:t>”), will be cancelled, and such holders will be entitled to receive an amount of the Merger Consideration applicable to shares of Company Common Stock subject to such Company Accelerated MSUs, as determined in accordance with the formula specified in the Merger Agreement, less applicable tax withholdings.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Closing Conditions</w:t>
      </w:r>
    </w:p>
    <w:p>
      <w:pPr>
        <w:spacing w:after="0" w:line="16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2"/>
          <w:szCs w:val="12"/>
          <w:color w:val="auto"/>
        </w:rPr>
        <w:t>The consummation of the Merger is subject to the satisfaction or waiver of certain customary closing conditions, including (1) the accuracy of the respective representations and warranties of the parties in the Merger Agreement (subject to certain materiality qualifiers); (2) compliance by the parties with their respective covenants in the Merger Agreement in all material respects; (3) the receipt by each party of opinions to the effect that the Merger will qualify as a reorganization for U.S. federal income tax purposes; (4) the absence of a material adverse effect (as defined in the Merger Agreement) with respect to the Company or Parent on or after the date of the Merger Agreement that is continuing as of immediately prior to the closing of the Merger; (5) the effectiveness of the registration statement on Form S-4 to be filed with the U.S.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by Parent in connection with the issuance of the shares of Parent Common Stock pursuant to the Merger Agreement, and the absence of any stop order suspending such effectiveness or proceeding for the purpose of suspending such effectiveness being pending before the SEC; (6) the adoption of the Merger Agreement by the affirmative vote of the holders of a majority of the issued and outstanding shares of Company Common Stock entitled to vote thereon (the “</w:t>
      </w:r>
      <w:r>
        <w:rPr>
          <w:rFonts w:ascii="Times New Roman" w:cs="Times New Roman" w:eastAsia="Times New Roman" w:hAnsi="Times New Roman"/>
          <w:sz w:val="12"/>
          <w:szCs w:val="12"/>
          <w:b w:val="1"/>
          <w:bCs w:val="1"/>
          <w:color w:val="auto"/>
        </w:rPr>
        <w:t>Required Company Stockholder Vote</w:t>
      </w:r>
      <w:r>
        <w:rPr>
          <w:rFonts w:ascii="Times New Roman" w:cs="Times New Roman" w:eastAsia="Times New Roman" w:hAnsi="Times New Roman"/>
          <w:sz w:val="12"/>
          <w:szCs w:val="12"/>
          <w:color w:val="auto"/>
        </w:rPr>
        <w:t>”); (7) the expiration or termination of any applicable antitrust waiting periods, and the obtaining of all required governmental authorizations under applicable antitrust laws and any required approvals under applicable foreign direct investment laws; (8) the approval for listing on the Nasdaq Global Select Market of the shares of Parent Common Stock to be issued pursuant to the Merger Agreement, including the shares of Parent Common Stock to be issued upon the vesting and settlement of Company Converted RSUs, Company Converted PSUs or Company Converted MSUs; and (9) the absence of any relevant legal restraint that would prevent, enjoin or make illegal the consummation of the transactions contemplated by the Merger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Representations and Warranties and Covenants</w:t>
      </w:r>
    </w:p>
    <w:p>
      <w:pPr>
        <w:spacing w:after="0" w:line="1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3"/>
          <w:szCs w:val="13"/>
          <w:color w:val="auto"/>
        </w:rPr>
        <w:t>The Merger Agreement contains customary representations and warranties from both the Company, on the one hand, and Parent and Merger Sub, on the other hand, and each party has agreed to customary covenants, including, among others, relating to the conduct of its respective business between the execution of the Merger Agreement and the Effective Time. In addition, subject to the terms and conditions of the Merger Agreement, the parties have agreed to use reasonable efforts to (i) take all actions reasonably necessary to complete the Merger and the other transactions contemplated by the Merger Agreement, including preparing and making all required or appropriate filings, notifications and applications, including under applicable antitrust and foreign direct investment laws; (ii) obtain, as promptly as reasonably practicable, all required or appropriate governmental and third-party approvals and clearances; (iii) defend any legal proceedings challenging the Merger Agreement or the consummation of the transactions contemplated by the Merger Agreement; and (iv) obtain all necessary or required third-party consents, approvals or waivers.</w:t>
      </w:r>
    </w:p>
    <w:p>
      <w:pPr>
        <w:spacing w:after="0" w:line="13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2"/>
          <w:szCs w:val="12"/>
          <w:color w:val="auto"/>
        </w:rPr>
        <w:t>The Merger Agreement also provides that the Company is subject to certain restrictions on its ability to solicit alternative acquisition proposals from third parties, to provide information to third parties and to engage in discussions with third parties regarding alternative acquisition proposals, subject to customary exceptions. In addition, the Company’s board of directors is required to recommend that its stockholders vote in favor of the transaction, subject to exceptions for superior proposals and other situations where failure to effect a recommendation change would be inconsistent with the fiduciary duties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170420"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color w:val="auto"/>
        </w:rPr>
        <w:t>Termination and Fees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Merger Agreement contains termination rights for each of Parent and the Company, including: (1) by mutual written consent of Parent and the Company at any time prior to the Effective Time; (2) if the consummation of the Merger does not occur on or before 11:59 Pacific Time on June 25, 2027, subject to certain extensions aggregating to up to 21 months from the date of the Merger Agreement in order to obtain required regulatory approvals (such date and time, as may be extended pursuant to the Merger Agreement (the “</w:t>
      </w:r>
      <w:r>
        <w:rPr>
          <w:rFonts w:ascii="Times New Roman" w:cs="Times New Roman" w:eastAsia="Times New Roman" w:hAnsi="Times New Roman"/>
          <w:sz w:val="13"/>
          <w:szCs w:val="13"/>
          <w:b w:val="1"/>
          <w:bCs w:val="1"/>
          <w:color w:val="auto"/>
        </w:rPr>
        <w:t>End Date</w:t>
      </w:r>
      <w:r>
        <w:rPr>
          <w:rFonts w:ascii="Times New Roman" w:cs="Times New Roman" w:eastAsia="Times New Roman" w:hAnsi="Times New Roman"/>
          <w:sz w:val="13"/>
          <w:szCs w:val="13"/>
          <w:color w:val="auto"/>
        </w:rPr>
        <w:t>”)); (3) at any time prior to the Effective Time if a relevant legal restraint permanently preventing, enjoining or making illegal the consummation of the Merger shall have become final and non-appealable; (4) if the Required Company Stockholder Vote is not obtained at the meeting of the Company’s stockholders to adopt the Merger Agreement (the “</w:t>
      </w:r>
      <w:r>
        <w:rPr>
          <w:rFonts w:ascii="Times New Roman" w:cs="Times New Roman" w:eastAsia="Times New Roman" w:hAnsi="Times New Roman"/>
          <w:sz w:val="13"/>
          <w:szCs w:val="13"/>
          <w:b w:val="1"/>
          <w:bCs w:val="1"/>
          <w:color w:val="auto"/>
        </w:rPr>
        <w:t>Company Stockholder Meeting</w:t>
      </w:r>
      <w:r>
        <w:rPr>
          <w:rFonts w:ascii="Times New Roman" w:cs="Times New Roman" w:eastAsia="Times New Roman" w:hAnsi="Times New Roman"/>
          <w:sz w:val="13"/>
          <w:szCs w:val="13"/>
          <w:color w:val="auto"/>
        </w:rPr>
        <w:t>”); (5) if the other party breaches its representations, warranties or covenants in the Merger Agreement in a way that would entitle the party seeking to terminate the Merger Agreement not to consummate the Merger, subject to the right of the breaching party to cure the breach. In addition, prior to receiving approval of the Merger Agreement by the Company’s stockholders, (1) Parent may terminate if the Company’s board of directors fails to include its recommendation that the Company’s stockholders adopt and approve the Merger Agreement and the transactions contemplated thereby in the proxy statement/prospectus to be sent to the Company’s stockholders in connection with the Company Stockholder Meeting or makes or publicly discloses a change in its recommendation, (2) the Company may terminate the Merger Agreement to enter into a definitive agreement for certain superior proposals (as defined in the Merger Agreement), provided that the Company’s board of directors has authorized such action, the Company concurrently enters into such agreement and pays the applicable termination fee to Parent, and the Company is not in material breach of the Merger Agreement.</w:t>
      </w:r>
    </w:p>
    <w:p>
      <w:pPr>
        <w:spacing w:after="0" w:line="13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Upon the termination of the Merger Agreement under specified circumstances, including, among others, the termination by Parent in the event of a change of recommendation by the Company’s board of directors, the Company will be required to pay Parent a termination fee of $235,000,000. In addition, the Parent will be required to pay the Company a regulatory termination fee equal to $320,000,000 if the Merger Agreement is terminated in certain circumstances related to the failure to obtain required regulatory approvals prior to the End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Additional Information</w:t>
      </w:r>
    </w:p>
    <w:p>
      <w:pPr>
        <w:spacing w:after="0" w:line="16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3"/>
          <w:szCs w:val="13"/>
          <w:color w:val="auto"/>
        </w:rPr>
        <w:t>The foregoing description of the Merger Agreement does not purport to be complete and is qualified in its entirety by reference to the Merger Agreement, a copy of which is attached hereto as Exhibit 2.1 and is incorporated herein by reference.</w:t>
      </w:r>
    </w:p>
    <w:p>
      <w:pPr>
        <w:spacing w:after="0" w:line="1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3"/>
          <w:szCs w:val="13"/>
          <w:color w:val="auto"/>
        </w:rPr>
        <w:t>Subject to the terms of the Merger Agreement, the representations and warranties set forth in the Merger Agreement were made solely for the benefit of the parties to the Merger Agreement, and (i) should not be treated as categorical statements of fact, but rather as a way of allocating the risk to one of the parties if those statements prove to be inaccurate, (ii) may have been qualified in the Merger Agreement by disclosures that were made to the other parties in accordance with the Merger Agreement, (iii) may apply contractual standards of “materiality” that are different from “materiality” under applicable securities laws, and (iv) were made only as of the dates specified in the Merger Agreement.</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June 25, 2026, the Company and Parent jointly issued a press release regarding the entry into the Merger Agreement. The press release is furnished herewith as Exhibit 99.1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on June 25, 2026, the Company disseminated the following materials in connection with the announcement of the Merger:</w:t>
      </w:r>
    </w:p>
    <w:p>
      <w:pPr>
        <w:spacing w:after="0" w:line="162" w:lineRule="exact"/>
        <w:rPr>
          <w:sz w:val="20"/>
          <w:szCs w:val="20"/>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Investor Presentation, dated June 25, 2026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170420"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Social Media Posts by Synaptics Related to the Merger (LinkedIn, Instagram, X, Facebook, WeChat, Weibo), posted on June 25, 2026 (Exhibit 99.3)</w:t>
      </w:r>
    </w:p>
    <w:p>
      <w:pPr>
        <w:spacing w:after="0" w:line="18"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All-Employee Email from CEO of Synaptics to Synaptics Employees, sent on June 25, 2026 (Exhibit 99.4)</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FAQ made available to employees of Synaptics on June 25, 2026 (Exhibit 99.5)</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sent to Customers of Synaptics on June 25, 2026 (Exhibit 99.6)</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sent to Industry Partners of Synaptics on June 25, 2026 (Exhibit 99.7)</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sent to Suppliers of Synaptics on June 25, 2026 (Exhibit 99.8)</w:t>
      </w:r>
    </w:p>
    <w:p>
      <w:pPr>
        <w:spacing w:after="0" w:line="14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3"/>
          <w:szCs w:val="13"/>
          <w:i w:val="1"/>
          <w:iCs w:val="1"/>
          <w:color w:val="auto"/>
        </w:rPr>
        <w:t>The information contained in this Item 7.01 and in the accompanying Exhibits 99.1-99.8 shall not be deemed filed for purposes of Section 18 of the Securities Exchange Act of 1934, as amended (the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i w:val="1"/>
          <w:iCs w:val="1"/>
          <w:color w:val="auto"/>
        </w:rPr>
        <w:t>”), or incorporated by reference in any filing under the Exchange Act or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i w:val="1"/>
          <w:iCs w:val="1"/>
          <w:color w:val="auto"/>
        </w:rPr>
        <w:t>”), whether made before or after the date hereof, except as shall be expressly set forth by specific reference in such filing.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and Section 21E of the Exchange Act.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2"/>
          <w:szCs w:val="12"/>
          <w:color w:val="auto"/>
        </w:rPr>
        <w:t>In addition, actual results are subject to other risks and uncertainties that relate more broadly to Synaptics’ overall business, including those more fully described in Synaptics’ filings with the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717042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717042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88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311"/>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8880" w:type="dxa"/>
            <w:vAlign w:val="bottom"/>
          </w:tcPr>
          <w:p>
            <w:pPr>
              <w:spacing w:after="0"/>
              <w:rPr>
                <w:sz w:val="24"/>
                <w:szCs w:val="24"/>
                <w:color w:val="auto"/>
              </w:rPr>
            </w:pPr>
          </w:p>
        </w:tc>
      </w:tr>
      <w:tr>
        <w:trPr>
          <w:trHeight w:val="297"/>
        </w:trPr>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888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4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rPr>
              <w:t>No.</w:t>
            </w:r>
          </w:p>
        </w:tc>
        <w:tc>
          <w:tcPr>
            <w:tcW w:w="88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83"/>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7"/>
              </w:rPr>
              <w:t>2.</w:t>
            </w:r>
            <w:r>
              <w:rPr>
                <w:rFonts w:ascii="Times New Roman" w:cs="Times New Roman" w:eastAsia="Times New Roman" w:hAnsi="Times New Roman"/>
                <w:sz w:val="13"/>
                <w:szCs w:val="13"/>
                <w:u w:val="single" w:color="auto"/>
                <w:color w:val="0000EE"/>
                <w:w w:val="87"/>
              </w:rPr>
              <w:t>1*</w:t>
            </w:r>
          </w:p>
        </w:tc>
        <w:tc>
          <w:tcPr>
            <w:tcW w:w="460" w:type="dxa"/>
            <w:vAlign w:val="bottom"/>
          </w:tcPr>
          <w:p>
            <w:pPr>
              <w:spacing w:after="0"/>
              <w:rPr>
                <w:sz w:val="24"/>
                <w:szCs w:val="2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Agreement and Plan of Reorganization, dated as of June 25, 2026, by and among ON Semiconductor Corporation, Sonic Acquisition Corp., and Synaptics Incorporated.*</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Joint Press Release, dated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2</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Investor Presentation, dated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3</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Social Media Posts by Synaptics Related to the Merger (LinkedIn, Instagram, X, Facebook, WeChat, Weibo), posted on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4</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Email from CEO of Synaptics to all Synaptics Employees, sent on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5</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FAQ made available to employees of Synaptics on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6</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Email sent to Customers of Synaptics on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7</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Email sent to Industry Partners of Synaptics on June 25, 2026</w:t>
            </w:r>
          </w:p>
        </w:tc>
      </w:tr>
      <w:tr>
        <w:trPr>
          <w:trHeight w:val="136"/>
        </w:trPr>
        <w:tc>
          <w:tcPr>
            <w:tcW w:w="220" w:type="dxa"/>
            <w:vAlign w:val="bottom"/>
            <w:tcBorders>
              <w:bottom w:val="single" w:sz="8" w:color="0000EE"/>
            </w:tcBorders>
          </w:tcPr>
          <w:p>
            <w:pPr>
              <w:spacing w:after="0" w:line="136" w:lineRule="exact"/>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8</w:t>
            </w:r>
          </w:p>
        </w:tc>
        <w:tc>
          <w:tcPr>
            <w:tcW w:w="460" w:type="dxa"/>
            <w:vAlign w:val="bottom"/>
          </w:tcPr>
          <w:p>
            <w:pPr>
              <w:spacing w:after="0"/>
              <w:rPr>
                <w:sz w:val="11"/>
                <w:szCs w:val="11"/>
                <w:color w:val="auto"/>
              </w:rPr>
            </w:pPr>
          </w:p>
        </w:tc>
        <w:tc>
          <w:tcPr>
            <w:tcW w:w="88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Email sent to Suppliers of Synaptics on June 25, 2026</w:t>
            </w:r>
          </w:p>
        </w:tc>
      </w:tr>
      <w:tr>
        <w:trPr>
          <w:trHeight w:val="164"/>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60" w:type="dxa"/>
            <w:vAlign w:val="bottom"/>
          </w:tcPr>
          <w:p>
            <w:pPr>
              <w:spacing w:after="0"/>
              <w:rPr>
                <w:sz w:val="14"/>
                <w:szCs w:val="1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Schedules and exhibits have been omitted pursuant to Item 601(a)(5) of Regulation S-K. A copy of any omitted schedule or exhibit will be furnished supplementally to the SEC upon request.</w:t>
      </w:r>
    </w:p>
    <w:p>
      <w:pPr>
        <w:spacing w:after="0" w:line="2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Synaptics Incorporated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June 25,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By:</w:t>
            </w:r>
          </w:p>
        </w:tc>
        <w:tc>
          <w:tcPr>
            <w:tcW w:w="10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Lisa Bodensteiner</w:t>
            </w:r>
          </w:p>
        </w:tc>
      </w:tr>
      <w:tr>
        <w:trPr>
          <w:trHeight w:val="143"/>
        </w:trPr>
        <w:tc>
          <w:tcPr>
            <w:tcW w:w="11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101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Lisa Bodensteiner</w:t>
            </w:r>
          </w:p>
        </w:tc>
      </w:tr>
      <w:tr>
        <w:trPr>
          <w:trHeight w:val="168"/>
        </w:trPr>
        <w:tc>
          <w:tcPr>
            <w:tcW w:w="1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Title:</w:t>
            </w:r>
          </w:p>
        </w:tc>
        <w:tc>
          <w:tcPr>
            <w:tcW w:w="10160" w:type="dxa"/>
            <w:vAlign w:val="bottom"/>
          </w:tcPr>
          <w:p>
            <w:pPr>
              <w:spacing w:after="0"/>
              <w:rPr>
                <w:sz w:val="20"/>
                <w:szCs w:val="20"/>
                <w:color w:val="auto"/>
              </w:rPr>
            </w:pPr>
            <w:r>
              <w:rPr>
                <w:rFonts w:ascii="Times New Roman" w:cs="Times New Roman" w:eastAsia="Times New Roman" w:hAnsi="Times New Roman"/>
                <w:sz w:val="13"/>
                <w:szCs w:val="13"/>
                <w:color w:val="auto"/>
              </w:rPr>
              <w:t>Senior Vice President, Chief Legal Officer and Secretary</w:t>
            </w:r>
          </w:p>
        </w:tc>
      </w:tr>
      <w:tr>
        <w:trPr>
          <w:trHeight w:val="439"/>
        </w:trPr>
        <w:tc>
          <w:tcPr>
            <w:tcW w:w="114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AGREEMENT AND PLAN OF REORGANIZATION</w:t>
      </w:r>
    </w:p>
    <w:p>
      <w:pPr>
        <w:spacing w:after="0" w:line="17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ON SEMICONDUCTOR CORPORATION,</w:t>
      </w:r>
    </w:p>
    <w:p>
      <w:pPr>
        <w:spacing w:after="0" w:line="2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 Delaware corporation;</w:t>
      </w:r>
    </w:p>
    <w:p>
      <w:pPr>
        <w:spacing w:after="0" w:line="14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SONIC ACQUISITION CORP.,</w:t>
      </w:r>
    </w:p>
    <w:p>
      <w:pPr>
        <w:spacing w:after="0" w:line="2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 Delaware corporation;</w:t>
      </w:r>
    </w:p>
    <w:p>
      <w:pPr>
        <w:spacing w:after="0" w:line="14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SYNAPTICS INCORPORATED,</w:t>
      </w:r>
    </w:p>
    <w:p>
      <w:pPr>
        <w:spacing w:after="0" w:line="2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103505</wp:posOffset>
            </wp:positionV>
            <wp:extent cx="129095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90955" cy="12065"/>
                    </a:xfrm>
                    <a:prstGeom prst="rect">
                      <a:avLst/>
                    </a:prstGeom>
                    <a:noFill/>
                  </pic:spPr>
                </pic:pic>
              </a:graphicData>
            </a:graphic>
          </wp:anchor>
        </w:drawing>
      </w:r>
    </w:p>
    <w:p>
      <w:pPr>
        <w:spacing w:after="0" w:line="30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Dated as of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155575</wp:posOffset>
            </wp:positionV>
            <wp:extent cx="129095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90955" cy="1206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389890</wp:posOffset>
            </wp:positionV>
            <wp:extent cx="7170420"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720" w:type="dxa"/>
            <w:vAlign w:val="bottom"/>
          </w:tcPr>
          <w:p>
            <w:pPr>
              <w:jc w:val="center"/>
              <w:ind w:left="1395"/>
              <w:spacing w:after="0"/>
              <w:rPr>
                <w:sz w:val="20"/>
                <w:szCs w:val="20"/>
                <w:color w:val="auto"/>
              </w:rPr>
            </w:pPr>
            <w:r>
              <w:rPr>
                <w:rFonts w:ascii="Times New Roman" w:cs="Times New Roman" w:eastAsia="Times New Roman" w:hAnsi="Times New Roman"/>
                <w:sz w:val="13"/>
                <w:szCs w:val="13"/>
                <w:b w:val="1"/>
                <w:bCs w:val="1"/>
                <w:color w:val="auto"/>
                <w:w w:val="98"/>
              </w:rPr>
              <w:t>TABLE OF CONTENTS</w:t>
            </w: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20" w:type="dxa"/>
            <w:vAlign w:val="bottom"/>
          </w:tcPr>
          <w:p>
            <w:pPr>
              <w:jc w:val="center"/>
              <w:ind w:left="1375"/>
              <w:spacing w:after="0"/>
              <w:rPr>
                <w:sz w:val="20"/>
                <w:szCs w:val="20"/>
                <w:color w:val="auto"/>
              </w:rPr>
            </w:pPr>
            <w:r>
              <w:rPr>
                <w:rFonts w:ascii="Times New Roman" w:cs="Times New Roman" w:eastAsia="Times New Roman" w:hAnsi="Times New Roman"/>
                <w:sz w:val="13"/>
                <w:szCs w:val="13"/>
                <w:color w:val="auto"/>
              </w:rPr>
              <w:t>Article I</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720" w:type="dxa"/>
            <w:vAlign w:val="bottom"/>
          </w:tcPr>
          <w:p>
            <w:pPr>
              <w:jc w:val="center"/>
              <w:ind w:left="1395"/>
              <w:spacing w:after="0"/>
              <w:rPr>
                <w:sz w:val="20"/>
                <w:szCs w:val="20"/>
                <w:color w:val="auto"/>
              </w:rPr>
            </w:pPr>
            <w:r>
              <w:rPr>
                <w:rFonts w:ascii="Times New Roman" w:cs="Times New Roman" w:eastAsia="Times New Roman" w:hAnsi="Times New Roman"/>
                <w:sz w:val="13"/>
                <w:szCs w:val="13"/>
                <w:color w:val="auto"/>
                <w:w w:val="99"/>
              </w:rPr>
              <w:t>THE MERGER</w:t>
            </w: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1.1</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The Merger</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Certificate of Incorporation and Bylaws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Directors and Officers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Effect on Company Capital Stock</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1.6</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Treatment of Company Equity Awards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1.7</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Exchange of Certificates and Cancellation of Book-Entry Positions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1.8</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Further Action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1.9</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Tax Withholding</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1.10</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 Dissenters’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20" w:type="dxa"/>
            <w:vAlign w:val="bottom"/>
          </w:tcPr>
          <w:p>
            <w:pPr>
              <w:jc w:val="center"/>
              <w:ind w:left="1375"/>
              <w:spacing w:after="0"/>
              <w:rPr>
                <w:sz w:val="20"/>
                <w:szCs w:val="20"/>
                <w:color w:val="auto"/>
              </w:rPr>
            </w:pPr>
            <w:r>
              <w:rPr>
                <w:rFonts w:ascii="Times New Roman" w:cs="Times New Roman" w:eastAsia="Times New Roman" w:hAnsi="Times New Roman"/>
                <w:sz w:val="13"/>
                <w:szCs w:val="13"/>
                <w:color w:val="auto"/>
                <w:w w:val="99"/>
              </w:rPr>
              <w:t>Article II</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720" w:type="dxa"/>
            <w:vAlign w:val="bottom"/>
          </w:tcPr>
          <w:p>
            <w:pPr>
              <w:jc w:val="center"/>
              <w:ind w:left="1375"/>
              <w:spacing w:after="0"/>
              <w:rPr>
                <w:sz w:val="20"/>
                <w:szCs w:val="20"/>
                <w:color w:val="auto"/>
              </w:rPr>
            </w:pPr>
            <w:r>
              <w:rPr>
                <w:rFonts w:ascii="Times New Roman" w:cs="Times New Roman" w:eastAsia="Times New Roman" w:hAnsi="Times New Roman"/>
                <w:sz w:val="13"/>
                <w:szCs w:val="13"/>
                <w:color w:val="auto"/>
                <w:w w:val="98"/>
              </w:rPr>
              <w:t>REPRESENTATIONS AND WARRANTIES OF THE COMPANY</w:t>
            </w: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Due Organization and Good Standing</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2.2</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2.3</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Subsidiaries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2.4</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2.5</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Vote Required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2.6</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2.7</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Reports; Financial Statements; Internal Controls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2.8</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Absence of Certain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2.9</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Intellectual Property and Related Matters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2.10</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Title to Assets; Real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2.11</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Contracts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Company Products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2.13</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Top Customers; Distributors and Suppliers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2.14</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Compliance with Legal Requirements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2.15</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Legal Proceedings; Investigations; Orders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2.16</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Anti-Corruption Laws; Anti-Money Laundering Laws; Sanctions Laws; Export Control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2.17</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Tax Matters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2.18</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Employee Benefit Plans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2.19</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Labor Matters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2.20</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Environmental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2.21</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Insurance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2.22</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Takeover Statutes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2.23</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Ownership of Parent Common Stock</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2.24</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2.25</w:t>
            </w: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Brokers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2.26</w:t>
            </w:r>
          </w:p>
        </w:tc>
        <w:tc>
          <w:tcPr>
            <w:tcW w:w="87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Information Supplied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00" w:type="dxa"/>
            <w:vAlign w:val="bottom"/>
          </w:tcPr>
          <w:p>
            <w:pPr>
              <w:jc w:val="center"/>
              <w:ind w:left="1195"/>
              <w:spacing w:after="0"/>
              <w:rPr>
                <w:sz w:val="20"/>
                <w:szCs w:val="20"/>
                <w:color w:val="auto"/>
              </w:rPr>
            </w:pPr>
            <w:r>
              <w:rPr>
                <w:rFonts w:ascii="Times New Roman" w:cs="Times New Roman" w:eastAsia="Times New Roman" w:hAnsi="Times New Roman"/>
                <w:sz w:val="13"/>
                <w:szCs w:val="13"/>
                <w:color w:val="auto"/>
                <w:w w:val="99"/>
              </w:rPr>
              <w:t>Article III</w:t>
            </w: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00" w:type="dxa"/>
            <w:vAlign w:val="bottom"/>
          </w:tcPr>
          <w:p>
            <w:pPr>
              <w:jc w:val="center"/>
              <w:ind w:left="1215"/>
              <w:spacing w:after="0"/>
              <w:rPr>
                <w:sz w:val="20"/>
                <w:szCs w:val="20"/>
                <w:color w:val="auto"/>
              </w:rPr>
            </w:pPr>
            <w:r>
              <w:rPr>
                <w:rFonts w:ascii="Times New Roman" w:cs="Times New Roman" w:eastAsia="Times New Roman" w:hAnsi="Times New Roman"/>
                <w:sz w:val="13"/>
                <w:szCs w:val="13"/>
                <w:color w:val="auto"/>
                <w:w w:val="98"/>
              </w:rPr>
              <w:t>REPRESENTATIONS AND WARRANTIES OF PARENT AND MERGER SUB</w:t>
            </w: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Due Organization and Good Standing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Capitalization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3.3</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Subsidiaries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3.5</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3.6</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Reports; Financial Statements; Internal Controls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3.7</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Absence of Certain Changes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3.8</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Intellectual Property and Related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3.9</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Compliance with Legal Requirements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3.10</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Legal Proceedings; Investigations; Orders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3.11</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Tax Matters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Takeover Statutes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3.13</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Ownership of Company Common Stock</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3.14</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Brokers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3.15</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Information Supplied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3.16</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Availability of Shares &amp; Funds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3.17</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Merger Sub</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900" w:type="dxa"/>
            <w:vAlign w:val="bottom"/>
          </w:tcPr>
          <w:p>
            <w:pPr>
              <w:jc w:val="center"/>
              <w:ind w:left="1195"/>
              <w:spacing w:after="0"/>
              <w:rPr>
                <w:sz w:val="20"/>
                <w:szCs w:val="20"/>
                <w:color w:val="auto"/>
              </w:rPr>
            </w:pPr>
            <w:r>
              <w:rPr>
                <w:rFonts w:ascii="Times New Roman" w:cs="Times New Roman" w:eastAsia="Times New Roman" w:hAnsi="Times New Roman"/>
                <w:sz w:val="13"/>
                <w:szCs w:val="13"/>
                <w:color w:val="auto"/>
                <w:w w:val="97"/>
              </w:rPr>
              <w:t>Article IV</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900" w:type="dxa"/>
            <w:vAlign w:val="bottom"/>
          </w:tcPr>
          <w:p>
            <w:pPr>
              <w:jc w:val="center"/>
              <w:ind w:left="1215"/>
              <w:spacing w:after="0"/>
              <w:rPr>
                <w:sz w:val="20"/>
                <w:szCs w:val="20"/>
                <w:color w:val="auto"/>
              </w:rPr>
            </w:pPr>
            <w:r>
              <w:rPr>
                <w:rFonts w:ascii="Times New Roman" w:cs="Times New Roman" w:eastAsia="Times New Roman" w:hAnsi="Times New Roman"/>
                <w:sz w:val="13"/>
                <w:szCs w:val="13"/>
                <w:color w:val="auto"/>
                <w:w w:val="99"/>
              </w:rPr>
              <w:t>COVENANTS</w:t>
            </w: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4.1</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Access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Interim Operations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4.3</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Company No Solicitation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Registration Statement; Proxy Statement/Prospectus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4.5</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Meeting of Company’s Stockholders; Company Change in Recommendation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Filings; Other Actions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4.7</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Merger Sub; Parent Vote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Publicity; Confidentiality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4.9</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Company ESPP; Other Employee Benefits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Certain Tax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4.11</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Indemnification; Directors’ and Officers’ Insurance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Stockholder Litigation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4.13</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Stock Exchange Listing and Delisting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16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4.15</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Director and Officer Resignations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Takeover Statutes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4.17</w:t>
            </w: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Treatment of Company Indebtedness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89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Notification of Certain Events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3"/>
          <w:szCs w:val="13"/>
          <w:color w:val="auto"/>
        </w:rPr>
        <w:t>Article V</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CONDITIONS TO EACH PARTY’S OBLIGATION TO EFFECT THE MERGER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5.1</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Conditions Precedent to Each Party’s Obligations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Additional Conditions Precedent to Parent’s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5.3</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Additional Conditions Precedent to Company’s Obligations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80" w:type="dxa"/>
            <w:vAlign w:val="bottom"/>
          </w:tcPr>
          <w:p>
            <w:pPr>
              <w:jc w:val="center"/>
              <w:ind w:left="1635"/>
              <w:spacing w:after="0"/>
              <w:rPr>
                <w:sz w:val="20"/>
                <w:szCs w:val="20"/>
                <w:color w:val="auto"/>
              </w:rPr>
            </w:pPr>
            <w:r>
              <w:rPr>
                <w:rFonts w:ascii="Times New Roman" w:cs="Times New Roman" w:eastAsia="Times New Roman" w:hAnsi="Times New Roman"/>
                <w:sz w:val="13"/>
                <w:szCs w:val="13"/>
                <w:color w:val="auto"/>
                <w:w w:val="97"/>
              </w:rPr>
              <w:t>Article VI</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180" w:type="dxa"/>
            <w:vAlign w:val="bottom"/>
          </w:tcPr>
          <w:p>
            <w:pPr>
              <w:jc w:val="center"/>
              <w:ind w:left="1635"/>
              <w:spacing w:after="0"/>
              <w:rPr>
                <w:sz w:val="20"/>
                <w:szCs w:val="20"/>
                <w:color w:val="auto"/>
              </w:rPr>
            </w:pPr>
            <w:r>
              <w:rPr>
                <w:rFonts w:ascii="Times New Roman" w:cs="Times New Roman" w:eastAsia="Times New Roman" w:hAnsi="Times New Roman"/>
                <w:sz w:val="13"/>
                <w:szCs w:val="13"/>
                <w:color w:val="auto"/>
                <w:w w:val="97"/>
              </w:rPr>
              <w:t>TERMINATION</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6.1</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Termination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6.2</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6.3</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Termination Fees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80" w:type="dxa"/>
            <w:vAlign w:val="bottom"/>
          </w:tcPr>
          <w:p>
            <w:pPr>
              <w:jc w:val="center"/>
              <w:ind w:left="1655"/>
              <w:spacing w:after="0"/>
              <w:rPr>
                <w:sz w:val="20"/>
                <w:szCs w:val="20"/>
                <w:color w:val="auto"/>
              </w:rPr>
            </w:pPr>
            <w:r>
              <w:rPr>
                <w:rFonts w:ascii="Times New Roman" w:cs="Times New Roman" w:eastAsia="Times New Roman" w:hAnsi="Times New Roman"/>
                <w:sz w:val="13"/>
                <w:szCs w:val="13"/>
                <w:color w:val="auto"/>
              </w:rPr>
              <w:t>Article VII</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180" w:type="dxa"/>
            <w:vAlign w:val="bottom"/>
          </w:tcPr>
          <w:p>
            <w:pPr>
              <w:jc w:val="center"/>
              <w:ind w:left="1635"/>
              <w:spacing w:after="0"/>
              <w:rPr>
                <w:sz w:val="20"/>
                <w:szCs w:val="20"/>
                <w:color w:val="auto"/>
              </w:rPr>
            </w:pPr>
            <w:r>
              <w:rPr>
                <w:rFonts w:ascii="Times New Roman" w:cs="Times New Roman" w:eastAsia="Times New Roman" w:hAnsi="Times New Roman"/>
                <w:sz w:val="13"/>
                <w:szCs w:val="13"/>
                <w:color w:val="auto"/>
                <w:w w:val="99"/>
              </w:rPr>
              <w:t>MISCELLANEOUS PROVISIONS</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7.1</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Amendment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7.2</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7.3</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 Survival of Representations and Warranties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7.4</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Entire Agreement; Non-Reliance; Third-Party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7.5</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Governing Law; Jurisdiction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7.6</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7.7</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Assignability; Parties in Interest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7.8</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7.9</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Severability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7.10</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7.11</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Specific Performance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7.12</w:t>
            </w:r>
          </w:p>
        </w:tc>
        <w:tc>
          <w:tcPr>
            <w:tcW w:w="32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Disclosure Schedules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7.13</w:t>
            </w:r>
          </w:p>
        </w:tc>
        <w:tc>
          <w:tcPr>
            <w:tcW w:w="32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Construction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Exhibit</w:t>
            </w:r>
          </w:p>
        </w:tc>
        <w:tc>
          <w:tcPr>
            <w:tcW w:w="8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Exhibit A</w:t>
            </w:r>
          </w:p>
        </w:tc>
        <w:tc>
          <w:tcPr>
            <w:tcW w:w="81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Definitions</w:t>
            </w:r>
          </w:p>
        </w:tc>
        <w:tc>
          <w:tcPr>
            <w:tcW w:w="24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Exhibit B</w:t>
            </w:r>
          </w:p>
        </w:tc>
        <w:tc>
          <w:tcPr>
            <w:tcW w:w="818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Form of Certificate of Incorporation of Surviving Corporation</w:t>
            </w: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AGREEMENT AND PLAN OF REORGANIZATION</w:t>
      </w:r>
    </w:p>
    <w:p>
      <w:pPr>
        <w:spacing w:after="0" w:line="164"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THIS AGREEMENT AND PLAN OF REORGANIZATION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June 25, 2026, by and among: ON Semiconductor Corporation, a Delaware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Sonic Acquisition Corp., a Delaware corporation and a wholly owned subsidiary of Parent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and Synaptics Incorporated,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Certain capitalized terms used in this Agreement are defined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64" w:lineRule="exact"/>
        <w:rPr>
          <w:sz w:val="20"/>
          <w:szCs w:val="20"/>
          <w:color w:val="auto"/>
        </w:rPr>
      </w:pPr>
    </w:p>
    <w:p>
      <w:pPr>
        <w:ind w:firstLine="465"/>
        <w:spacing w:after="0" w:line="278" w:lineRule="auto"/>
        <w:tabs>
          <w:tab w:leader="none" w:pos="904"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Each of Parent, Merger Sub and the Company desires to effect the acquisition of the Company by Parent, by means of a statutory merger of Merger Sub with and into the Company, pursuant to which the Company would survive and become a wholly-owned Subsidiary of Parent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upon the terms and subject to the conditions of this Agreement and in accordance with the DGCL.</w:t>
      </w:r>
    </w:p>
    <w:p>
      <w:pPr>
        <w:spacing w:after="0" w:line="120" w:lineRule="exact"/>
        <w:rPr>
          <w:rFonts w:ascii="Times New Roman" w:cs="Times New Roman" w:eastAsia="Times New Roman" w:hAnsi="Times New Roman"/>
          <w:sz w:val="13"/>
          <w:szCs w:val="13"/>
          <w:b w:val="1"/>
          <w:bCs w:val="1"/>
          <w:color w:val="auto"/>
        </w:rPr>
      </w:pPr>
    </w:p>
    <w:p>
      <w:pPr>
        <w:jc w:val="both"/>
        <w:ind w:firstLine="465"/>
        <w:spacing w:after="0" w:line="259" w:lineRule="auto"/>
        <w:tabs>
          <w:tab w:leader="none" w:pos="103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w:t>
      </w:r>
    </w:p>
    <w:p>
      <w:pPr>
        <w:spacing w:after="0" w:line="132" w:lineRule="exact"/>
        <w:rPr>
          <w:rFonts w:ascii="Times New Roman" w:cs="Times New Roman" w:eastAsia="Times New Roman" w:hAnsi="Times New Roman"/>
          <w:sz w:val="13"/>
          <w:szCs w:val="13"/>
          <w:b w:val="1"/>
          <w:bCs w:val="1"/>
          <w:color w:val="auto"/>
        </w:rPr>
      </w:pPr>
    </w:p>
    <w:p>
      <w:pPr>
        <w:jc w:val="both"/>
        <w:ind w:firstLine="465"/>
        <w:spacing w:after="0" w:line="264" w:lineRule="auto"/>
        <w:tabs>
          <w:tab w:leader="none" w:pos="955"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Parent Board has unanimously (i) determined that this Agreement and the transactions contemplated by this Agreement, including the Merger and the issuance of shares of Parent Common Stock in connection therewith, are fair to and in the best interests of Parent and its stockholders; and (ii) approved and declared advisable this Agreement and the transactions contemplated by this Agreement, including the Merger and the issuance of shares of Parent Common Stock in connection therewith, on the terms and subject to the conditions set forth in this Agreement.</w:t>
      </w:r>
    </w:p>
    <w:p>
      <w:pPr>
        <w:spacing w:after="0" w:line="129" w:lineRule="exact"/>
        <w:rPr>
          <w:rFonts w:ascii="Times New Roman" w:cs="Times New Roman" w:eastAsia="Times New Roman" w:hAnsi="Times New Roman"/>
          <w:sz w:val="13"/>
          <w:szCs w:val="13"/>
          <w:b w:val="1"/>
          <w:bCs w:val="1"/>
          <w:color w:val="auto"/>
        </w:rPr>
      </w:pPr>
    </w:p>
    <w:p>
      <w:pPr>
        <w:ind w:firstLine="465"/>
        <w:spacing w:after="0" w:line="278" w:lineRule="auto"/>
        <w:tabs>
          <w:tab w:leader="none" w:pos="948"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w:t>
      </w:r>
    </w:p>
    <w:p>
      <w:pPr>
        <w:spacing w:after="0" w:line="120" w:lineRule="exact"/>
        <w:rPr>
          <w:rFonts w:ascii="Times New Roman" w:cs="Times New Roman" w:eastAsia="Times New Roman" w:hAnsi="Times New Roman"/>
          <w:sz w:val="13"/>
          <w:szCs w:val="13"/>
          <w:b w:val="1"/>
          <w:bCs w:val="1"/>
          <w:color w:val="auto"/>
        </w:rPr>
      </w:pPr>
    </w:p>
    <w:p>
      <w:pPr>
        <w:jc w:val="both"/>
        <w:ind w:firstLine="465"/>
        <w:spacing w:after="0" w:line="264" w:lineRule="auto"/>
        <w:tabs>
          <w:tab w:leader="none" w:pos="882"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It is intended that, for U.S. federal income tax purposes, the Merger will qualify as a “reorganization” within the meaning of Section 368(a) of the Code, and that this Agreement is hereby adopted as, a “plan of reorganization” within the meaning of Section 368 of the Code and Treasury Regulations Sections 1.368-2(g) and 1.368-3(a), to which Parent, Merger Sub, and the Company are parties under Section 368(b) of the Code.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64" w:lineRule="exact"/>
        <w:rPr>
          <w:sz w:val="20"/>
          <w:szCs w:val="20"/>
          <w:color w:val="auto"/>
        </w:rPr>
      </w:pPr>
    </w:p>
    <w:p>
      <w:pPr>
        <w:ind w:firstLine="467"/>
        <w:spacing w:after="0" w:line="278" w:lineRule="auto"/>
        <w:rPr>
          <w:sz w:val="20"/>
          <w:szCs w:val="20"/>
          <w:color w:val="auto"/>
        </w:rPr>
      </w:pPr>
      <w:r>
        <w:rPr>
          <w:rFonts w:ascii="Times New Roman" w:cs="Times New Roman" w:eastAsia="Times New Roman" w:hAnsi="Times New Roman"/>
          <w:sz w:val="13"/>
          <w:szCs w:val="13"/>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THE MERGER</w:t>
      </w:r>
    </w:p>
    <w:p>
      <w:pPr>
        <w:spacing w:after="0" w:line="150"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in the Merger and a wholly owned Subsidiary of Parent.</w:t>
      </w:r>
    </w:p>
    <w:p>
      <w:pPr>
        <w:spacing w:after="0" w:line="121" w:lineRule="exact"/>
        <w:rPr>
          <w:sz w:val="20"/>
          <w:szCs w:val="20"/>
          <w:color w:val="auto"/>
        </w:rPr>
      </w:pPr>
    </w:p>
    <w:p>
      <w:pPr>
        <w:jc w:val="both"/>
        <w:ind w:firstLine="467"/>
        <w:spacing w:after="0" w:line="235"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 w:cs="Times New Roman" w:eastAsia="Times New Roman" w:hAnsi="Times New Roman"/>
          <w:sz w:val="13"/>
          <w:szCs w:val="13"/>
          <w:u w:val="single" w:color="auto"/>
          <w:color w:val="auto"/>
        </w:rPr>
        <w:t>Sections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5.3</w:t>
      </w:r>
      <w:r>
        <w:rPr>
          <w:rFonts w:ascii="Times New Roman" w:cs="Times New Roman" w:eastAsia="Times New Roman" w:hAnsi="Times New Roman"/>
          <w:sz w:val="13"/>
          <w:szCs w:val="13"/>
          <w:color w:val="auto"/>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Subject to the provisions of this Agreement, at the Closing, the parties shall cause the Merger to be consummated by filing a certificate of merger in requisite and customary form and substance (the “</w:t>
      </w:r>
      <w:r>
        <w:rPr>
          <w:rFonts w:ascii="Times New Roman" w:cs="Times New Roman" w:eastAsia="Times New Roman" w:hAnsi="Times New Roman"/>
          <w:sz w:val="13"/>
          <w:szCs w:val="13"/>
          <w:u w:val="single" w:color="auto"/>
          <w:color w:val="auto"/>
        </w:rPr>
        <w:t>Certificate of Merger</w:t>
      </w:r>
      <w:r>
        <w:rPr>
          <w:rFonts w:ascii="Times New Roman" w:cs="Times New Roman" w:eastAsia="Times New Roman" w:hAnsi="Times New Roman"/>
          <w:sz w:val="13"/>
          <w:szCs w:val="13"/>
          <w:color w:val="auto"/>
        </w:rPr>
        <w:t>”) with the Secretary of State of the State of Delaware (the “</w:t>
      </w:r>
      <w:r>
        <w:rPr>
          <w:rFonts w:ascii="Times New Roman" w:cs="Times New Roman" w:eastAsia="Times New Roman" w:hAnsi="Times New Roman"/>
          <w:sz w:val="13"/>
          <w:szCs w:val="13"/>
          <w:u w:val="single" w:color="auto"/>
          <w:color w:val="auto"/>
        </w:rPr>
        <w:t>Delaware Secretary</w:t>
      </w:r>
      <w:r>
        <w:rPr>
          <w:rFonts w:ascii="Times New Roman" w:cs="Times New Roman" w:eastAsia="Times New Roman" w:hAnsi="Times New Roman"/>
          <w:sz w:val="13"/>
          <w:szCs w:val="13"/>
          <w:color w:val="auto"/>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49"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Certificate of Incorporation and Bylaws</w:t>
      </w:r>
      <w:r>
        <w:rPr>
          <w:rFonts w:ascii="Times New Roman" w:cs="Times New Roman" w:eastAsia="Times New Roman" w:hAnsi="Times New Roman"/>
          <w:sz w:val="13"/>
          <w:szCs w:val="13"/>
          <w:color w:val="auto"/>
        </w:rPr>
        <w:t xml:space="preserve">. At the Effective Time, the certificate of incorporation of the Company in effect immediately prior to the Effective Time shall be amended and restated in its entirety to be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subject to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1.4</w:t>
      </w:r>
      <w:r>
        <w:rPr>
          <w:sz w:val="20"/>
          <w:szCs w:val="20"/>
          <w:color w:val="auto"/>
        </w:rPr>
        <w:tab/>
      </w: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64" w:lineRule="auto"/>
        <w:tabs>
          <w:tab w:leader="none" w:pos="152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w:t>
      </w:r>
    </w:p>
    <w:p>
      <w:pPr>
        <w:spacing w:after="0" w:line="129" w:lineRule="exact"/>
        <w:rPr>
          <w:rFonts w:ascii="Times New Roman" w:cs="Times New Roman" w:eastAsia="Times New Roman" w:hAnsi="Times New Roman"/>
          <w:sz w:val="13"/>
          <w:szCs w:val="13"/>
          <w:color w:val="auto"/>
        </w:rPr>
      </w:pPr>
    </w:p>
    <w:p>
      <w:pPr>
        <w:jc w:val="both"/>
        <w:ind w:firstLine="932"/>
        <w:spacing w:after="0" w:line="253" w:lineRule="auto"/>
        <w:tabs>
          <w:tab w:leader="none" w:pos="141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Parent shall take such actions as may be reasonably necessary or appropriate such that, as of the Effective Time, the Parent Board shall include one (1) director, designated by Parent from among those directors serving on the Company Board as of immediately prior to the Effective Time that have been proposed to Parent by the Company Board for consideration (such selection to be made after reasonable consultation with, and reasonable consideration of the recommendations of, the Company), which designee must qualify as an “independent director” of Parent under applicable Nasdaq rules and regulations and applicable Legal Requirements. Such director shall hold office until the earliest to occur of the appointment or election and qualification of his or her successor or his or her death, resignation, disqualification or proper removal as a member of the Parent Board. Parent agrees that the Governance and Sustainability Committee of the Parent Board (or its then equivalent applicable committee), acting, in its judgment, in accordance with its duties and authority pursuant to Parent’s Organizational Documents and policies and its committee charter, will reasonably consider recommending the nomination of such individual appointed to the Parent Board (using the same criteria and standards, and in the same manner, as the Governance and Sustainability Committee (or its then equivalent applicable committee) applies to other existing members of the Parent Board standing for re-nomination) pursuant to this </w:t>
      </w:r>
      <w:r>
        <w:rPr>
          <w:rFonts w:ascii="Times New Roman" w:cs="Times New Roman" w:eastAsia="Times New Roman" w:hAnsi="Times New Roman"/>
          <w:sz w:val="13"/>
          <w:szCs w:val="13"/>
          <w:u w:val="single" w:color="auto"/>
          <w:color w:val="auto"/>
        </w:rPr>
        <w:t>Section 1.4(b)</w:t>
      </w:r>
      <w:r>
        <w:rPr>
          <w:rFonts w:ascii="Times New Roman" w:cs="Times New Roman" w:eastAsia="Times New Roman" w:hAnsi="Times New Roman"/>
          <w:sz w:val="13"/>
          <w:szCs w:val="13"/>
          <w:color w:val="auto"/>
        </w:rPr>
        <w:t>, and, in the case of such recommendation Parent will nominate such individual, for reelection at Parent’s first annual stockholders meeting that occurs after the Closing.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1.5</w:t>
      </w:r>
      <w:r>
        <w:rPr>
          <w:sz w:val="20"/>
          <w:szCs w:val="20"/>
          <w:color w:val="auto"/>
        </w:rPr>
        <w:tab/>
      </w:r>
      <w:r>
        <w:rPr>
          <w:rFonts w:ascii="Times New Roman" w:cs="Times New Roman" w:eastAsia="Times New Roman" w:hAnsi="Times New Roman"/>
          <w:sz w:val="12"/>
          <w:szCs w:val="12"/>
          <w:u w:val="single" w:color="auto"/>
          <w:color w:val="auto"/>
        </w:rPr>
        <w:t>Effect on Company Capital Stock</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0" w:firstLine="932"/>
        <w:spacing w:after="0" w:line="278" w:lineRule="auto"/>
        <w:tabs>
          <w:tab w:leader="none" w:pos="144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of this Agreement, at the Effective Time, automatically, by virtue of the Merger and without any further action on the part of Parent, Merger Sub, the Company or any stockholder of the Company:</w:t>
      </w:r>
    </w:p>
    <w:p>
      <w:pPr>
        <w:spacing w:after="0" w:line="120" w:lineRule="exact"/>
        <w:rPr>
          <w:rFonts w:ascii="Times New Roman" w:cs="Times New Roman" w:eastAsia="Times New Roman" w:hAnsi="Times New Roman"/>
          <w:sz w:val="13"/>
          <w:szCs w:val="13"/>
          <w:color w:val="auto"/>
        </w:rPr>
      </w:pPr>
    </w:p>
    <w:p>
      <w:pPr>
        <w:jc w:val="both"/>
        <w:ind w:left="460" w:firstLine="938"/>
        <w:spacing w:after="0" w:line="254" w:lineRule="auto"/>
        <w:tabs>
          <w:tab w:leader="none" w:pos="1899"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 of Company Common Stock</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each share of Company Common Stock issued and outstanding immediately prior to the Effective Time (other than any Cancelled Shares) shall be converted into the right to receive a number of validly issued, fully paid and non-assessable shares of Parent Common Stock equal to the Exchange Ratio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Consideration</w:t>
      </w:r>
      <w:r>
        <w:rPr>
          <w:rFonts w:ascii="Times New Roman" w:cs="Times New Roman" w:eastAsia="Times New Roman" w:hAnsi="Times New Roman"/>
          <w:sz w:val="13"/>
          <w:szCs w:val="13"/>
          <w:color w:val="auto"/>
        </w:rPr>
        <w:t>”). All shares of Company Common Stock, including all uncertificated shares of Company Common Stock represented by book-entry form (“</w:t>
      </w:r>
      <w:r>
        <w:rPr>
          <w:rFonts w:ascii="Times New Roman" w:cs="Times New Roman" w:eastAsia="Times New Roman" w:hAnsi="Times New Roman"/>
          <w:sz w:val="13"/>
          <w:szCs w:val="13"/>
          <w:u w:val="single" w:color="auto"/>
          <w:color w:val="auto"/>
        </w:rPr>
        <w:t>Company Book-Entry Shares</w:t>
      </w:r>
      <w:r>
        <w:rPr>
          <w:rFonts w:ascii="Times New Roman" w:cs="Times New Roman" w:eastAsia="Times New Roman" w:hAnsi="Times New Roman"/>
          <w:sz w:val="13"/>
          <w:szCs w:val="13"/>
          <w:color w:val="auto"/>
        </w:rPr>
        <w:t>”) and each certificate that, immediately prior to the Effective Time, represented any such shares of Company Common Stock (each a “</w:t>
      </w:r>
      <w:r>
        <w:rPr>
          <w:rFonts w:ascii="Times New Roman" w:cs="Times New Roman" w:eastAsia="Times New Roman" w:hAnsi="Times New Roman"/>
          <w:sz w:val="13"/>
          <w:szCs w:val="13"/>
          <w:u w:val="single" w:color="auto"/>
          <w:color w:val="auto"/>
        </w:rPr>
        <w:t>Company Stock Certificate</w:t>
      </w:r>
      <w:r>
        <w:rPr>
          <w:rFonts w:ascii="Times New Roman" w:cs="Times New Roman" w:eastAsia="Times New Roman" w:hAnsi="Times New Roman"/>
          <w:sz w:val="13"/>
          <w:szCs w:val="13"/>
          <w:color w:val="auto"/>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(including the right to receive, pursuant to </w:t>
      </w:r>
      <w:r>
        <w:rPr>
          <w:rFonts w:ascii="Times New Roman" w:cs="Times New Roman" w:eastAsia="Times New Roman" w:hAnsi="Times New Roman"/>
          <w:sz w:val="13"/>
          <w:szCs w:val="13"/>
          <w:u w:val="single" w:color="auto"/>
          <w:color w:val="auto"/>
        </w:rPr>
        <w:t>Section 1.5(d)</w:t>
      </w:r>
      <w:r>
        <w:rPr>
          <w:rFonts w:ascii="Times New Roman" w:cs="Times New Roman" w:eastAsia="Times New Roman" w:hAnsi="Times New Roman"/>
          <w:sz w:val="13"/>
          <w:szCs w:val="13"/>
          <w:color w:val="auto"/>
        </w:rPr>
        <w:t xml:space="preserve">, the Fractional Share Cash Amount, and dividends or other distributions pursuant to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xml:space="preserve">, if any) upon the surrender of such shares of Company Common Stock in accordance with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1866"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Cancellation of Company Common Stock</w:t>
      </w:r>
      <w:r>
        <w:rPr>
          <w:rFonts w:ascii="Times New Roman" w:cs="Times New Roman" w:eastAsia="Times New Roman" w:hAnsi="Times New Roman"/>
          <w:sz w:val="13"/>
          <w:szCs w:val="13"/>
          <w:color w:val="auto"/>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any Parent Subsidiary or Merger Sub immediately prior to the Effective Time, shall be cancelled and shall cease to exist (the “</w:t>
      </w:r>
      <w:r>
        <w:rPr>
          <w:rFonts w:ascii="Times New Roman" w:cs="Times New Roman" w:eastAsia="Times New Roman" w:hAnsi="Times New Roman"/>
          <w:sz w:val="13"/>
          <w:szCs w:val="13"/>
          <w:u w:val="single" w:color="auto"/>
          <w:color w:val="auto"/>
        </w:rPr>
        <w:t>Cancelled Shares</w:t>
      </w:r>
      <w:r>
        <w:rPr>
          <w:rFonts w:ascii="Times New Roman" w:cs="Times New Roman" w:eastAsia="Times New Roman" w:hAnsi="Times New Roman"/>
          <w:sz w:val="13"/>
          <w:szCs w:val="13"/>
          <w:color w:val="auto"/>
        </w:rPr>
        <w:t>”), and no consideration shall be paid or payable in respect thereof.</w:t>
      </w:r>
    </w:p>
    <w:p>
      <w:pPr>
        <w:spacing w:after="0" w:line="129"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8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Equity Interests of Merger Sub</w:t>
      </w:r>
      <w:r>
        <w:rPr>
          <w:rFonts w:ascii="Times New Roman" w:cs="Times New Roman" w:eastAsia="Times New Roman" w:hAnsi="Times New Roman"/>
          <w:sz w:val="13"/>
          <w:szCs w:val="13"/>
          <w:color w:val="auto"/>
        </w:rPr>
        <w:t>.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w:t>
      </w:r>
    </w:p>
    <w:p>
      <w:pPr>
        <w:spacing w:after="0" w:line="129" w:lineRule="exact"/>
        <w:rPr>
          <w:rFonts w:ascii="Times New Roman" w:cs="Times New Roman" w:eastAsia="Times New Roman" w:hAnsi="Times New Roman"/>
          <w:sz w:val="13"/>
          <w:szCs w:val="13"/>
          <w:color w:val="auto"/>
        </w:rPr>
      </w:pPr>
    </w:p>
    <w:p>
      <w:pPr>
        <w:jc w:val="both"/>
        <w:ind w:right="20" w:firstLine="932"/>
        <w:spacing w:after="0" w:line="254" w:lineRule="auto"/>
        <w:tabs>
          <w:tab w:leader="none" w:pos="133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Equitable Adjustments</w:t>
      </w:r>
      <w:r>
        <w:rPr>
          <w:rFonts w:ascii="Times New Roman" w:cs="Times New Roman" w:eastAsia="Times New Roman" w:hAnsi="Times New Roman"/>
          <w:sz w:val="13"/>
          <w:szCs w:val="13"/>
          <w:color w:val="auto"/>
        </w:rPr>
        <w:t xml:space="preserve">. Notwithstanding anything in this Agreement to the contrary, if, during the period from the date of this Agreement through the Effective Time, the outstanding shares of Parent Common Stock or Company Common Stock are changed or converted into a different number or class or series of shares by reason of any stock split, division, combination, exchange or subdivision of shares, stock dividend (including any dividend or distribution of securities convertible into Parent Common Stock or Company Common Stock), reverse stock split, consolidation of shares, reorganization, reclassification, recapitalization, or other similar transaction or similar change, or a record date with respect to any such event shall occur during such period, then the Exchange Ratio (and, correspondingly, the Merger Consideration and any other number or amount contained herein that is based upon the number of shares of Parent Common Stock or Company Common Stock) shall be adjusted, without duplication, to the extent appropriate to provide the same economic effect as contemplated by this Agreement prior to such action. Nothing in this </w:t>
      </w:r>
      <w:r>
        <w:rPr>
          <w:rFonts w:ascii="Times New Roman" w:cs="Times New Roman" w:eastAsia="Times New Roman" w:hAnsi="Times New Roman"/>
          <w:sz w:val="13"/>
          <w:szCs w:val="13"/>
          <w:u w:val="single" w:color="auto"/>
          <w:color w:val="auto"/>
        </w:rPr>
        <w:t>Section 1.5(c)</w:t>
      </w:r>
      <w:r>
        <w:rPr>
          <w:rFonts w:ascii="Times New Roman" w:cs="Times New Roman" w:eastAsia="Times New Roman" w:hAnsi="Times New Roman"/>
          <w:sz w:val="13"/>
          <w:szCs w:val="13"/>
          <w:color w:val="auto"/>
        </w:rPr>
        <w:t xml:space="preserve"> shall be construed to permit the parties to take any action except to the extent consistent with, or not otherwise prohibited by, the terms of this Agreement, including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 w:name="page16"/>
    <w:bookmarkEnd w:id="15"/>
    <w:p>
      <w:pPr>
        <w:jc w:val="both"/>
        <w:ind w:right="20" w:firstLine="932"/>
        <w:spacing w:after="0" w:line="254" w:lineRule="auto"/>
        <w:tabs>
          <w:tab w:leader="none" w:pos="140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Fractional Shares</w:t>
      </w:r>
      <w:r>
        <w:rPr>
          <w:rFonts w:ascii="Times New Roman" w:cs="Times New Roman" w:eastAsia="Times New Roman" w:hAnsi="Times New Roman"/>
          <w:sz w:val="13"/>
          <w:szCs w:val="13"/>
          <w:color w:val="auto"/>
        </w:rPr>
        <w:t xml:space="preserve">. No fractional shares of Parent Common Stock shall be issued in connection with the Merger, and no certificates or scrip for any such fractional shares shall be issued. Any holder of Company Common Stock who would otherwise be entitled to receive a fraction of a share of Parent Common Stock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(after aggregating all fractional shares of Parent Common Stock otherwise issuable to such holder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shall, in lieu of such fraction of a share and upon surrender of such holder’s Company Stock Certificates or Company Book-Entry Shares outstanding as of immediately prior to the Effective Time in accordance with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be paid in cash the dollar amount (rounded to the nearest whole cent), without interest and subject to any required tax withholding, determined by multiplying such fraction by the Average Parent Stock Price (the “</w:t>
      </w:r>
      <w:r>
        <w:rPr>
          <w:rFonts w:ascii="Times New Roman" w:cs="Times New Roman" w:eastAsia="Times New Roman" w:hAnsi="Times New Roman"/>
          <w:sz w:val="13"/>
          <w:szCs w:val="13"/>
          <w:u w:val="single" w:color="auto"/>
          <w:color w:val="auto"/>
        </w:rPr>
        <w:t>Fractional Share Cash Amount</w:t>
      </w:r>
      <w:r>
        <w:rPr>
          <w:rFonts w:ascii="Times New Roman" w:cs="Times New Roman" w:eastAsia="Times New Roman" w:hAnsi="Times New Roman"/>
          <w:sz w:val="13"/>
          <w:szCs w:val="13"/>
          <w:color w:val="auto"/>
        </w:rPr>
        <w:t xml:space="preserve">”). No such holder shall be entitled to dividends, voting rights or any other rights in respect of any fractional share of Parent Common Stock that would otherwise have been issuable as part of the Merger Consideration. The payment of the Fractional Share Cash Amount pursuant to this </w:t>
      </w:r>
      <w:r>
        <w:rPr>
          <w:rFonts w:ascii="Times New Roman" w:cs="Times New Roman" w:eastAsia="Times New Roman" w:hAnsi="Times New Roman"/>
          <w:sz w:val="13"/>
          <w:szCs w:val="13"/>
          <w:u w:val="single" w:color="auto"/>
          <w:color w:val="auto"/>
        </w:rPr>
        <w:t>Section 1.5(d)</w:t>
      </w:r>
      <w:r>
        <w:rPr>
          <w:rFonts w:ascii="Times New Roman" w:cs="Times New Roman" w:eastAsia="Times New Roman" w:hAnsi="Times New Roman"/>
          <w:sz w:val="13"/>
          <w:szCs w:val="13"/>
          <w:color w:val="auto"/>
        </w:rPr>
        <w:t xml:space="preserve"> is not a separately bargained-for consideration but merely represents a mechanical rounding-off of the fractions in the exchange.</w:t>
      </w:r>
    </w:p>
    <w:p>
      <w:pPr>
        <w:spacing w:after="0" w:line="138"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1.6</w:t>
      </w:r>
      <w:r>
        <w:rPr>
          <w:sz w:val="20"/>
          <w:szCs w:val="20"/>
          <w:color w:val="auto"/>
        </w:rPr>
        <w:tab/>
      </w:r>
      <w:r>
        <w:rPr>
          <w:rFonts w:ascii="Times New Roman" w:cs="Times New Roman" w:eastAsia="Times New Roman" w:hAnsi="Times New Roman"/>
          <w:sz w:val="12"/>
          <w:szCs w:val="12"/>
          <w:u w:val="single" w:color="auto"/>
          <w:color w:val="auto"/>
        </w:rPr>
        <w:t>Treatment of Company Equity Awards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0" w:firstLine="932"/>
        <w:spacing w:after="0" w:line="278" w:lineRule="auto"/>
        <w:tabs>
          <w:tab w:leader="none" w:pos="1369"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on Company RSUs</w:t>
      </w:r>
      <w:r>
        <w:rPr>
          <w:rFonts w:ascii="Times New Roman" w:cs="Times New Roman" w:eastAsia="Times New Roman" w:hAnsi="Times New Roman"/>
          <w:sz w:val="13"/>
          <w:szCs w:val="13"/>
          <w:color w:val="auto"/>
        </w:rPr>
        <w:t>. Effective as of the Effective Time, and without any action on the part of Parent, Merger Sub, the Company or the holder thereof, other than the Company delivering any notices required pursuant to the terms of the applicable Company Equity Agreements:</w:t>
      </w:r>
    </w:p>
    <w:p>
      <w:pPr>
        <w:spacing w:after="0" w:line="120" w:lineRule="exact"/>
        <w:rPr>
          <w:rFonts w:ascii="Times New Roman" w:cs="Times New Roman" w:eastAsia="Times New Roman" w:hAnsi="Times New Roman"/>
          <w:sz w:val="13"/>
          <w:szCs w:val="13"/>
          <w:color w:val="auto"/>
        </w:rPr>
      </w:pPr>
    </w:p>
    <w:p>
      <w:pPr>
        <w:jc w:val="both"/>
        <w:ind w:left="460" w:firstLine="938"/>
        <w:spacing w:after="0" w:line="254" w:lineRule="auto"/>
        <w:tabs>
          <w:tab w:leader="none" w:pos="1827"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Converted RSUs</w:t>
      </w:r>
      <w:r>
        <w:rPr>
          <w:rFonts w:ascii="Times New Roman" w:cs="Times New Roman" w:eastAsia="Times New Roman" w:hAnsi="Times New Roman"/>
          <w:sz w:val="13"/>
          <w:szCs w:val="13"/>
          <w:color w:val="auto"/>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 w:cs="Times New Roman" w:eastAsia="Times New Roman" w:hAnsi="Times New Roman"/>
          <w:sz w:val="13"/>
          <w:szCs w:val="13"/>
          <w:u w:val="single" w:color="auto"/>
          <w:color w:val="auto"/>
        </w:rPr>
        <w:t>Company Converted RSU</w:t>
      </w:r>
      <w:r>
        <w:rPr>
          <w:rFonts w:ascii="Times New Roman" w:cs="Times New Roman" w:eastAsia="Times New Roman" w:hAnsi="Times New Roman"/>
          <w:sz w:val="13"/>
          <w:szCs w:val="13"/>
          <w:color w:val="auto"/>
        </w:rPr>
        <w:t>”),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Exchange Ratio; and (B) each Company Converted RSU shall be subject to such terms and conditions that become operative and applicable pursuant to its terms in connection with the Closing.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6" w:name="page17"/>
    <w:bookmarkEnd w:id="16"/>
    <w:p>
      <w:pPr>
        <w:jc w:val="both"/>
        <w:ind w:left="460" w:firstLine="938"/>
        <w:spacing w:after="0" w:line="277" w:lineRule="auto"/>
        <w:tabs>
          <w:tab w:leader="none" w:pos="1944" w:val="left"/>
        </w:tabs>
        <w:numPr>
          <w:ilvl w:val="2"/>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Accelerated RSUs</w:t>
      </w:r>
      <w:r>
        <w:rPr>
          <w:rFonts w:ascii="Times New Roman" w:cs="Times New Roman" w:eastAsia="Times New Roman" w:hAnsi="Times New Roman"/>
          <w:sz w:val="12"/>
          <w:szCs w:val="12"/>
          <w:color w:val="auto"/>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 w:cs="Times New Roman" w:eastAsia="Times New Roman" w:hAnsi="Times New Roman"/>
          <w:sz w:val="12"/>
          <w:szCs w:val="12"/>
          <w:u w:val="single" w:color="auto"/>
          <w:color w:val="auto"/>
        </w:rPr>
        <w:t>Company Accelerated RSU</w:t>
      </w:r>
      <w:r>
        <w:rPr>
          <w:rFonts w:ascii="Times New Roman" w:cs="Times New Roman" w:eastAsia="Times New Roman" w:hAnsi="Times New Roman"/>
          <w:sz w:val="12"/>
          <w:szCs w:val="12"/>
          <w:color w:val="auto"/>
        </w:rPr>
        <w:t>”), shall be cancelled, with the former holder of such cancelled Company Accelerated RSU becoming entitled to receive an amount of Merger Consideration equal to the product of</w:t>
      </w:r>
    </w:p>
    <w:p>
      <w:pPr>
        <w:jc w:val="both"/>
        <w:ind w:left="460" w:firstLine="5"/>
        <w:spacing w:after="0" w:line="252" w:lineRule="auto"/>
        <w:tabs>
          <w:tab w:leader="none" w:pos="64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Exchange Ratio multiplied by (y) the applicable number of shares of Company Common Stock subject to such Company Accelerated RSU after giving effect to any accumulated dividend equivalent rights (the “</w:t>
      </w:r>
      <w:r>
        <w:rPr>
          <w:rFonts w:ascii="Times New Roman" w:cs="Times New Roman" w:eastAsia="Times New Roman" w:hAnsi="Times New Roman"/>
          <w:sz w:val="13"/>
          <w:szCs w:val="13"/>
          <w:u w:val="single" w:color="auto"/>
          <w:color w:val="auto"/>
        </w:rPr>
        <w:t>Company Accelerated RSU Payment</w:t>
      </w:r>
      <w:r>
        <w:rPr>
          <w:rFonts w:ascii="Times New Roman" w:cs="Times New Roman" w:eastAsia="Times New Roman" w:hAnsi="Times New Roman"/>
          <w:sz w:val="13"/>
          <w:szCs w:val="13"/>
          <w:color w:val="auto"/>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that</w:t>
      </w:r>
      <w:r>
        <w:rPr>
          <w:rFonts w:ascii="Times New Roman" w:cs="Times New Roman" w:eastAsia="Times New Roman" w:hAnsi="Times New Roman"/>
          <w:sz w:val="13"/>
          <w:szCs w:val="13"/>
          <w:color w:val="auto"/>
        </w:rPr>
        <w:t>, the applicable Taxes required to be withheld from the Company Accelerated RSU Payment shall be promptly remitted by the Surviving Corporation in cash to the applicable Governmental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Entity.</w:t>
      </w:r>
    </w:p>
    <w:p>
      <w:pPr>
        <w:spacing w:after="0" w:line="137" w:lineRule="exact"/>
        <w:rPr>
          <w:rFonts w:ascii="Times New Roman" w:cs="Times New Roman" w:eastAsia="Times New Roman" w:hAnsi="Times New Roman"/>
          <w:sz w:val="13"/>
          <w:szCs w:val="13"/>
          <w:color w:val="auto"/>
        </w:rPr>
      </w:pPr>
    </w:p>
    <w:p>
      <w:pPr>
        <w:ind w:firstLine="932"/>
        <w:spacing w:after="0" w:line="278" w:lineRule="auto"/>
        <w:tabs>
          <w:tab w:leader="none" w:pos="1354"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on Company PSUs</w:t>
      </w:r>
      <w:r>
        <w:rPr>
          <w:rFonts w:ascii="Times New Roman" w:cs="Times New Roman" w:eastAsia="Times New Roman" w:hAnsi="Times New Roman"/>
          <w:sz w:val="13"/>
          <w:szCs w:val="13"/>
          <w:color w:val="auto"/>
        </w:rPr>
        <w:t>. Effective as of the Effective Time, and without any action on the part of Parent, Merger Sub, the Company or the holder thereof, other than the Company delivering any notices required pursuant to the terms of the applicable Company Equity Agreements:</w:t>
      </w:r>
    </w:p>
    <w:p>
      <w:pPr>
        <w:spacing w:after="0" w:line="120" w:lineRule="exact"/>
        <w:rPr>
          <w:rFonts w:ascii="Times New Roman" w:cs="Times New Roman" w:eastAsia="Times New Roman" w:hAnsi="Times New Roman"/>
          <w:sz w:val="13"/>
          <w:szCs w:val="13"/>
          <w:color w:val="auto"/>
        </w:rPr>
      </w:pPr>
    </w:p>
    <w:p>
      <w:pPr>
        <w:jc w:val="both"/>
        <w:ind w:left="460" w:firstLine="938"/>
        <w:spacing w:after="0" w:line="253" w:lineRule="auto"/>
        <w:tabs>
          <w:tab w:leader="none" w:pos="1860" w:val="left"/>
        </w:tabs>
        <w:numPr>
          <w:ilvl w:val="2"/>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Converted PSUs</w:t>
      </w:r>
      <w:r>
        <w:rPr>
          <w:rFonts w:ascii="Times New Roman" w:cs="Times New Roman" w:eastAsia="Times New Roman" w:hAnsi="Times New Roman"/>
          <w:sz w:val="13"/>
          <w:szCs w:val="13"/>
          <w:color w:val="auto"/>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 w:cs="Times New Roman" w:eastAsia="Times New Roman" w:hAnsi="Times New Roman"/>
          <w:sz w:val="13"/>
          <w:szCs w:val="13"/>
          <w:u w:val="single" w:color="auto"/>
          <w:color w:val="auto"/>
        </w:rPr>
        <w:t>Company Converted PSU</w:t>
      </w:r>
      <w:r>
        <w:rPr>
          <w:rFonts w:ascii="Times New Roman" w:cs="Times New Roman" w:eastAsia="Times New Roman" w:hAnsi="Times New Roman"/>
          <w:sz w:val="13"/>
          <w:szCs w:val="13"/>
          <w:color w:val="auto"/>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Exchange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w:t>
      </w:r>
    </w:p>
    <w:p>
      <w:pPr>
        <w:spacing w:after="0" w:line="136" w:lineRule="exact"/>
        <w:rPr>
          <w:sz w:val="20"/>
          <w:szCs w:val="20"/>
          <w:color w:val="auto"/>
        </w:rPr>
      </w:pPr>
    </w:p>
    <w:p>
      <w:pPr>
        <w:jc w:val="both"/>
        <w:ind w:left="460" w:firstLine="938"/>
        <w:spacing w:after="0" w:line="277" w:lineRule="auto"/>
        <w:tabs>
          <w:tab w:leader="none" w:pos="1954"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Accelerated PSUs</w:t>
      </w:r>
      <w:r>
        <w:rPr>
          <w:rFonts w:ascii="Times New Roman" w:cs="Times New Roman" w:eastAsia="Times New Roman" w:hAnsi="Times New Roman"/>
          <w:sz w:val="12"/>
          <w:szCs w:val="12"/>
          <w:color w:val="auto"/>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 w:cs="Times New Roman" w:eastAsia="Times New Roman" w:hAnsi="Times New Roman"/>
          <w:sz w:val="12"/>
          <w:szCs w:val="12"/>
          <w:u w:val="single" w:color="auto"/>
          <w:color w:val="auto"/>
        </w:rPr>
        <w:t>Company Accelerated PSU</w:t>
      </w:r>
      <w:r>
        <w:rPr>
          <w:rFonts w:ascii="Times New Roman" w:cs="Times New Roman" w:eastAsia="Times New Roman" w:hAnsi="Times New Roman"/>
          <w:sz w:val="12"/>
          <w:szCs w:val="12"/>
          <w:color w:val="auto"/>
        </w:rPr>
        <w:t>”), shall be cancelled, with the former holder of such cancelled Company Accelerated PSU becoming entitled to receive an amount of Merger Consideration equal to the product of</w:t>
      </w:r>
    </w:p>
    <w:p>
      <w:pPr>
        <w:jc w:val="both"/>
        <w:ind w:left="460" w:firstLine="5"/>
        <w:spacing w:after="0" w:line="251" w:lineRule="auto"/>
        <w:tabs>
          <w:tab w:leader="none" w:pos="658"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Exchange Ratio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 w:cs="Times New Roman" w:eastAsia="Times New Roman" w:hAnsi="Times New Roman"/>
          <w:sz w:val="13"/>
          <w:szCs w:val="13"/>
          <w:u w:val="single" w:color="auto"/>
          <w:color w:val="auto"/>
        </w:rPr>
        <w:t>Company Accelerated PSU Payment</w:t>
      </w:r>
      <w:r>
        <w:rPr>
          <w:rFonts w:ascii="Times New Roman" w:cs="Times New Roman" w:eastAsia="Times New Roman" w:hAnsi="Times New Roman"/>
          <w:sz w:val="13"/>
          <w:szCs w:val="13"/>
          <w:color w:val="auto"/>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the applicable Taxes required to be withheld from the Company Accelerated PSU Payment shall be promptly remitted by the Surviving Corporation in cash to the applicable Governmental Entity.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ind w:right="20" w:firstLine="932"/>
        <w:spacing w:after="0" w:line="278" w:lineRule="auto"/>
        <w:tabs>
          <w:tab w:leader="none" w:pos="152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on Company MSUs</w:t>
      </w:r>
      <w:r>
        <w:rPr>
          <w:rFonts w:ascii="Times New Roman" w:cs="Times New Roman" w:eastAsia="Times New Roman" w:hAnsi="Times New Roman"/>
          <w:sz w:val="13"/>
          <w:szCs w:val="13"/>
          <w:color w:val="auto"/>
        </w:rPr>
        <w:t>. Effective as of the Effective Time, and without any action on the part of Parent, Merger Sub, the Company or the holder thereof, other than the Company delivering any notices required pursuant to the terms of the applicable Company Equity Agreements:</w:t>
      </w:r>
    </w:p>
    <w:p>
      <w:pPr>
        <w:spacing w:after="0" w:line="120" w:lineRule="exact"/>
        <w:rPr>
          <w:rFonts w:ascii="Times New Roman" w:cs="Times New Roman" w:eastAsia="Times New Roman" w:hAnsi="Times New Roman"/>
          <w:sz w:val="13"/>
          <w:szCs w:val="13"/>
          <w:color w:val="auto"/>
        </w:rPr>
      </w:pPr>
    </w:p>
    <w:p>
      <w:pPr>
        <w:jc w:val="both"/>
        <w:ind w:left="460" w:firstLine="938"/>
        <w:spacing w:after="0" w:line="253" w:lineRule="auto"/>
        <w:tabs>
          <w:tab w:leader="none" w:pos="1808"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Converted MSUs</w:t>
      </w:r>
      <w:r>
        <w:rPr>
          <w:rFonts w:ascii="Times New Roman" w:cs="Times New Roman" w:eastAsia="Times New Roman" w:hAnsi="Times New Roman"/>
          <w:sz w:val="13"/>
          <w:szCs w:val="13"/>
          <w:color w:val="auto"/>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 w:cs="Times New Roman" w:eastAsia="Times New Roman" w:hAnsi="Times New Roman"/>
          <w:sz w:val="13"/>
          <w:szCs w:val="13"/>
          <w:u w:val="single" w:color="auto"/>
          <w:color w:val="auto"/>
        </w:rPr>
        <w:t>Company Converted MSU</w:t>
      </w:r>
      <w:r>
        <w:rPr>
          <w:rFonts w:ascii="Times New Roman" w:cs="Times New Roman" w:eastAsia="Times New Roman" w:hAnsi="Times New Roman"/>
          <w:sz w:val="13"/>
          <w:szCs w:val="13"/>
          <w:color w:val="auto"/>
        </w:rPr>
        <w:t>”),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Exchange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w:t>
      </w:r>
    </w:p>
    <w:p>
      <w:pPr>
        <w:spacing w:after="0" w:line="137" w:lineRule="exact"/>
        <w:rPr>
          <w:rFonts w:ascii="Times New Roman" w:cs="Times New Roman" w:eastAsia="Times New Roman" w:hAnsi="Times New Roman"/>
          <w:sz w:val="13"/>
          <w:szCs w:val="13"/>
          <w:color w:val="auto"/>
        </w:rPr>
      </w:pPr>
    </w:p>
    <w:p>
      <w:pPr>
        <w:jc w:val="both"/>
        <w:ind w:left="460" w:right="20" w:firstLine="938"/>
        <w:spacing w:after="0" w:line="253" w:lineRule="auto"/>
        <w:tabs>
          <w:tab w:leader="none" w:pos="1925"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Accelerated MSUs</w:t>
      </w:r>
      <w:r>
        <w:rPr>
          <w:rFonts w:ascii="Times New Roman" w:cs="Times New Roman" w:eastAsia="Times New Roman" w:hAnsi="Times New Roman"/>
          <w:sz w:val="13"/>
          <w:szCs w:val="13"/>
          <w:color w:val="auto"/>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 w:cs="Times New Roman" w:eastAsia="Times New Roman" w:hAnsi="Times New Roman"/>
          <w:sz w:val="13"/>
          <w:szCs w:val="13"/>
          <w:u w:val="single" w:color="auto"/>
          <w:color w:val="auto"/>
        </w:rPr>
        <w:t>Company Accelerated MSU</w:t>
      </w:r>
      <w:r>
        <w:rPr>
          <w:rFonts w:ascii="Times New Roman" w:cs="Times New Roman" w:eastAsia="Times New Roman" w:hAnsi="Times New Roman"/>
          <w:sz w:val="13"/>
          <w:szCs w:val="13"/>
          <w:color w:val="auto"/>
        </w:rPr>
        <w:t>”), shall be cancelled, with the former holder of such cancelled Company Accelerated MSU becoming entitled to receive an amount of Merger Consideration equal to the product of (x) the Exchange Ratio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 w:cs="Times New Roman" w:eastAsia="Times New Roman" w:hAnsi="Times New Roman"/>
          <w:sz w:val="13"/>
          <w:szCs w:val="13"/>
          <w:u w:val="single" w:color="auto"/>
          <w:color w:val="auto"/>
        </w:rPr>
        <w:t>Company Accelerated MSU Payment</w:t>
      </w:r>
      <w:r>
        <w:rPr>
          <w:rFonts w:ascii="Times New Roman" w:cs="Times New Roman" w:eastAsia="Times New Roman" w:hAnsi="Times New Roman"/>
          <w:sz w:val="13"/>
          <w:szCs w:val="13"/>
          <w:color w:val="auto"/>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the applicable Taxes required to be withheld from the Company Accelerated MSU Payment shall be promptly remitted by the Surviving Corporation in cash to the applicable Governmental Entity.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8" w:name="page19"/>
    <w:bookmarkEnd w:id="18"/>
    <w:p>
      <w:pPr>
        <w:jc w:val="both"/>
        <w:ind w:firstLine="932"/>
        <w:spacing w:after="0" w:line="253" w:lineRule="auto"/>
        <w:tabs>
          <w:tab w:leader="none" w:pos="1386"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Actions</w:t>
      </w:r>
      <w:r>
        <w:rPr>
          <w:rFonts w:ascii="Times New Roman" w:cs="Times New Roman" w:eastAsia="Times New Roman" w:hAnsi="Times New Roman"/>
          <w:sz w:val="13"/>
          <w:szCs w:val="13"/>
          <w:color w:val="auto"/>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The Company hereby represents, acknowledges and agrees that the treatment of, and transactions contemplated with respect to, Company RSUs, Company PSUs and Company MSUs, as set forth in </w:t>
      </w:r>
      <w:r>
        <w:rPr>
          <w:rFonts w:ascii="Times New Roman" w:cs="Times New Roman" w:eastAsia="Times New Roman" w:hAnsi="Times New Roman"/>
          <w:sz w:val="13"/>
          <w:szCs w:val="13"/>
          <w:u w:val="single" w:color="auto"/>
          <w:color w:val="auto"/>
        </w:rPr>
        <w:t>Section 1.6(a)(i)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1.6(b)(i)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1.6(c)(i)</w:t>
      </w:r>
      <w:r>
        <w:rPr>
          <w:rFonts w:ascii="Times New Roman" w:cs="Times New Roman" w:eastAsia="Times New Roman" w:hAnsi="Times New Roman"/>
          <w:sz w:val="13"/>
          <w:szCs w:val="13"/>
          <w:color w:val="auto"/>
        </w:rPr>
        <w:t xml:space="preserve"> and the Agreement otherwise, shall constitute the grant by Parent of “Replacement Awards” for all purposes under the Company Equity Agreements, and neither the Company Board nor any committee thereof shall make any determination otherwise at any time.</w:t>
      </w:r>
    </w:p>
    <w:p>
      <w:pPr>
        <w:spacing w:after="0" w:line="139" w:lineRule="exact"/>
        <w:rPr>
          <w:rFonts w:ascii="Times New Roman" w:cs="Times New Roman" w:eastAsia="Times New Roman" w:hAnsi="Times New Roman"/>
          <w:sz w:val="13"/>
          <w:szCs w:val="13"/>
          <w:color w:val="auto"/>
        </w:rPr>
      </w:pPr>
    </w:p>
    <w:p>
      <w:pPr>
        <w:ind w:right="20" w:firstLine="932"/>
        <w:spacing w:after="0" w:line="254" w:lineRule="auto"/>
        <w:tabs>
          <w:tab w:leader="none" w:pos="136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Non-U.S. Grantees</w:t>
      </w:r>
      <w:r>
        <w:rPr>
          <w:rFonts w:ascii="Times New Roman" w:cs="Times New Roman" w:eastAsia="Times New Roman" w:hAnsi="Times New Roman"/>
          <w:sz w:val="13"/>
          <w:szCs w:val="13"/>
          <w:color w:val="auto"/>
        </w:rPr>
        <w:t xml:space="preserve">. If the treatment of a non-U.S. grantee’s Company RSU, Company PSU or Company MSU specified in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shall not apply, and Parent shall provide compensation to the holder of such Company RSU, Company PSU or Company MSU that is equivalent in value to the value described in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(i.e., an amount of Merger Consideration equal to the product of (x) the Exchange Ratio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any such compensation provided to the holder of any such Company RSU, Company PSU or Company MSU shall be considered a “Replacement Award” for purposes of the Company Equity Agreements.</w:t>
      </w:r>
    </w:p>
    <w:p>
      <w:pPr>
        <w:spacing w:after="0" w:line="137" w:lineRule="exact"/>
        <w:rPr>
          <w:rFonts w:ascii="Times New Roman" w:cs="Times New Roman" w:eastAsia="Times New Roman" w:hAnsi="Times New Roman"/>
          <w:sz w:val="13"/>
          <w:szCs w:val="13"/>
          <w:color w:val="auto"/>
        </w:rPr>
      </w:pPr>
    </w:p>
    <w:p>
      <w:pPr>
        <w:jc w:val="both"/>
        <w:ind w:firstLine="932"/>
        <w:spacing w:after="0" w:line="257" w:lineRule="auto"/>
        <w:tabs>
          <w:tab w:leader="none" w:pos="136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Form S-8</w:t>
      </w:r>
      <w:r>
        <w:rPr>
          <w:rFonts w:ascii="Times New Roman" w:cs="Times New Roman" w:eastAsia="Times New Roman" w:hAnsi="Times New Roman"/>
          <w:sz w:val="13"/>
          <w:szCs w:val="13"/>
          <w:color w:val="auto"/>
        </w:rPr>
        <w:t>. Parent shall take all corporate action necessary to reserve for issuance a sufficient number of shares of Parent Common Stock for delivery with respect to all Company Converted RSUs, Company Converted PSUs and Company Converted MSUs. To the extent not covered by the Form S-4 Registration Statement (at Parent’s election),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1.7</w:t>
      </w:r>
      <w:r>
        <w:rPr>
          <w:sz w:val="20"/>
          <w:szCs w:val="20"/>
          <w:color w:val="auto"/>
        </w:rPr>
        <w:tab/>
      </w:r>
      <w:r>
        <w:rPr>
          <w:rFonts w:ascii="Times New Roman" w:cs="Times New Roman" w:eastAsia="Times New Roman" w:hAnsi="Times New Roman"/>
          <w:sz w:val="12"/>
          <w:szCs w:val="12"/>
          <w:u w:val="single" w:color="auto"/>
          <w:color w:val="auto"/>
        </w:rPr>
        <w:t>Exchange of Certificates and Cancellation of Book-Entry Positions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3" w:lineRule="auto"/>
        <w:tabs>
          <w:tab w:leader="none" w:pos="1372"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 w:cs="Times New Roman" w:eastAsia="Times New Roman" w:hAnsi="Times New Roman"/>
          <w:sz w:val="13"/>
          <w:szCs w:val="13"/>
          <w:u w:val="single" w:color="auto"/>
          <w:color w:val="auto"/>
        </w:rPr>
        <w:t>Exchange Agent</w:t>
      </w:r>
      <w:r>
        <w:rPr>
          <w:rFonts w:ascii="Times New Roman" w:cs="Times New Roman" w:eastAsia="Times New Roman" w:hAnsi="Times New Roman"/>
          <w:sz w:val="13"/>
          <w:szCs w:val="13"/>
          <w:color w:val="auto"/>
        </w:rPr>
        <w:t xml:space="preserve">”). Prior to or concurrent with the Effective Time, Parent shall cause to be deposited with the Exchange Agent: (i) certificates or evidence of book-entry shares representing shares of Parent Common Stock sufficient to issue the aggregate Merger Consideration payable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and (ii) cash sufficient to make payments in lieu of fractional shares in accordance with </w:t>
      </w:r>
      <w:r>
        <w:rPr>
          <w:rFonts w:ascii="Times New Roman" w:cs="Times New Roman" w:eastAsia="Times New Roman" w:hAnsi="Times New Roman"/>
          <w:sz w:val="13"/>
          <w:szCs w:val="13"/>
          <w:u w:val="single" w:color="auto"/>
          <w:color w:val="auto"/>
        </w:rPr>
        <w:t>Section 1.5(d)</w:t>
      </w:r>
      <w:r>
        <w:rPr>
          <w:rFonts w:ascii="Times New Roman" w:cs="Times New Roman" w:eastAsia="Times New Roman" w:hAnsi="Times New Roman"/>
          <w:sz w:val="13"/>
          <w:szCs w:val="13"/>
          <w:color w:val="auto"/>
        </w:rPr>
        <w:t xml:space="preserve">. The shares of Parent Common Stock and cash amounts so deposited with the Exchange Agent pursuant to this </w:t>
      </w:r>
      <w:r>
        <w:rPr>
          <w:rFonts w:ascii="Times New Roman" w:cs="Times New Roman" w:eastAsia="Times New Roman" w:hAnsi="Times New Roman"/>
          <w:sz w:val="13"/>
          <w:szCs w:val="13"/>
          <w:u w:val="single" w:color="auto"/>
          <w:color w:val="auto"/>
        </w:rPr>
        <w:t>Section 1.7(a)</w:t>
      </w:r>
      <w:r>
        <w:rPr>
          <w:rFonts w:ascii="Times New Roman" w:cs="Times New Roman" w:eastAsia="Times New Roman" w:hAnsi="Times New Roman"/>
          <w:sz w:val="13"/>
          <w:szCs w:val="13"/>
          <w:color w:val="auto"/>
        </w:rPr>
        <w:t>, together with any dividends or distributions received by the Exchange Agent with respect to such shares of Parent Common Stock, and any interest or other income with respect to such cash amount, are referred to collectively as the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Fund</w:t>
      </w:r>
      <w:r>
        <w:rPr>
          <w:rFonts w:ascii="Times New Roman" w:cs="Times New Roman" w:eastAsia="Times New Roman" w:hAnsi="Times New Roman"/>
          <w:sz w:val="13"/>
          <w:szCs w:val="13"/>
          <w:color w:val="auto"/>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no losses on such investments shall affect the cash payable to former holders of shares of Company Common Stock pursuant to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(and Parent shall promptly deliver to the Exchange Agent cash in an amount sufficient to replenish any deficiency in the Exchange Fund).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9" w:name="page20"/>
    <w:bookmarkEnd w:id="19"/>
    <w:p>
      <w:pPr>
        <w:jc w:val="both"/>
        <w:ind w:firstLine="932"/>
        <w:spacing w:after="0" w:line="253" w:lineRule="auto"/>
        <w:tabs>
          <w:tab w:leader="none" w:pos="141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or any other similar book-entry transfer facility) whose shares of Company Common Stock were converted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 w:cs="Times New Roman" w:eastAsia="Times New Roman" w:hAnsi="Times New Roman"/>
          <w:sz w:val="13"/>
          <w:szCs w:val="13"/>
          <w:u w:val="single" w:color="auto"/>
          <w:color w:val="auto"/>
        </w:rPr>
        <w:t>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of Transmittal</w:t>
      </w:r>
      <w:r>
        <w:rPr>
          <w:rFonts w:ascii="Times New Roman" w:cs="Times New Roman" w:eastAsia="Times New Roman" w:hAnsi="Times New Roman"/>
          <w:sz w:val="13"/>
          <w:szCs w:val="13"/>
          <w:color w:val="auto"/>
        </w:rPr>
        <w:t xml:space="preserve">”) and (ii) instructions for use in effecting the surrender of Company Stock Certificates (or affidavits of loss in lieu thereof) in exchange for the Merger Consideration, the Fractional Share Cash Amount and any dividends or other distributions to which holders become entitled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w:t>
      </w:r>
    </w:p>
    <w:p>
      <w:pPr>
        <w:spacing w:after="0" w:line="139" w:lineRule="exact"/>
        <w:rPr>
          <w:rFonts w:ascii="Times New Roman" w:cs="Times New Roman" w:eastAsia="Times New Roman" w:hAnsi="Times New Roman"/>
          <w:sz w:val="13"/>
          <w:szCs w:val="13"/>
          <w:color w:val="auto"/>
        </w:rPr>
      </w:pPr>
    </w:p>
    <w:p>
      <w:pPr>
        <w:jc w:val="both"/>
        <w:ind w:right="20" w:firstLine="932"/>
        <w:spacing w:after="0" w:line="251" w:lineRule="auto"/>
        <w:tabs>
          <w:tab w:leader="none" w:pos="1364"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together with the Fractional Share Cash Amount and any dividends or other distributions to which such Company Stock Certificates or Company Book-Entry Shares become entitled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xml:space="preserve">. With respect to Company Book-Entry Shares held through DTC or any other similar book-entry transfer facility, the holders thereof shall be entitled to receive the Merger Consideration, the Fractional Share Cash Amount and any dividends or other distributions to which they become entitled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and Fractional Share Cash Amount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Any dividends or other distributions to which such Company Stock Certificates or Company Book-Entry Shares become entitled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xml:space="preserve"> shall become payable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xml:space="preserve">. In the event of a transfer of ownership of shares of Company Common Stock that is not registered in the transfer or stock records of the Company, any cash to be paid upon, or shares of Parent Common Stock to be issued upon, due surrender of the Company Stock Certificate or Company Book-Entry Share formerly representing such shares of Company Common Stock shall be paid or issued, as the case may be,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 w:cs="Times New Roman" w:eastAsia="Times New Roman" w:hAnsi="Times New Roman"/>
          <w:sz w:val="13"/>
          <w:szCs w:val="13"/>
          <w:u w:val="single" w:color="auto"/>
          <w:color w:val="auto"/>
        </w:rPr>
        <w:t>Section 1.7(c)</w:t>
      </w:r>
      <w:r>
        <w:rPr>
          <w:rFonts w:ascii="Times New Roman" w:cs="Times New Roman" w:eastAsia="Times New Roman" w:hAnsi="Times New Roman"/>
          <w:sz w:val="13"/>
          <w:szCs w:val="13"/>
          <w:color w:val="auto"/>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 together with the Fractional Share Cash Amount and any dividends or other distributions to which such Company Stock Certificates or Company Book-Entry Shares become entitled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0" w:name="page21"/>
    <w:bookmarkEnd w:id="20"/>
    <w:p>
      <w:pPr>
        <w:jc w:val="both"/>
        <w:ind w:firstLine="932"/>
        <w:spacing w:after="0" w:line="257" w:lineRule="auto"/>
        <w:tabs>
          <w:tab w:leader="none" w:pos="145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as if such lost, stolen or destroyed Company Stock Certificate had been surrendered in accordance with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w:t>
      </w:r>
    </w:p>
    <w:p>
      <w:pPr>
        <w:spacing w:after="0" w:line="133" w:lineRule="exact"/>
        <w:rPr>
          <w:rFonts w:ascii="Times New Roman" w:cs="Times New Roman" w:eastAsia="Times New Roman" w:hAnsi="Times New Roman"/>
          <w:sz w:val="13"/>
          <w:szCs w:val="13"/>
          <w:color w:val="auto"/>
        </w:rPr>
      </w:pPr>
    </w:p>
    <w:p>
      <w:pPr>
        <w:jc w:val="both"/>
        <w:ind w:firstLine="932"/>
        <w:spacing w:after="0" w:line="253" w:lineRule="auto"/>
        <w:tabs>
          <w:tab w:leader="none" w:pos="137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dividends or other distributions declared or made with respect to Parent Common Stock with a record date after the Effective Time shall be paid or otherwise delivered to the holder of any unsurrendered Company Stock Certificate or Company Book-Entry Share with respect to the shares of Parent Common Stock that such holder has the right to receive in the Merger until the later to occur of: (A) the date on which the holder surrenders such Company Stock Certificate or Company Book-Entry Share in accordance with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 After the surrender in accordance with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of a share of Company Common Stock to be converted into Parent Common Stock pursuant to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jc w:val="both"/>
        <w:ind w:right="20" w:firstLine="932"/>
        <w:spacing w:after="0" w:line="257" w:lineRule="auto"/>
        <w:tabs>
          <w:tab w:leader="none" w:pos="150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1.5(a)</w:t>
      </w:r>
      <w:r>
        <w:rPr>
          <w:rFonts w:ascii="Times New Roman" w:cs="Times New Roman" w:eastAsia="Times New Roman" w:hAnsi="Times New Roman"/>
          <w:sz w:val="13"/>
          <w:szCs w:val="13"/>
          <w:color w:val="auto"/>
        </w:rPr>
        <w:t xml:space="preserve">, cash in lieu of any fractional shares of Parent Common Stock in accordance with </w:t>
      </w:r>
      <w:r>
        <w:rPr>
          <w:rFonts w:ascii="Times New Roman" w:cs="Times New Roman" w:eastAsia="Times New Roman" w:hAnsi="Times New Roman"/>
          <w:sz w:val="13"/>
          <w:szCs w:val="13"/>
          <w:u w:val="single" w:color="auto"/>
          <w:color w:val="auto"/>
        </w:rPr>
        <w:t>Section 1.5(d)</w:t>
      </w:r>
      <w:r>
        <w:rPr>
          <w:rFonts w:ascii="Times New Roman" w:cs="Times New Roman" w:eastAsia="Times New Roman" w:hAnsi="Times New Roman"/>
          <w:sz w:val="13"/>
          <w:szCs w:val="13"/>
          <w:color w:val="auto"/>
        </w:rPr>
        <w:t xml:space="preserve"> and any dividends or distributions with respect to shares of Parent Common Stock pursuant to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w:t>
      </w:r>
    </w:p>
    <w:p>
      <w:pPr>
        <w:spacing w:after="0" w:line="133" w:lineRule="exact"/>
        <w:rPr>
          <w:rFonts w:ascii="Times New Roman" w:cs="Times New Roman" w:eastAsia="Times New Roman" w:hAnsi="Times New Roman"/>
          <w:sz w:val="13"/>
          <w:szCs w:val="13"/>
          <w:color w:val="auto"/>
        </w:rPr>
      </w:pPr>
    </w:p>
    <w:p>
      <w:pPr>
        <w:jc w:val="both"/>
        <w:ind w:right="20" w:firstLine="932"/>
        <w:spacing w:after="0" w:line="255" w:lineRule="auto"/>
        <w:tabs>
          <w:tab w:leader="none" w:pos="140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Requirements, become the property of Parent, free and clear of all claims or interests of any Person previously entitled thereto.</w:t>
      </w:r>
    </w:p>
    <w:p>
      <w:pPr>
        <w:spacing w:after="0" w:line="136" w:lineRule="exact"/>
        <w:rPr>
          <w:rFonts w:ascii="Times New Roman" w:cs="Times New Roman" w:eastAsia="Times New Roman" w:hAnsi="Times New Roman"/>
          <w:sz w:val="13"/>
          <w:szCs w:val="13"/>
          <w:color w:val="auto"/>
        </w:rPr>
      </w:pPr>
    </w:p>
    <w:p>
      <w:pPr>
        <w:jc w:val="both"/>
        <w:ind w:firstLine="932"/>
        <w:spacing w:after="0" w:line="253" w:lineRule="auto"/>
        <w:tabs>
          <w:tab w:leader="none" w:pos="1366"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shares of Parent Common Stock delivered and cash paid in accordance with the terms of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(together with the Fractional Share Cash Amount and any dividends or other distributions to which such Company Stock Certificates or Company Book-Entry Shares become entitled in accordance with </w:t>
      </w:r>
      <w:r>
        <w:rPr>
          <w:rFonts w:ascii="Times New Roman" w:cs="Times New Roman" w:eastAsia="Times New Roman" w:hAnsi="Times New Roman"/>
          <w:sz w:val="13"/>
          <w:szCs w:val="13"/>
          <w:u w:val="single" w:color="auto"/>
          <w:color w:val="auto"/>
        </w:rPr>
        <w:t>Section 1.7(e)</w:t>
      </w:r>
      <w:r>
        <w:rPr>
          <w:rFonts w:ascii="Times New Roman" w:cs="Times New Roman" w:eastAsia="Times New Roman" w:hAnsi="Times New Roman"/>
          <w:sz w:val="13"/>
          <w:szCs w:val="13"/>
          <w:color w:val="auto"/>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w:t>
      </w:r>
    </w:p>
    <w:p>
      <w:pPr>
        <w:spacing w:after="0" w:line="140"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w:t>
      </w:r>
    </w:p>
    <w:p>
      <w:pPr>
        <w:spacing w:after="0" w:line="121"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 xml:space="preserve">1.9 </w:t>
      </w: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2" w:name="page23"/>
    <w:bookmarkEnd w:id="22"/>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 xml:space="preserve">1.10 </w:t>
      </w:r>
      <w:r>
        <w:rPr>
          <w:rFonts w:ascii="Times New Roman" w:cs="Times New Roman" w:eastAsia="Times New Roman" w:hAnsi="Times New Roman"/>
          <w:sz w:val="13"/>
          <w:szCs w:val="13"/>
          <w:u w:val="single" w:color="auto"/>
          <w:color w:val="auto"/>
        </w:rPr>
        <w:t>No Dissenters’ Rights</w:t>
      </w:r>
      <w:r>
        <w:rPr>
          <w:rFonts w:ascii="Times New Roman" w:cs="Times New Roman" w:eastAsia="Times New Roman" w:hAnsi="Times New Roman"/>
          <w:sz w:val="13"/>
          <w:szCs w:val="13"/>
          <w:color w:val="auto"/>
        </w:rPr>
        <w:t>. No appraisal, dissenters’ or similar rights shall be available to holders of Company Common Stock under applicable Legal Requirement (including Section 262 of the DGCL) in connection with the Merger.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THE COMPANY</w:t>
      </w:r>
    </w:p>
    <w:p>
      <w:pPr>
        <w:spacing w:after="0" w:line="150"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shall not be applicable to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2.2(e)</w:t>
      </w:r>
      <w:r>
        <w:rPr>
          <w:rFonts w:ascii="Times New Roman" w:cs="Times New Roman" w:eastAsia="Times New Roman" w:hAnsi="Times New Roman"/>
          <w:sz w:val="13"/>
          <w:szCs w:val="13"/>
          <w:color w:val="auto"/>
        </w:rPr>
        <w:t xml:space="preserve">), and (ii) subject to </w:t>
      </w:r>
      <w:r>
        <w:rPr>
          <w:rFonts w:ascii="Times New Roman" w:cs="Times New Roman" w:eastAsia="Times New Roman" w:hAnsi="Times New Roman"/>
          <w:sz w:val="13"/>
          <w:szCs w:val="13"/>
          <w:u w:val="single" w:color="auto"/>
          <w:color w:val="auto"/>
        </w:rPr>
        <w:t>Section 7.12</w:t>
      </w:r>
      <w:r>
        <w:rPr>
          <w:rFonts w:ascii="Times New Roman" w:cs="Times New Roman" w:eastAsia="Times New Roman" w:hAnsi="Times New Roman"/>
          <w:sz w:val="13"/>
          <w:szCs w:val="13"/>
          <w:color w:val="auto"/>
        </w:rPr>
        <w:t>, in the disclosure schedule delivered to Parent prior to the execution of this Agreement (the “</w:t>
      </w:r>
      <w:r>
        <w:rPr>
          <w:rFonts w:ascii="Times New Roman" w:cs="Times New Roman" w:eastAsia="Times New Roman" w:hAnsi="Times New Roman"/>
          <w:sz w:val="13"/>
          <w:szCs w:val="13"/>
          <w:u w:val="single" w:color="auto"/>
          <w:color w:val="auto"/>
        </w:rPr>
        <w:t>Company Disclosure Schedule</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2"/>
          <w:szCs w:val="12"/>
          <w:u w:val="single" w:color="auto"/>
          <w:color w:val="auto"/>
        </w:rPr>
        <w:t>Due Organization and Good Standing</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9" w:lineRule="auto"/>
        <w:tabs>
          <w:tab w:leader="none" w:pos="138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w:t>
      </w:r>
    </w:p>
    <w:p>
      <w:pPr>
        <w:spacing w:after="0" w:line="132" w:lineRule="exact"/>
        <w:rPr>
          <w:rFonts w:ascii="Times New Roman" w:cs="Times New Roman" w:eastAsia="Times New Roman" w:hAnsi="Times New Roman"/>
          <w:sz w:val="13"/>
          <w:szCs w:val="13"/>
          <w:color w:val="auto"/>
        </w:rPr>
      </w:pPr>
    </w:p>
    <w:p>
      <w:pPr>
        <w:ind w:firstLine="932"/>
        <w:spacing w:after="0" w:line="278" w:lineRule="auto"/>
        <w:tabs>
          <w:tab w:leader="none" w:pos="135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w:t>
      </w:r>
    </w:p>
    <w:p>
      <w:pPr>
        <w:spacing w:after="0" w:line="121"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9" w:lineRule="auto"/>
        <w:tabs>
          <w:tab w:leader="none" w:pos="1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the Company consists of: (i) 120,000,000 shares of Company Common Stock, of which 39,062,676 were issued and outstanding as of June 22, 2026 (the “</w:t>
      </w:r>
      <w:r>
        <w:rPr>
          <w:rFonts w:ascii="Times New Roman" w:cs="Times New Roman" w:eastAsia="Times New Roman" w:hAnsi="Times New Roman"/>
          <w:sz w:val="13"/>
          <w:szCs w:val="13"/>
          <w:u w:val="single" w:color="auto"/>
          <w:color w:val="auto"/>
        </w:rPr>
        <w:t>Company Capitalization Date</w:t>
      </w:r>
      <w:r>
        <w:rPr>
          <w:rFonts w:ascii="Times New Roman" w:cs="Times New Roman" w:eastAsia="Times New Roman" w:hAnsi="Times New Roman"/>
          <w:sz w:val="13"/>
          <w:szCs w:val="13"/>
          <w:color w:val="auto"/>
        </w:rPr>
        <w:t>”); and (ii) 10,000,000 shares of preferred stock, par value $0.001 per share, none of which were outstanding as of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jc w:val="both"/>
        <w:ind w:firstLine="932"/>
        <w:spacing w:after="0" w:line="253" w:lineRule="auto"/>
        <w:tabs>
          <w:tab w:leader="none" w:pos="141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Company Capitalization Date: (i) no shares of Company Common Stock were subject to issuance pursuant to any outstanding options to purchase shares of Company Common Stock; (ii) 2,754,967 shares of Company Common Stock were subject to issuance pursuant to outstanding Company RSUs, including 2,399,603 Company RSUs issued under the Company Incentive Plan and 355,364 Company RSUs issued under the Company Inducement Plans, (iii) 180,613 shares of Company Common Stock were subject to issuance pursuant to outstanding Company MSUs, assuming all applicable performance conditions with respect to such Company MSUs are satisfied at target levels (and 471,960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183,353 shares of Company Common Stock were subject to issuance pursuant to outstanding Company PSUs assuming all applicable performance conditions with respect to such Company PSUs are satisfied at target levels (and 352,868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and (viii) no other shares of capital stock or other voting securities of the Company were issued, reserved for issuance or outstanding.</w:t>
      </w:r>
    </w:p>
    <w:p>
      <w:pPr>
        <w:spacing w:after="0" w:line="136" w:lineRule="exact"/>
        <w:rPr>
          <w:rFonts w:ascii="Times New Roman" w:cs="Times New Roman" w:eastAsia="Times New Roman" w:hAnsi="Times New Roman"/>
          <w:sz w:val="13"/>
          <w:szCs w:val="13"/>
          <w:color w:val="auto"/>
        </w:rPr>
      </w:pPr>
    </w:p>
    <w:p>
      <w:pPr>
        <w:jc w:val="both"/>
        <w:ind w:firstLine="932"/>
        <w:spacing w:after="0" w:line="254" w:lineRule="auto"/>
        <w:tabs>
          <w:tab w:leader="none" w:pos="145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w:t>
      </w:r>
    </w:p>
    <w:p>
      <w:pPr>
        <w:spacing w:after="0" w:line="137" w:lineRule="exact"/>
        <w:rPr>
          <w:rFonts w:ascii="Times New Roman" w:cs="Times New Roman" w:eastAsia="Times New Roman" w:hAnsi="Times New Roman"/>
          <w:sz w:val="13"/>
          <w:szCs w:val="13"/>
          <w:color w:val="auto"/>
        </w:rPr>
      </w:pPr>
    </w:p>
    <w:p>
      <w:pPr>
        <w:jc w:val="both"/>
        <w:ind w:firstLine="932"/>
        <w:spacing w:after="0" w:line="255" w:lineRule="auto"/>
        <w:tabs>
          <w:tab w:leader="none" w:pos="138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and other than the Company Convertible Notes and the Company Convertible Note Hedge Obligations,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spacing w:after="0" w:line="136" w:lineRule="exact"/>
        <w:rPr>
          <w:rFonts w:ascii="Times New Roman" w:cs="Times New Roman" w:eastAsia="Times New Roman" w:hAnsi="Times New Roman"/>
          <w:sz w:val="13"/>
          <w:szCs w:val="13"/>
          <w:color w:val="auto"/>
        </w:rPr>
      </w:pPr>
    </w:p>
    <w:p>
      <w:pPr>
        <w:jc w:val="both"/>
        <w:ind w:firstLine="932"/>
        <w:spacing w:after="0" w:line="259" w:lineRule="auto"/>
        <w:tabs>
          <w:tab w:leader="none" w:pos="140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3" w:lineRule="auto"/>
        <w:tabs>
          <w:tab w:leader="none" w:pos="1343"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t>
      </w:r>
      <w:r>
        <w:rPr>
          <w:rFonts w:ascii="Times New Roman" w:cs="Times New Roman" w:eastAsia="Times New Roman" w:hAnsi="Times New Roman"/>
          <w:sz w:val="13"/>
          <w:szCs w:val="13"/>
          <w:u w:val="single" w:color="auto"/>
          <w:color w:val="auto"/>
        </w:rPr>
        <w:t>Significant Company Subsidiary</w:t>
      </w:r>
      <w:r>
        <w:rPr>
          <w:rFonts w:ascii="Times New Roman" w:cs="Times New Roman" w:eastAsia="Times New Roman" w:hAnsi="Times New Roman"/>
          <w:sz w:val="13"/>
          <w:szCs w:val="13"/>
          <w:color w:val="auto"/>
        </w:rPr>
        <w:t xml:space="preserve">” shall mean those Company Subsidiaries set forth on Exhibit 21 of the Most Recent Company 10-K and any Subsidiary that is material to the Company.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5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w:t>
      </w:r>
    </w:p>
    <w:p>
      <w:pPr>
        <w:spacing w:after="0" w:line="129" w:lineRule="exact"/>
        <w:rPr>
          <w:rFonts w:ascii="Times New Roman" w:cs="Times New Roman" w:eastAsia="Times New Roman" w:hAnsi="Times New Roman"/>
          <w:sz w:val="13"/>
          <w:szCs w:val="13"/>
          <w:color w:val="auto"/>
        </w:rPr>
      </w:pPr>
    </w:p>
    <w:p>
      <w:pPr>
        <w:jc w:val="both"/>
        <w:ind w:firstLine="932"/>
        <w:spacing w:after="0" w:line="254" w:lineRule="auto"/>
        <w:tabs>
          <w:tab w:leader="none" w:pos="1442"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5" w:name="page26"/>
    <w:bookmarkEnd w:id="25"/>
    <w:p>
      <w:pPr>
        <w:jc w:val="both"/>
        <w:ind w:firstLine="467"/>
        <w:spacing w:after="0" w:line="275" w:lineRule="auto"/>
        <w:rPr>
          <w:sz w:val="20"/>
          <w:szCs w:val="20"/>
          <w:color w:val="auto"/>
        </w:rPr>
      </w:pPr>
      <w:r>
        <w:rPr>
          <w:rFonts w:ascii="Times New Roman" w:cs="Times New Roman" w:eastAsia="Times New Roman" w:hAnsi="Times New Roman"/>
          <w:sz w:val="12"/>
          <w:szCs w:val="12"/>
          <w:color w:val="auto"/>
        </w:rPr>
        <w:t xml:space="preserve">2.4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 w:cs="Times New Roman" w:eastAsia="Times New Roman" w:hAnsi="Times New Roman"/>
          <w:sz w:val="12"/>
          <w:szCs w:val="12"/>
          <w:u w:val="single" w:color="auto"/>
          <w:color w:val="auto"/>
        </w:rPr>
        <w:t>Company Board Recommendation</w:t>
      </w:r>
      <w:r>
        <w:rPr>
          <w:rFonts w:ascii="Times New Roman" w:cs="Times New Roman" w:eastAsia="Times New Roman" w:hAnsi="Times New Roman"/>
          <w:sz w:val="12"/>
          <w:szCs w:val="12"/>
          <w:color w:val="auto"/>
        </w:rPr>
        <w:t xml:space="preserve">”), and resolved to include the Company Board Recommendation in the Proxy Statement/Prospectus, subject to </w:t>
      </w:r>
      <w:r>
        <w:rPr>
          <w:rFonts w:ascii="Times New Roman" w:cs="Times New Roman" w:eastAsia="Times New Roman" w:hAnsi="Times New Roman"/>
          <w:sz w:val="12"/>
          <w:szCs w:val="12"/>
          <w:u w:val="single" w:color="auto"/>
          <w:color w:val="auto"/>
        </w:rPr>
        <w:t>Sections 4.3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4.5</w:t>
      </w:r>
      <w:r>
        <w:rPr>
          <w:rFonts w:ascii="Times New Roman" w:cs="Times New Roman" w:eastAsia="Times New Roman" w:hAnsi="Times New Roman"/>
          <w:sz w:val="12"/>
          <w:szCs w:val="12"/>
          <w:color w:val="auto"/>
        </w:rPr>
        <w:t>.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w:t>
      </w:r>
    </w:p>
    <w:p>
      <w:pPr>
        <w:spacing w:after="0" w:line="128"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 w:cs="Times New Roman" w:eastAsia="Times New Roman" w:hAnsi="Times New Roman"/>
          <w:sz w:val="13"/>
          <w:szCs w:val="13"/>
          <w:u w:val="single" w:color="auto"/>
          <w:color w:val="auto"/>
        </w:rPr>
        <w:t>Required Company Stockholder Vote</w:t>
      </w:r>
      <w:r>
        <w:rPr>
          <w:rFonts w:ascii="Times New Roman" w:cs="Times New Roman" w:eastAsia="Times New Roman" w:hAnsi="Times New Roman"/>
          <w:sz w:val="13"/>
          <w:szCs w:val="13"/>
          <w:color w:val="auto"/>
        </w:rPr>
        <w:t>”)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2"/>
          <w:szCs w:val="12"/>
          <w:u w:val="single" w:color="auto"/>
          <w:color w:val="auto"/>
        </w:rPr>
        <w:t>Non-Contravention; Consents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1340" w:hanging="408"/>
        <w:spacing w:after="0"/>
        <w:tabs>
          <w:tab w:leader="none" w:pos="13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Agreement by the Company and, assuming receipt of the Required Company Stockholder Vote, the consummation by the Company of the Merger will not:</w:t>
      </w:r>
    </w:p>
    <w:p>
      <w:pPr>
        <w:spacing w:after="0" w:line="161" w:lineRule="exact"/>
        <w:rPr>
          <w:rFonts w:ascii="Times New Roman" w:cs="Times New Roman" w:eastAsia="Times New Roman" w:hAnsi="Times New Roman"/>
          <w:sz w:val="13"/>
          <w:szCs w:val="13"/>
          <w:color w:val="auto"/>
        </w:rPr>
      </w:pPr>
    </w:p>
    <w:p>
      <w:pPr>
        <w:ind w:left="1880" w:hanging="482"/>
        <w:spacing w:after="0"/>
        <w:tabs>
          <w:tab w:leader="none" w:pos="188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 violation of any of the provisions of the Organizational Documents of the Company or any Significant Company Subsidiary;</w:t>
      </w:r>
    </w:p>
    <w:p>
      <w:pPr>
        <w:spacing w:after="0" w:line="161" w:lineRule="exact"/>
        <w:rPr>
          <w:rFonts w:ascii="Times New Roman" w:cs="Times New Roman" w:eastAsia="Times New Roman" w:hAnsi="Times New Roman"/>
          <w:sz w:val="13"/>
          <w:szCs w:val="13"/>
          <w:color w:val="auto"/>
        </w:rPr>
      </w:pPr>
    </w:p>
    <w:p>
      <w:pPr>
        <w:ind w:left="460" w:firstLine="938"/>
        <w:spacing w:after="0" w:line="278" w:lineRule="auto"/>
        <w:tabs>
          <w:tab w:leader="none" w:pos="1831"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assuming the consents and filings referred to in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spacing w:after="0" w:line="120" w:lineRule="exact"/>
        <w:rPr>
          <w:rFonts w:ascii="Times New Roman" w:cs="Times New Roman" w:eastAsia="Times New Roman" w:hAnsi="Times New Roman"/>
          <w:sz w:val="13"/>
          <w:szCs w:val="13"/>
          <w:color w:val="auto"/>
        </w:rPr>
      </w:pPr>
    </w:p>
    <w:p>
      <w:pPr>
        <w:jc w:val="both"/>
        <w:ind w:left="460" w:firstLine="938"/>
        <w:spacing w:after="0" w:line="257" w:lineRule="auto"/>
        <w:tabs>
          <w:tab w:leader="none" w:pos="1902"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except, in the cases of </w:t>
      </w:r>
      <w:r>
        <w:rPr>
          <w:rFonts w:ascii="Times New Roman" w:cs="Times New Roman" w:eastAsia="Times New Roman" w:hAnsi="Times New Roman"/>
          <w:sz w:val="13"/>
          <w:szCs w:val="13"/>
          <w:u w:val="single" w:color="auto"/>
          <w:color w:val="auto"/>
        </w:rPr>
        <w:t>clauses (ii)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as would not have, and would not reasonably be expected to have, individually or in the aggregate, a Company Material Adverse Effect.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jc w:val="both"/>
        <w:ind w:firstLine="932"/>
        <w:spacing w:after="0" w:line="259" w:lineRule="auto"/>
        <w:tabs>
          <w:tab w:leader="none" w:pos="135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2"/>
          <w:szCs w:val="12"/>
          <w:u w:val="single" w:color="auto"/>
          <w:color w:val="auto"/>
        </w:rPr>
        <w:t>Reports; Financial Statements; Internal Controls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2" w:lineRule="auto"/>
        <w:tabs>
          <w:tab w:leader="none" w:pos="150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 w:cs="Times New Roman" w:eastAsia="Times New Roman" w:hAnsi="Times New Roman"/>
          <w:sz w:val="13"/>
          <w:szCs w:val="13"/>
          <w:u w:val="single" w:color="auto"/>
          <w:color w:val="auto"/>
        </w:rPr>
        <w:t>Company SEC Documents</w:t>
      </w:r>
      <w:r>
        <w:rPr>
          <w:rFonts w:ascii="Times New Roman" w:cs="Times New Roman" w:eastAsia="Times New Roman" w:hAnsi="Times New Roman"/>
          <w:sz w:val="13"/>
          <w:szCs w:val="13"/>
          <w:color w:val="auto"/>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w:t>
      </w:r>
    </w:p>
    <w:p>
      <w:pPr>
        <w:spacing w:after="0" w:line="138" w:lineRule="exact"/>
        <w:rPr>
          <w:rFonts w:ascii="Times New Roman" w:cs="Times New Roman" w:eastAsia="Times New Roman" w:hAnsi="Times New Roman"/>
          <w:sz w:val="13"/>
          <w:szCs w:val="13"/>
          <w:color w:val="auto"/>
        </w:rPr>
      </w:pPr>
    </w:p>
    <w:p>
      <w:pPr>
        <w:jc w:val="both"/>
        <w:ind w:firstLine="932"/>
        <w:spacing w:after="0" w:line="254" w:lineRule="auto"/>
        <w:tabs>
          <w:tab w:leader="none" w:pos="138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jc w:val="both"/>
        <w:ind w:firstLine="932"/>
        <w:spacing w:after="0" w:line="253" w:lineRule="auto"/>
        <w:tabs>
          <w:tab w:leader="none" w:pos="14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w:t>
      </w:r>
    </w:p>
    <w:p>
      <w:pPr>
        <w:spacing w:after="0" w:line="137" w:lineRule="exact"/>
        <w:rPr>
          <w:rFonts w:ascii="Times New Roman" w:cs="Times New Roman" w:eastAsia="Times New Roman" w:hAnsi="Times New Roman"/>
          <w:sz w:val="13"/>
          <w:szCs w:val="13"/>
          <w:color w:val="auto"/>
        </w:rPr>
      </w:pPr>
    </w:p>
    <w:p>
      <w:pPr>
        <w:jc w:val="both"/>
        <w:ind w:right="20" w:firstLine="932"/>
        <w:spacing w:after="0" w:line="255" w:lineRule="auto"/>
        <w:tabs>
          <w:tab w:leader="none" w:pos="14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w:t>
      </w:r>
    </w:p>
    <w:p>
      <w:pPr>
        <w:spacing w:after="0" w:line="136" w:lineRule="exact"/>
        <w:rPr>
          <w:rFonts w:ascii="Times New Roman" w:cs="Times New Roman" w:eastAsia="Times New Roman" w:hAnsi="Times New Roman"/>
          <w:sz w:val="13"/>
          <w:szCs w:val="13"/>
          <w:color w:val="auto"/>
        </w:rPr>
      </w:pPr>
    </w:p>
    <w:p>
      <w:pPr>
        <w:ind w:right="20" w:firstLine="932"/>
        <w:spacing w:after="0" w:line="278" w:lineRule="auto"/>
        <w:tabs>
          <w:tab w:leader="none" w:pos="143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disclosure controls as required by Rule 13a-15 or 15d-15 under the Exchange Act. As of the date hereof, the Company is in compliance with all current listing requirements of the Nasdaq Global Select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except as would not have, and would not reasonably be expected to have, individually or in the aggregate, a Company Material Adverse Effect.</w:t>
      </w:r>
    </w:p>
    <w:p>
      <w:pPr>
        <w:spacing w:after="0" w:line="120" w:lineRule="exact"/>
        <w:rPr>
          <w:rFonts w:ascii="Times New Roman" w:cs="Times New Roman" w:eastAsia="Times New Roman" w:hAnsi="Times New Roman"/>
          <w:sz w:val="13"/>
          <w:szCs w:val="13"/>
          <w:color w:val="auto"/>
        </w:rPr>
      </w:pPr>
    </w:p>
    <w:p>
      <w:pPr>
        <w:ind w:right="20" w:firstLine="932"/>
        <w:spacing w:after="0" w:line="278" w:lineRule="auto"/>
        <w:tabs>
          <w:tab w:leader="none" w:pos="146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a party to, or has a commitment to effect, enter into or create, any “off-balance sheet arrangement” (as defined in Item 303(b) of Regulation S-K under the Exchange Act).</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57" w:lineRule="auto"/>
        <w:tabs>
          <w:tab w:leader="none" w:pos="141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8" w:name="page29"/>
    <w:bookmarkEnd w:id="28"/>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2"/>
          <w:szCs w:val="12"/>
          <w:u w:val="single" w:color="auto"/>
          <w:color w:val="auto"/>
        </w:rPr>
        <w:t>Absence of Certain Changes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0" w:firstLine="932"/>
        <w:spacing w:after="0" w:line="278" w:lineRule="auto"/>
        <w:tabs>
          <w:tab w:leader="none" w:pos="150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of the Most Recent Company Balance Sheet through the date of this Agreement, there has not been any Effect that has had, or would reasonably be expected to have, individually or in the aggregate, a Company Material Adverse Effect.</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57" w:lineRule="auto"/>
        <w:tabs>
          <w:tab w:leader="none" w:pos="141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 w:cs="Times New Roman" w:eastAsia="Times New Roman" w:hAnsi="Times New Roman"/>
          <w:sz w:val="13"/>
          <w:szCs w:val="13"/>
          <w:u w:val="single" w:color="auto"/>
          <w:color w:val="auto"/>
        </w:rPr>
        <w:t>Section 4.2(a)(i)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Amendments to Organizational Documents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Liquidations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Share Splits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Dividends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Issuances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Asset Sales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Debt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(xviii)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Tax Elections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(xxi)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Affiliate Transactions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(xxii)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 Expenditures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(xxiii)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Settlement of Litigation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(xxiv)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Commencement of Litigation</w:t>
      </w:r>
      <w:r>
        <w:rPr>
          <w:rFonts w:ascii="Times New Roman" w:cs="Times New Roman" w:eastAsia="Times New Roman" w:hAnsi="Times New Roman"/>
          <w:sz w:val="13"/>
          <w:szCs w:val="13"/>
          <w:color w:val="auto"/>
        </w:rPr>
        <w:t xml:space="preserve">), or, as it relates to any of the foregoing clauses, </w:t>
      </w:r>
      <w:r>
        <w:rPr>
          <w:rFonts w:ascii="Times New Roman" w:cs="Times New Roman" w:eastAsia="Times New Roman" w:hAnsi="Times New Roman"/>
          <w:sz w:val="13"/>
          <w:szCs w:val="13"/>
          <w:u w:val="single" w:color="auto"/>
          <w:color w:val="auto"/>
        </w:rPr>
        <w:t>(xxix)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Restricted Actions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2"/>
          <w:szCs w:val="12"/>
          <w:u w:val="single" w:color="auto"/>
          <w:color w:val="auto"/>
        </w:rPr>
        <w:t>Intellectual Property and Related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64" w:lineRule="auto"/>
        <w:tabs>
          <w:tab w:leader="none" w:pos="1452"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 Company IP that is Registered IP (“</w:t>
      </w:r>
      <w:r>
        <w:rPr>
          <w:rFonts w:ascii="Times New Roman" w:cs="Times New Roman" w:eastAsia="Times New Roman" w:hAnsi="Times New Roman"/>
          <w:sz w:val="13"/>
          <w:szCs w:val="13"/>
          <w:u w:val="single" w:color="auto"/>
          <w:color w:val="auto"/>
        </w:rPr>
        <w:t>Company Registered IP</w:t>
      </w:r>
      <w:r>
        <w:rPr>
          <w:rFonts w:ascii="Times New Roman" w:cs="Times New Roman" w:eastAsia="Times New Roman" w:hAnsi="Times New Roman"/>
          <w:sz w:val="13"/>
          <w:szCs w:val="13"/>
          <w:color w:val="auto"/>
        </w:rPr>
        <w:t>”) (other than applications for Patents, Marks or Copyrights pending as of the date hereof), including all Company Registered IP that is currently being asserted in any infringement proceedings, is subsisting and, to the knowledge of the Company, valid and enforceable.</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37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55" w:lineRule="auto"/>
        <w:tabs>
          <w:tab w:leader="none" w:pos="139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w:t>
      </w:r>
    </w:p>
    <w:p>
      <w:pPr>
        <w:spacing w:after="0" w:line="136" w:lineRule="exact"/>
        <w:rPr>
          <w:rFonts w:ascii="Times New Roman" w:cs="Times New Roman" w:eastAsia="Times New Roman" w:hAnsi="Times New Roman"/>
          <w:sz w:val="13"/>
          <w:szCs w:val="13"/>
          <w:color w:val="auto"/>
        </w:rPr>
      </w:pPr>
    </w:p>
    <w:p>
      <w:pPr>
        <w:jc w:val="both"/>
        <w:ind w:firstLine="932"/>
        <w:spacing w:after="0" w:line="264" w:lineRule="auto"/>
        <w:tabs>
          <w:tab w:leader="none" w:pos="143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9" w:name="page30"/>
    <w:bookmarkEnd w:id="29"/>
    <w:p>
      <w:pPr>
        <w:jc w:val="both"/>
        <w:ind w:left="2" w:firstLine="932"/>
        <w:spacing w:after="0" w:line="253" w:lineRule="auto"/>
        <w:tabs>
          <w:tab w:leader="none" w:pos="1479"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w:t>
      </w:r>
    </w:p>
    <w:p>
      <w:pPr>
        <w:spacing w:after="0" w:line="2" w:lineRule="exact"/>
        <w:rPr>
          <w:rFonts w:ascii="Times New Roman" w:cs="Times New Roman" w:eastAsia="Times New Roman" w:hAnsi="Times New Roman"/>
          <w:sz w:val="13"/>
          <w:szCs w:val="13"/>
          <w:color w:val="auto"/>
        </w:rPr>
      </w:pPr>
    </w:p>
    <w:p>
      <w:pPr>
        <w:jc w:val="both"/>
        <w:ind w:left="2" w:right="20" w:hanging="2"/>
        <w:spacing w:after="0" w:line="254" w:lineRule="auto"/>
        <w:tabs>
          <w:tab w:leader="none" w:pos="23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w:t>
      </w:r>
    </w:p>
    <w:p>
      <w:pPr>
        <w:spacing w:after="0" w:line="135" w:lineRule="exact"/>
        <w:rPr>
          <w:rFonts w:ascii="Times New Roman" w:cs="Times New Roman" w:eastAsia="Times New Roman" w:hAnsi="Times New Roman"/>
          <w:sz w:val="13"/>
          <w:szCs w:val="13"/>
          <w:color w:val="auto"/>
        </w:rPr>
      </w:pPr>
    </w:p>
    <w:p>
      <w:pPr>
        <w:jc w:val="both"/>
        <w:ind w:left="2" w:right="20" w:firstLine="932"/>
        <w:spacing w:after="0" w:line="257" w:lineRule="auto"/>
        <w:tabs>
          <w:tab w:leader="none" w:pos="1453"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w:t>
      </w:r>
    </w:p>
    <w:p>
      <w:pPr>
        <w:spacing w:after="0" w:line="133" w:lineRule="exact"/>
        <w:rPr>
          <w:rFonts w:ascii="Times New Roman" w:cs="Times New Roman" w:eastAsia="Times New Roman" w:hAnsi="Times New Roman"/>
          <w:sz w:val="13"/>
          <w:szCs w:val="13"/>
          <w:color w:val="auto"/>
        </w:rPr>
      </w:pPr>
    </w:p>
    <w:p>
      <w:pPr>
        <w:jc w:val="both"/>
        <w:ind w:left="2" w:right="20" w:firstLine="932"/>
        <w:spacing w:after="0" w:line="264" w:lineRule="auto"/>
        <w:tabs>
          <w:tab w:leader="none" w:pos="143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w:t>
      </w:r>
    </w:p>
    <w:p>
      <w:pPr>
        <w:spacing w:after="0" w:line="129" w:lineRule="exact"/>
        <w:rPr>
          <w:rFonts w:ascii="Times New Roman" w:cs="Times New Roman" w:eastAsia="Times New Roman" w:hAnsi="Times New Roman"/>
          <w:sz w:val="13"/>
          <w:szCs w:val="13"/>
          <w:color w:val="auto"/>
        </w:rPr>
      </w:pPr>
    </w:p>
    <w:p>
      <w:pPr>
        <w:ind w:left="2" w:right="20" w:firstLine="932"/>
        <w:spacing w:after="0" w:line="278" w:lineRule="auto"/>
        <w:tabs>
          <w:tab w:leader="none" w:pos="1495"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w:t>
      </w:r>
    </w:p>
    <w:p>
      <w:pPr>
        <w:spacing w:after="0" w:line="120" w:lineRule="exact"/>
        <w:rPr>
          <w:rFonts w:ascii="Times New Roman" w:cs="Times New Roman" w:eastAsia="Times New Roman" w:hAnsi="Times New Roman"/>
          <w:sz w:val="13"/>
          <w:szCs w:val="13"/>
          <w:color w:val="auto"/>
        </w:rPr>
      </w:pPr>
    </w:p>
    <w:p>
      <w:pPr>
        <w:jc w:val="both"/>
        <w:ind w:left="2" w:right="20" w:firstLine="932"/>
        <w:spacing w:after="0" w:line="257" w:lineRule="auto"/>
        <w:tabs>
          <w:tab w:leader="none" w:pos="1353"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w:t>
      </w:r>
    </w:p>
    <w:p>
      <w:pPr>
        <w:spacing w:after="0" w:line="2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30" w:name="page31"/>
    <w:bookmarkEnd w:id="30"/>
    <w:p>
      <w:pPr>
        <w:jc w:val="both"/>
        <w:ind w:right="20" w:firstLine="932"/>
        <w:spacing w:after="0" w:line="257" w:lineRule="auto"/>
        <w:tabs>
          <w:tab w:leader="none" w:pos="138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w:t>
      </w:r>
    </w:p>
    <w:p>
      <w:pPr>
        <w:spacing w:after="0" w:line="133" w:lineRule="exact"/>
        <w:rPr>
          <w:rFonts w:ascii="Times New Roman" w:cs="Times New Roman" w:eastAsia="Times New Roman" w:hAnsi="Times New Roman"/>
          <w:sz w:val="13"/>
          <w:szCs w:val="13"/>
          <w:color w:val="auto"/>
        </w:rPr>
      </w:pPr>
    </w:p>
    <w:p>
      <w:pPr>
        <w:jc w:val="both"/>
        <w:ind w:firstLine="932"/>
        <w:spacing w:after="0" w:line="257" w:lineRule="auto"/>
        <w:tabs>
          <w:tab w:leader="none" w:pos="143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IT Systems or any customer’s computer and communications facilities or equipment (“</w:t>
      </w:r>
      <w:r>
        <w:rPr>
          <w:rFonts w:ascii="Times New Roman" w:cs="Times New Roman" w:eastAsia="Times New Roman" w:hAnsi="Times New Roman"/>
          <w:sz w:val="13"/>
          <w:szCs w:val="13"/>
          <w:u w:val="single" w:color="auto"/>
          <w:color w:val="auto"/>
        </w:rPr>
        <w:t>Harmful Code</w:t>
      </w:r>
      <w:r>
        <w:rPr>
          <w:rFonts w:ascii="Times New Roman" w:cs="Times New Roman" w:eastAsia="Times New Roman" w:hAnsi="Times New Roman"/>
          <w:sz w:val="13"/>
          <w:szCs w:val="13"/>
          <w:color w:val="auto"/>
        </w:rPr>
        <w:t>”), and (y) the Company and the Company Subsidiaries use and have used reasonable efforts to prevent the introduction of such Harmful Code to all Software, firmware and media distributed or sold by the Company and the Company Subsidiaries.</w:t>
      </w:r>
    </w:p>
    <w:p>
      <w:pPr>
        <w:spacing w:after="0" w:line="133" w:lineRule="exact"/>
        <w:rPr>
          <w:rFonts w:ascii="Times New Roman" w:cs="Times New Roman" w:eastAsia="Times New Roman" w:hAnsi="Times New Roman"/>
          <w:sz w:val="13"/>
          <w:szCs w:val="13"/>
          <w:color w:val="auto"/>
        </w:rPr>
      </w:pPr>
    </w:p>
    <w:p>
      <w:pPr>
        <w:ind w:right="20" w:firstLine="932"/>
        <w:spacing w:after="0" w:line="278" w:lineRule="auto"/>
        <w:tabs>
          <w:tab w:leader="none" w:pos="139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w:t>
      </w:r>
    </w:p>
    <w:p>
      <w:pPr>
        <w:spacing w:after="0" w:line="120" w:lineRule="exact"/>
        <w:rPr>
          <w:rFonts w:ascii="Times New Roman" w:cs="Times New Roman" w:eastAsia="Times New Roman" w:hAnsi="Times New Roman"/>
          <w:sz w:val="13"/>
          <w:szCs w:val="13"/>
          <w:color w:val="auto"/>
        </w:rPr>
      </w:pPr>
    </w:p>
    <w:p>
      <w:pPr>
        <w:jc w:val="both"/>
        <w:ind w:firstLine="932"/>
        <w:spacing w:after="0" w:line="253" w:lineRule="auto"/>
        <w:tabs>
          <w:tab w:leader="none" w:pos="135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of Company Subsidiaries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1" w:name="page32"/>
    <w:bookmarkEnd w:id="31"/>
    <w:p>
      <w:pPr>
        <w:jc w:val="both"/>
        <w:ind w:firstLine="932"/>
        <w:spacing w:after="0" w:line="253" w:lineRule="auto"/>
        <w:tabs>
          <w:tab w:leader="none" w:pos="138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 w:cs="Times New Roman" w:eastAsia="Times New Roman" w:hAnsi="Times New Roman"/>
          <w:sz w:val="13"/>
          <w:szCs w:val="13"/>
          <w:u w:val="single" w:color="auto"/>
          <w:color w:val="auto"/>
        </w:rPr>
        <w:t>IT Systems</w:t>
      </w:r>
      <w:r>
        <w:rPr>
          <w:rFonts w:ascii="Times New Roman" w:cs="Times New Roman" w:eastAsia="Times New Roman" w:hAnsi="Times New Roman"/>
          <w:sz w:val="13"/>
          <w:szCs w:val="13"/>
          <w:color w:val="auto"/>
        </w:rPr>
        <w:t>”) are designed, implemented, operated and maintained in accordance with customary industry standards and practices for entities operating businesses similar to the business of the Company and the Company Subsidiaries, including with the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their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their IT Systems, and (iii) there has been no failure, breakdown, loss or impairment of, or any unauthorized intrusions or breaches of the security with respect to the IT Systems used by the Company and any Company Subsidiaries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w:t>
      </w:r>
    </w:p>
    <w:p>
      <w:pPr>
        <w:spacing w:after="0" w:line="136"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2.10</w:t>
      </w:r>
      <w:r>
        <w:rPr>
          <w:sz w:val="20"/>
          <w:szCs w:val="20"/>
          <w:color w:val="auto"/>
        </w:rPr>
        <w:tab/>
      </w:r>
      <w:r>
        <w:rPr>
          <w:rFonts w:ascii="Times New Roman" w:cs="Times New Roman" w:eastAsia="Times New Roman" w:hAnsi="Times New Roman"/>
          <w:sz w:val="12"/>
          <w:szCs w:val="12"/>
          <w:u w:val="single" w:color="auto"/>
          <w:color w:val="auto"/>
        </w:rPr>
        <w:t>Title to Assets; Real Property</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64" w:lineRule="auto"/>
        <w:tabs>
          <w:tab w:leader="none" w:pos="135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w:t>
      </w:r>
    </w:p>
    <w:p>
      <w:pPr>
        <w:spacing w:after="0" w:line="129"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owns any real property.</w:t>
      </w:r>
    </w:p>
    <w:p>
      <w:pPr>
        <w:spacing w:after="0" w:line="161" w:lineRule="exact"/>
        <w:rPr>
          <w:rFonts w:ascii="Times New Roman" w:cs="Times New Roman" w:eastAsia="Times New Roman" w:hAnsi="Times New Roman"/>
          <w:sz w:val="13"/>
          <w:szCs w:val="13"/>
          <w:color w:val="auto"/>
        </w:rPr>
      </w:pPr>
    </w:p>
    <w:p>
      <w:pPr>
        <w:jc w:val="both"/>
        <w:ind w:firstLine="932"/>
        <w:spacing w:after="0" w:line="253" w:lineRule="auto"/>
        <w:tabs>
          <w:tab w:leader="none" w:pos="141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2.10(c)</w:t>
      </w:r>
      <w:r>
        <w:rPr>
          <w:rFonts w:ascii="Times New Roman" w:cs="Times New Roman" w:eastAsia="Times New Roman" w:hAnsi="Times New Roman"/>
          <w:sz w:val="13"/>
          <w:szCs w:val="13"/>
          <w:color w:val="auto"/>
        </w:rPr>
        <w:t xml:space="preserve"> of the Company Disclosure Schedule contains a list as of the date of this Agreement of each material lease, sublease, license, or other material use or occupancy agreement (collectively, the “</w:t>
      </w:r>
      <w:r>
        <w:rPr>
          <w:rFonts w:ascii="Times New Roman" w:cs="Times New Roman" w:eastAsia="Times New Roman" w:hAnsi="Times New Roman"/>
          <w:sz w:val="13"/>
          <w:szCs w:val="13"/>
          <w:u w:val="single" w:color="auto"/>
          <w:color w:val="auto"/>
        </w:rPr>
        <w:t>Real Property Leases</w:t>
      </w:r>
      <w:r>
        <w:rPr>
          <w:rFonts w:ascii="Times New Roman" w:cs="Times New Roman" w:eastAsia="Times New Roman" w:hAnsi="Times New Roman"/>
          <w:sz w:val="13"/>
          <w:szCs w:val="13"/>
          <w:color w:val="auto"/>
        </w:rPr>
        <w:t>”) under which the Company or any Company Subsidiary uses or occupies or has the right to use or occupy any real property (collectively, the “</w:t>
      </w:r>
      <w:r>
        <w:rPr>
          <w:rFonts w:ascii="Times New Roman" w:cs="Times New Roman" w:eastAsia="Times New Roman" w:hAnsi="Times New Roman"/>
          <w:sz w:val="13"/>
          <w:szCs w:val="13"/>
          <w:u w:val="single" w:color="auto"/>
          <w:color w:val="auto"/>
        </w:rPr>
        <w:t>Leased Real Property</w:t>
      </w:r>
      <w:r>
        <w:rPr>
          <w:rFonts w:ascii="Times New Roman" w:cs="Times New Roman" w:eastAsia="Times New Roman" w:hAnsi="Times New Roman"/>
          <w:sz w:val="13"/>
          <w:szCs w:val="13"/>
          <w:color w:val="auto"/>
        </w:rPr>
        <w:t>”), and the location of each Leased Real Property. The Company has made available to Parent, in all material respects, complete copies of each Real Property Lease, including any amendments, modifications, supplements or guarantees thereof. Except as would not have, and would not reasonably be expected to have, individually or in the aggregate, a Company Material Adverse Effect, with respect to each Leased Real Property (i) either the Company or a Company Subsidiary has a good, valid and binding leasehold interest in such Leased Real Property, free and clear of all Liens (other than Company Permitted Encumbrances), (ii) the Real Property Lease for such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Leased Real Property, is in breach or default of any provision of such Real Property Lease nor has any event occurred which, with notice or the passage of time, or both, would give rise to such a default or breach.</w:t>
      </w:r>
    </w:p>
    <w:p>
      <w:pPr>
        <w:spacing w:after="0" w:line="139" w:lineRule="exact"/>
        <w:rPr>
          <w:rFonts w:ascii="Times New Roman" w:cs="Times New Roman" w:eastAsia="Times New Roman" w:hAnsi="Times New Roman"/>
          <w:sz w:val="13"/>
          <w:szCs w:val="13"/>
          <w:color w:val="auto"/>
        </w:rPr>
      </w:pPr>
    </w:p>
    <w:p>
      <w:pPr>
        <w:ind w:right="20" w:firstLine="932"/>
        <w:spacing w:after="0" w:line="278" w:lineRule="auto"/>
        <w:tabs>
          <w:tab w:leader="none" w:pos="143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Leased Real Property.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2" w:name="page33"/>
    <w:bookmarkEnd w:id="32"/>
    <w:p>
      <w:pPr>
        <w:jc w:val="both"/>
        <w:ind w:firstLine="932"/>
        <w:spacing w:after="0" w:line="264" w:lineRule="auto"/>
        <w:tabs>
          <w:tab w:leader="none" w:pos="14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Leased Real Property, or (ii) zoning, building code or other moratorium proceedings, or similar matters which would reasonably be expected to materially and adversely affect the ability to operate any Leased Real Property as currently operated.</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39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there are no ongoing or planned alterations, renovations, additions or improvements with respect to the Leased Real Property by the Company or a Company Subsidiary.</w:t>
      </w:r>
    </w:p>
    <w:p>
      <w:pPr>
        <w:spacing w:after="0" w:line="121" w:lineRule="exact"/>
        <w:rPr>
          <w:sz w:val="20"/>
          <w:szCs w:val="20"/>
          <w:color w:val="auto"/>
        </w:rPr>
      </w:pPr>
    </w:p>
    <w:p>
      <w:pPr>
        <w:jc w:val="both"/>
        <w:ind w:right="20" w:firstLine="467"/>
        <w:spacing w:after="0" w:line="259" w:lineRule="auto"/>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Contracts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2.11</w:t>
      </w:r>
      <w:r>
        <w:rPr>
          <w:rFonts w:ascii="Times New Roman" w:cs="Times New Roman" w:eastAsia="Times New Roman" w:hAnsi="Times New Roman"/>
          <w:sz w:val="13"/>
          <w:szCs w:val="13"/>
          <w:color w:val="auto"/>
        </w:rPr>
        <w:t xml:space="preserve"> of the Company Disclosure Schedule contains a list as of the date of this Agreement of each of the following Contracts (other than Real Property Leases) to which the Company or a Company Subsidiary is a party (each such Contract (x) required to be listed in </w:t>
      </w:r>
      <w:r>
        <w:rPr>
          <w:rFonts w:ascii="Times New Roman" w:cs="Times New Roman" w:eastAsia="Times New Roman" w:hAnsi="Times New Roman"/>
          <w:sz w:val="13"/>
          <w:szCs w:val="13"/>
          <w:u w:val="single" w:color="auto"/>
          <w:color w:val="auto"/>
        </w:rPr>
        <w:t>Section 2.11</w:t>
      </w:r>
      <w:r>
        <w:rPr>
          <w:rFonts w:ascii="Times New Roman" w:cs="Times New Roman" w:eastAsia="Times New Roman" w:hAnsi="Times New Roman"/>
          <w:sz w:val="13"/>
          <w:szCs w:val="13"/>
          <w:color w:val="auto"/>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 w:cs="Times New Roman" w:eastAsia="Times New Roman" w:hAnsi="Times New Roman"/>
          <w:sz w:val="13"/>
          <w:szCs w:val="13"/>
          <w:u w:val="single" w:color="auto"/>
          <w:color w:val="auto"/>
        </w:rPr>
        <w:t>Material Contract</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ind w:right="20" w:firstLine="932"/>
        <w:spacing w:after="0" w:line="259" w:lineRule="auto"/>
        <w:tabs>
          <w:tab w:leader="none" w:pos="140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Contracts with any distributor of the Company or any Company Subsidiary other than Contracts with 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w:t>
      </w:r>
    </w:p>
    <w:p>
      <w:pPr>
        <w:spacing w:after="0" w:line="132"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joint venture agreement, partnership agreement or similar agreement with a third party;</w:t>
      </w:r>
    </w:p>
    <w:p>
      <w:pPr>
        <w:spacing w:after="0" w:line="161" w:lineRule="exact"/>
        <w:rPr>
          <w:rFonts w:ascii="Times New Roman" w:cs="Times New Roman" w:eastAsia="Times New Roman" w:hAnsi="Times New Roman"/>
          <w:sz w:val="13"/>
          <w:szCs w:val="13"/>
          <w:color w:val="auto"/>
        </w:rPr>
      </w:pPr>
    </w:p>
    <w:p>
      <w:pPr>
        <w:jc w:val="both"/>
        <w:ind w:right="20" w:firstLine="932"/>
        <w:spacing w:after="0" w:line="257" w:lineRule="auto"/>
        <w:tabs>
          <w:tab w:leader="none" w:pos="140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w:t>
      </w:r>
    </w:p>
    <w:p>
      <w:pPr>
        <w:spacing w:after="0" w:line="133"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47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 w:name="page34"/>
    <w:bookmarkEnd w:id="33"/>
    <w:p>
      <w:pPr>
        <w:jc w:val="both"/>
        <w:ind w:firstLine="932"/>
        <w:spacing w:after="0" w:line="259" w:lineRule="auto"/>
        <w:tabs>
          <w:tab w:leader="none" w:pos="149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w:t>
      </w:r>
    </w:p>
    <w:p>
      <w:pPr>
        <w:spacing w:after="0" w:line="132" w:lineRule="exact"/>
        <w:rPr>
          <w:rFonts w:ascii="Times New Roman" w:cs="Times New Roman" w:eastAsia="Times New Roman" w:hAnsi="Times New Roman"/>
          <w:sz w:val="13"/>
          <w:szCs w:val="13"/>
          <w:color w:val="auto"/>
        </w:rPr>
      </w:pPr>
    </w:p>
    <w:p>
      <w:pPr>
        <w:jc w:val="both"/>
        <w:ind w:firstLine="932"/>
        <w:spacing w:after="0" w:line="264" w:lineRule="auto"/>
        <w:tabs>
          <w:tab w:leader="none" w:pos="144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w:t>
      </w:r>
    </w:p>
    <w:p>
      <w:pPr>
        <w:spacing w:after="0" w:line="129"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39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w:t>
      </w:r>
    </w:p>
    <w:p>
      <w:pPr>
        <w:spacing w:after="0" w:line="132"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4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with any foundry, or any provider of semiconductor product assembly, testing, and manufacturing services containing any “take or pay” or minimum purchase commitments that have outstanding payment obligations of the Company or a Company Subsidiary in excess of $3,000,000;</w:t>
      </w:r>
    </w:p>
    <w:p>
      <w:pPr>
        <w:spacing w:after="0" w:line="120" w:lineRule="exact"/>
        <w:rPr>
          <w:rFonts w:ascii="Times New Roman" w:cs="Times New Roman" w:eastAsia="Times New Roman" w:hAnsi="Times New Roman"/>
          <w:sz w:val="13"/>
          <w:szCs w:val="13"/>
          <w:color w:val="auto"/>
        </w:rPr>
      </w:pPr>
    </w:p>
    <w:p>
      <w:pPr>
        <w:jc w:val="both"/>
        <w:ind w:firstLine="932"/>
        <w:spacing w:after="0" w:line="253" w:lineRule="auto"/>
        <w:tabs>
          <w:tab w:leader="none" w:pos="1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4" w:name="page35"/>
    <w:bookmarkEnd w:id="34"/>
    <w:p>
      <w:pPr>
        <w:jc w:val="both"/>
        <w:ind w:firstLine="932"/>
        <w:spacing w:after="0" w:line="254" w:lineRule="auto"/>
        <w:tabs>
          <w:tab w:leader="none" w:pos="147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w:t>
      </w:r>
    </w:p>
    <w:p>
      <w:pPr>
        <w:spacing w:after="0" w:line="137" w:lineRule="exact"/>
        <w:rPr>
          <w:rFonts w:ascii="Times New Roman" w:cs="Times New Roman" w:eastAsia="Times New Roman" w:hAnsi="Times New Roman"/>
          <w:sz w:val="13"/>
          <w:szCs w:val="13"/>
          <w:color w:val="auto"/>
        </w:rPr>
      </w:pPr>
    </w:p>
    <w:p>
      <w:pPr>
        <w:ind w:firstLine="932"/>
        <w:spacing w:after="0" w:line="278" w:lineRule="auto"/>
        <w:tabs>
          <w:tab w:leader="none" w:pos="13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written collective bargaining or other labor or works council agreement covering employees of the Company or a Company Subsidiary, excluding any national, sector, industry or similar generally applicable contract or arrangement;</w:t>
      </w:r>
    </w:p>
    <w:p>
      <w:pPr>
        <w:spacing w:after="0" w:line="120" w:lineRule="exact"/>
        <w:rPr>
          <w:rFonts w:ascii="Times New Roman" w:cs="Times New Roman" w:eastAsia="Times New Roman" w:hAnsi="Times New Roman"/>
          <w:sz w:val="13"/>
          <w:szCs w:val="13"/>
          <w:color w:val="auto"/>
        </w:rPr>
      </w:pPr>
    </w:p>
    <w:p>
      <w:pPr>
        <w:jc w:val="both"/>
        <w:ind w:firstLine="932"/>
        <w:spacing w:after="0" w:line="264" w:lineRule="auto"/>
        <w:tabs>
          <w:tab w:leader="none" w:pos="149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Top Customer, Top Supplier or Top Distributor that includes a price protection or rebate provision in favor of the counterparty to such Contract;</w:t>
      </w:r>
    </w:p>
    <w:p>
      <w:pPr>
        <w:spacing w:after="0" w:line="129" w:lineRule="exact"/>
        <w:rPr>
          <w:rFonts w:ascii="Times New Roman" w:cs="Times New Roman" w:eastAsia="Times New Roman" w:hAnsi="Times New Roman"/>
          <w:sz w:val="13"/>
          <w:szCs w:val="13"/>
          <w:color w:val="auto"/>
        </w:rPr>
      </w:pPr>
    </w:p>
    <w:p>
      <w:pPr>
        <w:ind w:firstLine="932"/>
        <w:spacing w:after="0" w:line="278" w:lineRule="auto"/>
        <w:tabs>
          <w:tab w:leader="none" w:pos="1413"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w:t>
      </w:r>
    </w:p>
    <w:p>
      <w:pPr>
        <w:spacing w:after="0" w:line="120" w:lineRule="exact"/>
        <w:rPr>
          <w:rFonts w:ascii="Times New Roman" w:cs="Times New Roman" w:eastAsia="Times New Roman" w:hAnsi="Times New Roman"/>
          <w:sz w:val="13"/>
          <w:szCs w:val="13"/>
          <w:color w:val="auto"/>
        </w:rPr>
      </w:pPr>
    </w:p>
    <w:p>
      <w:pPr>
        <w:jc w:val="both"/>
        <w:ind w:firstLine="932"/>
        <w:spacing w:after="0" w:line="264" w:lineRule="auto"/>
        <w:tabs>
          <w:tab w:leader="none" w:pos="147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with any Top Customer, Top Distributor or Top Supplier of the Company and the Company’s Subsidiaries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w:t>
      </w:r>
    </w:p>
    <w:p>
      <w:pPr>
        <w:spacing w:after="0" w:line="129" w:lineRule="exact"/>
        <w:rPr>
          <w:rFonts w:ascii="Times New Roman" w:cs="Times New Roman" w:eastAsia="Times New Roman" w:hAnsi="Times New Roman"/>
          <w:sz w:val="13"/>
          <w:szCs w:val="13"/>
          <w:color w:val="auto"/>
        </w:rPr>
      </w:pPr>
    </w:p>
    <w:p>
      <w:pPr>
        <w:ind w:left="1380" w:hanging="448"/>
        <w:spacing w:after="0"/>
        <w:tabs>
          <w:tab w:leader="none" w:pos="1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that creates any obligation under any interest rate, currency or commodity derivative or hedging transaction (other than the Company Convertible Note Hedge Obligations);</w:t>
      </w:r>
    </w:p>
    <w:p>
      <w:pPr>
        <w:spacing w:after="0" w:line="161" w:lineRule="exact"/>
        <w:rPr>
          <w:rFonts w:ascii="Times New Roman" w:cs="Times New Roman" w:eastAsia="Times New Roman" w:hAnsi="Times New Roman"/>
          <w:sz w:val="13"/>
          <w:szCs w:val="13"/>
          <w:color w:val="auto"/>
        </w:rPr>
      </w:pPr>
    </w:p>
    <w:p>
      <w:pPr>
        <w:ind w:left="1380" w:hanging="448"/>
        <w:spacing w:after="0"/>
        <w:tabs>
          <w:tab w:leader="none" w:pos="1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with any Governmental Entity; and</w:t>
      </w:r>
    </w:p>
    <w:p>
      <w:pPr>
        <w:spacing w:after="0" w:line="161" w:lineRule="exact"/>
        <w:rPr>
          <w:rFonts w:ascii="Times New Roman" w:cs="Times New Roman" w:eastAsia="Times New Roman" w:hAnsi="Times New Roman"/>
          <w:sz w:val="13"/>
          <w:szCs w:val="13"/>
          <w:color w:val="auto"/>
        </w:rPr>
      </w:pPr>
    </w:p>
    <w:p>
      <w:pPr>
        <w:ind w:firstLine="932"/>
        <w:spacing w:after="0" w:line="278" w:lineRule="auto"/>
        <w:tabs>
          <w:tab w:leader="none" w:pos="137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other Contract not otherwise required to be disclosed under, or not in a category contemplated by, the foregoing clauses of this </w:t>
      </w:r>
      <w:r>
        <w:rPr>
          <w:rFonts w:ascii="Times New Roman" w:cs="Times New Roman" w:eastAsia="Times New Roman" w:hAnsi="Times New Roman"/>
          <w:sz w:val="13"/>
          <w:szCs w:val="13"/>
          <w:u w:val="single" w:color="auto"/>
          <w:color w:val="auto"/>
        </w:rPr>
        <w:t>Section 2.11</w:t>
      </w:r>
      <w:r>
        <w:rPr>
          <w:rFonts w:ascii="Times New Roman" w:cs="Times New Roman" w:eastAsia="Times New Roman" w:hAnsi="Times New Roman"/>
          <w:sz w:val="13"/>
          <w:szCs w:val="13"/>
          <w:color w:val="auto"/>
        </w:rPr>
        <w:t xml:space="preserve"> that contemplates or involves the payment or delivery of cash or other consideration, or the performance of services, by or to the Company or any Company Subsidiary in an amount or having a value in excess of $20,000,000 on an annual basis.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3"/>
          <w:szCs w:val="13"/>
          <w:color w:val="auto"/>
        </w:rPr>
        <w:t>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Material Contract intends to terminate any Material Contract, or (B) of any material dispute related to 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have, and would not reasonably be expected to have, individually or in the aggregate,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Material Contract in effect as of the date of this Agreement, together with all amendments and supplements thereto in effect as of the date of this Agreement.</w:t>
      </w:r>
    </w:p>
    <w:p>
      <w:pPr>
        <w:spacing w:after="0" w:line="141" w:lineRule="exact"/>
        <w:rPr>
          <w:sz w:val="20"/>
          <w:szCs w:val="20"/>
          <w:color w:val="auto"/>
        </w:rPr>
      </w:pPr>
    </w:p>
    <w:p>
      <w:pPr>
        <w:jc w:val="both"/>
        <w:ind w:right="20" w:firstLine="467"/>
        <w:spacing w:after="0" w:line="253" w:lineRule="auto"/>
        <w:rPr>
          <w:sz w:val="20"/>
          <w:szCs w:val="20"/>
          <w:color w:val="auto"/>
        </w:rPr>
      </w:pPr>
      <w:r>
        <w:rPr>
          <w:rFonts w:ascii="Times New Roman" w:cs="Times New Roman" w:eastAsia="Times New Roman" w:hAnsi="Times New Roman"/>
          <w:sz w:val="13"/>
          <w:szCs w:val="13"/>
          <w:color w:val="auto"/>
        </w:rPr>
        <w:t xml:space="preserve">2.12 </w:t>
      </w:r>
      <w:r>
        <w:rPr>
          <w:rFonts w:ascii="Times New Roman" w:cs="Times New Roman" w:eastAsia="Times New Roman" w:hAnsi="Times New Roman"/>
          <w:sz w:val="13"/>
          <w:szCs w:val="13"/>
          <w:u w:val="single" w:color="auto"/>
          <w:color w:val="auto"/>
        </w:rPr>
        <w:t>Company Products and Warranties</w:t>
      </w:r>
      <w:r>
        <w:rPr>
          <w:rFonts w:ascii="Times New Roman" w:cs="Times New Roman" w:eastAsia="Times New Roman" w:hAnsi="Times New Roman"/>
          <w:sz w:val="13"/>
          <w:szCs w:val="13"/>
          <w:color w:val="auto"/>
        </w:rPr>
        <w:t>.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the Company Subsidiaries have received warranty claims in excess of such warranty reserve. Except as would not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w:t>
      </w:r>
    </w:p>
    <w:p>
      <w:pPr>
        <w:spacing w:after="0" w:line="136" w:lineRule="exact"/>
        <w:rPr>
          <w:sz w:val="20"/>
          <w:szCs w:val="20"/>
          <w:color w:val="auto"/>
        </w:rPr>
      </w:pPr>
    </w:p>
    <w:p>
      <w:pPr>
        <w:jc w:val="both"/>
        <w:ind w:right="20" w:firstLine="467"/>
        <w:spacing w:after="0" w:line="257" w:lineRule="auto"/>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Top Customers; Distributors and Suppliers</w:t>
      </w:r>
      <w:r>
        <w:rPr>
          <w:rFonts w:ascii="Times New Roman" w:cs="Times New Roman" w:eastAsia="Times New Roman" w:hAnsi="Times New Roman"/>
          <w:sz w:val="13"/>
          <w:szCs w:val="13"/>
          <w:color w:val="auto"/>
        </w:rPr>
        <w:t>.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Top Customer, Top Distributor or Top Supplier given to or received from any such Top Customer, Top Distributor or Top Supplier; (ii) none of the Company nor any of the Company Subsidiaries has any outstanding dispute with any Top Customer, Top Distributor or Top Supplier, and (iii) no Top Customer, Top Distributor or Top Supplier has notified the Company or any of the Company Subsidiaries in writing that it intends to terminate or change the terms of its business in any respect adverse to the Company or the Company Subsidiaries.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6" w:name="page37"/>
    <w:bookmarkEnd w:id="36"/>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2.14</w:t>
      </w:r>
      <w:r>
        <w:rPr>
          <w:sz w:val="20"/>
          <w:szCs w:val="20"/>
          <w:color w:val="auto"/>
        </w:rPr>
        <w:tab/>
      </w:r>
      <w:r>
        <w:rPr>
          <w:rFonts w:ascii="Times New Roman" w:cs="Times New Roman" w:eastAsia="Times New Roman" w:hAnsi="Times New Roman"/>
          <w:sz w:val="12"/>
          <w:szCs w:val="12"/>
          <w:u w:val="single" w:color="auto"/>
          <w:color w:val="auto"/>
        </w:rPr>
        <w:t>Compliance with Legal Requirements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7" w:lineRule="auto"/>
        <w:tabs>
          <w:tab w:leader="none" w:pos="141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notice or verbal notice from any Governmental Entity regarding any violation by the Company or any Company Subsidiary of any Legal Requirement; or (ii) provided any notice to any Governmental Entity regarding any violation by the Company or any Company Subsidiary of any Legal Requirement.</w:t>
      </w:r>
    </w:p>
    <w:p>
      <w:pPr>
        <w:spacing w:after="0" w:line="133" w:lineRule="exact"/>
        <w:rPr>
          <w:rFonts w:ascii="Times New Roman" w:cs="Times New Roman" w:eastAsia="Times New Roman" w:hAnsi="Times New Roman"/>
          <w:sz w:val="13"/>
          <w:szCs w:val="13"/>
          <w:color w:val="auto"/>
        </w:rPr>
      </w:pPr>
    </w:p>
    <w:p>
      <w:pPr>
        <w:jc w:val="both"/>
        <w:ind w:firstLine="932"/>
        <w:spacing w:after="0" w:line="254" w:lineRule="auto"/>
        <w:tabs>
          <w:tab w:leader="none" w:pos="143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 w:cs="Times New Roman" w:eastAsia="Times New Roman" w:hAnsi="Times New Roman"/>
          <w:sz w:val="13"/>
          <w:szCs w:val="13"/>
          <w:u w:val="single" w:color="auto"/>
          <w:color w:val="auto"/>
        </w:rPr>
        <w:t>Company Permits</w:t>
      </w:r>
      <w:r>
        <w:rPr>
          <w:rFonts w:ascii="Times New Roman" w:cs="Times New Roman" w:eastAsia="Times New Roman" w:hAnsi="Times New Roman"/>
          <w:sz w:val="13"/>
          <w:szCs w:val="13"/>
          <w:color w:val="auto"/>
        </w:rPr>
        <w:t>”)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the Company and each Company Subsidiary is in compliance with the terms and requirements of all the Company Permits.</w:t>
      </w:r>
    </w:p>
    <w:p>
      <w:pPr>
        <w:spacing w:after="0" w:line="138"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2.15</w:t>
      </w:r>
      <w:r>
        <w:rPr>
          <w:sz w:val="20"/>
          <w:szCs w:val="20"/>
          <w:color w:val="auto"/>
        </w:rPr>
        <w:tab/>
      </w:r>
      <w:r>
        <w:rPr>
          <w:rFonts w:ascii="Times New Roman" w:cs="Times New Roman" w:eastAsia="Times New Roman" w:hAnsi="Times New Roman"/>
          <w:sz w:val="12"/>
          <w:szCs w:val="12"/>
          <w:u w:val="single" w:color="auto"/>
          <w:color w:val="auto"/>
        </w:rPr>
        <w:t>Legal Proceedings; Investigations; Orders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9" w:lineRule="auto"/>
        <w:tabs>
          <w:tab w:leader="none" w:pos="134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w:t>
      </w:r>
    </w:p>
    <w:p>
      <w:pPr>
        <w:spacing w:after="0" w:line="132"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42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w:t>
      </w:r>
    </w:p>
    <w:p>
      <w:pPr>
        <w:spacing w:after="0" w:line="132" w:lineRule="exact"/>
        <w:rPr>
          <w:rFonts w:ascii="Times New Roman" w:cs="Times New Roman" w:eastAsia="Times New Roman" w:hAnsi="Times New Roman"/>
          <w:sz w:val="13"/>
          <w:szCs w:val="13"/>
          <w:color w:val="auto"/>
        </w:rPr>
      </w:pPr>
    </w:p>
    <w:p>
      <w:pPr>
        <w:ind w:right="20" w:firstLine="932"/>
        <w:spacing w:after="0" w:line="278" w:lineRule="auto"/>
        <w:tabs>
          <w:tab w:leader="none" w:pos="142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and would not reasonably be expected to be, individually or in the aggregate, material to the Company and its Subsidiaries, taken as a whole, there is no Order outstanding against the Company or any Company Subsidiary or any of their respective assets, rights or properties.</w:t>
      </w:r>
    </w:p>
    <w:p>
      <w:pPr>
        <w:spacing w:after="0" w:line="121" w:lineRule="exact"/>
        <w:rPr>
          <w:sz w:val="20"/>
          <w:szCs w:val="20"/>
          <w:color w:val="auto"/>
        </w:rPr>
      </w:pPr>
    </w:p>
    <w:p>
      <w:pPr>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u w:val="single" w:color="auto"/>
          <w:color w:val="auto"/>
        </w:rPr>
        <w:t>Anti-Corruption Laws; Anti-Money Laundering Laws; Sanctions Laws; Export Control Laws</w:t>
      </w:r>
      <w:r>
        <w:rPr>
          <w:rFonts w:ascii="Times New Roman" w:cs="Times New Roman" w:eastAsia="Times New Roman" w:hAnsi="Times New Roman"/>
          <w:sz w:val="13"/>
          <w:szCs w:val="13"/>
          <w:color w:val="auto"/>
        </w:rPr>
        <w:t>. Except as would not, and would not reasonably be expected to be, individually or in the aggregate, material to the Company and the Company Subsidiaries, taken as a whole: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7" w:name="page38"/>
    <w:bookmarkEnd w:id="37"/>
    <w:p>
      <w:pPr>
        <w:ind w:left="1302" w:hanging="368"/>
        <w:spacing w:after="0"/>
        <w:tabs>
          <w:tab w:leader="none" w:pos="1302"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nor any of their respective directors, officers, employees, or, to the knowledge of Company, other Representatives, is a Prohibited Person:</w:t>
      </w:r>
    </w:p>
    <w:p>
      <w:pPr>
        <w:spacing w:after="0" w:line="161" w:lineRule="exact"/>
        <w:rPr>
          <w:rFonts w:ascii="Times New Roman" w:cs="Times New Roman" w:eastAsia="Times New Roman" w:hAnsi="Times New Roman"/>
          <w:sz w:val="13"/>
          <w:szCs w:val="13"/>
          <w:color w:val="auto"/>
        </w:rPr>
      </w:pPr>
    </w:p>
    <w:p>
      <w:pPr>
        <w:jc w:val="both"/>
        <w:ind w:left="2" w:right="20" w:firstLine="932"/>
        <w:spacing w:after="0" w:line="281" w:lineRule="auto"/>
        <w:tabs>
          <w:tab w:leader="none" w:pos="1439"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w:t>
      </w:r>
    </w:p>
    <w:p>
      <w:pPr>
        <w:jc w:val="both"/>
        <w:ind w:left="2" w:hanging="2"/>
        <w:spacing w:after="0" w:line="254" w:lineRule="auto"/>
        <w:tabs>
          <w:tab w:leader="none" w:pos="15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w:t>
      </w:r>
    </w:p>
    <w:p>
      <w:pPr>
        <w:spacing w:after="0" w:line="135" w:lineRule="exact"/>
        <w:rPr>
          <w:rFonts w:ascii="Times New Roman" w:cs="Times New Roman" w:eastAsia="Times New Roman" w:hAnsi="Times New Roman"/>
          <w:sz w:val="13"/>
          <w:szCs w:val="13"/>
          <w:color w:val="auto"/>
        </w:rPr>
      </w:pPr>
    </w:p>
    <w:p>
      <w:pPr>
        <w:jc w:val="both"/>
        <w:ind w:left="2" w:right="20" w:firstLine="932"/>
        <w:spacing w:after="0" w:line="259" w:lineRule="auto"/>
        <w:tabs>
          <w:tab w:leader="none" w:pos="1384"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w:t>
      </w:r>
    </w:p>
    <w:p>
      <w:pPr>
        <w:spacing w:after="0" w:line="132" w:lineRule="exact"/>
        <w:rPr>
          <w:rFonts w:ascii="Times New Roman" w:cs="Times New Roman" w:eastAsia="Times New Roman" w:hAnsi="Times New Roman"/>
          <w:sz w:val="13"/>
          <w:szCs w:val="13"/>
          <w:color w:val="auto"/>
        </w:rPr>
      </w:pPr>
    </w:p>
    <w:p>
      <w:pPr>
        <w:ind w:left="1382" w:hanging="448"/>
        <w:spacing w:after="0"/>
        <w:tabs>
          <w:tab w:leader="none" w:pos="1382"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implemented policies and procedures reasonably designed to ensure compliance with all applicable Anti-Corruption Laws, Anti-Money Laundering Laws, Sanctions Laws,</w:t>
      </w:r>
    </w:p>
    <w:p>
      <w:pPr>
        <w:spacing w:after="0" w:line="18" w:lineRule="exact"/>
        <w:rPr>
          <w:rFonts w:ascii="Times New Roman" w:cs="Times New Roman" w:eastAsia="Times New Roman" w:hAnsi="Times New Roman"/>
          <w:sz w:val="13"/>
          <w:szCs w:val="13"/>
          <w:color w:val="auto"/>
        </w:rPr>
      </w:pPr>
    </w:p>
    <w:p>
      <w:pPr>
        <w:ind w:left="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Export Control Laws.</w:t>
      </w:r>
    </w:p>
    <w:p>
      <w:pPr>
        <w:spacing w:after="0" w:line="149" w:lineRule="exact"/>
        <w:rPr>
          <w:rFonts w:ascii="Times New Roman" w:cs="Times New Roman" w:eastAsia="Times New Roman" w:hAnsi="Times New Roman"/>
          <w:sz w:val="13"/>
          <w:szCs w:val="13"/>
          <w:color w:val="auto"/>
        </w:rPr>
      </w:pPr>
    </w:p>
    <w:p>
      <w:pPr>
        <w:ind w:left="2" w:right="20" w:firstLine="932"/>
        <w:spacing w:after="0" w:line="278" w:lineRule="auto"/>
        <w:tabs>
          <w:tab w:leader="none" w:pos="1408"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engaged in activities that would cause it to be a “covered foreign person” as described in the Outbound Investment Rules or otherwise cause any party to violate the Outbound Investment Rules.</w:t>
      </w:r>
    </w:p>
    <w:p>
      <w:pPr>
        <w:spacing w:after="0" w:line="121" w:lineRule="exact"/>
        <w:rPr>
          <w:sz w:val="20"/>
          <w:szCs w:val="20"/>
          <w:color w:val="auto"/>
        </w:rPr>
      </w:pPr>
    </w:p>
    <w:p>
      <w:pPr>
        <w:ind w:left="462"/>
        <w:spacing w:after="0"/>
        <w:tabs>
          <w:tab w:leader="none" w:pos="942" w:val="left"/>
        </w:tabs>
        <w:rPr>
          <w:sz w:val="20"/>
          <w:szCs w:val="20"/>
          <w:color w:val="auto"/>
        </w:rPr>
      </w:pPr>
      <w:r>
        <w:rPr>
          <w:rFonts w:ascii="Times New Roman" w:cs="Times New Roman" w:eastAsia="Times New Roman" w:hAnsi="Times New Roman"/>
          <w:sz w:val="13"/>
          <w:szCs w:val="13"/>
          <w:color w:val="auto"/>
        </w:rPr>
        <w:t>2.17</w:t>
      </w:r>
      <w:r>
        <w:rPr>
          <w:sz w:val="20"/>
          <w:szCs w:val="20"/>
          <w:color w:val="auto"/>
        </w:rPr>
        <w:tab/>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1342" w:hanging="408"/>
        <w:spacing w:after="0"/>
        <w:tabs>
          <w:tab w:leader="none" w:pos="1342"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w:t>
      </w:r>
    </w:p>
    <w:p>
      <w:pPr>
        <w:spacing w:after="0" w:line="161" w:lineRule="exact"/>
        <w:rPr>
          <w:rFonts w:ascii="Times New Roman" w:cs="Times New Roman" w:eastAsia="Times New Roman" w:hAnsi="Times New Roman"/>
          <w:sz w:val="13"/>
          <w:szCs w:val="13"/>
          <w:color w:val="auto"/>
        </w:rPr>
      </w:pPr>
    </w:p>
    <w:p>
      <w:pPr>
        <w:jc w:val="both"/>
        <w:ind w:left="462" w:right="20" w:firstLine="938"/>
        <w:spacing w:after="0" w:line="264" w:lineRule="auto"/>
        <w:tabs>
          <w:tab w:leader="none" w:pos="1824"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Company Subsidiaries have timely filed (taking into account any extension of time within which to file) all Tax Returns that are required to be filed by or with respect to any of them (the “</w:t>
      </w:r>
      <w:r>
        <w:rPr>
          <w:rFonts w:ascii="Times New Roman" w:cs="Times New Roman" w:eastAsia="Times New Roman" w:hAnsi="Times New Roman"/>
          <w:sz w:val="13"/>
          <w:szCs w:val="13"/>
          <w:u w:val="single" w:color="auto"/>
          <w:color w:val="auto"/>
        </w:rPr>
        <w:t>Company Returns</w:t>
      </w:r>
      <w:r>
        <w:rPr>
          <w:rFonts w:ascii="Times New Roman" w:cs="Times New Roman" w:eastAsia="Times New Roman" w:hAnsi="Times New Roman"/>
          <w:sz w:val="13"/>
          <w:szCs w:val="13"/>
          <w:color w:val="auto"/>
        </w:rPr>
        <w:t>”) and all such Company Returns are true, correct and complete. The Company and the Company Subsidiaries have made available to Parent true, correct and complete copies of all material Company Returns for each of the preceding three (3) taxable years.</w:t>
      </w:r>
    </w:p>
    <w:p>
      <w:pPr>
        <w:spacing w:after="0" w:line="129" w:lineRule="exact"/>
        <w:rPr>
          <w:rFonts w:ascii="Times New Roman" w:cs="Times New Roman" w:eastAsia="Times New Roman" w:hAnsi="Times New Roman"/>
          <w:sz w:val="13"/>
          <w:szCs w:val="13"/>
          <w:color w:val="auto"/>
        </w:rPr>
      </w:pPr>
    </w:p>
    <w:p>
      <w:pPr>
        <w:jc w:val="both"/>
        <w:ind w:left="462" w:right="20" w:firstLine="938"/>
        <w:spacing w:after="0" w:line="264" w:lineRule="auto"/>
        <w:tabs>
          <w:tab w:leader="none" w:pos="188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w:t>
      </w:r>
    </w:p>
    <w:p>
      <w:pPr>
        <w:spacing w:after="0" w:line="2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38" w:name="page39"/>
    <w:bookmarkEnd w:id="38"/>
    <w:p>
      <w:pPr>
        <w:jc w:val="both"/>
        <w:ind w:left="460" w:right="20" w:firstLine="938"/>
        <w:spacing w:after="0" w:line="259" w:lineRule="auto"/>
        <w:tabs>
          <w:tab w:leader="none" w:pos="1854"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w:t>
      </w:r>
    </w:p>
    <w:p>
      <w:pPr>
        <w:spacing w:after="0" w:line="132" w:lineRule="exact"/>
        <w:rPr>
          <w:rFonts w:ascii="Times New Roman" w:cs="Times New Roman" w:eastAsia="Times New Roman" w:hAnsi="Times New Roman"/>
          <w:sz w:val="13"/>
          <w:szCs w:val="13"/>
          <w:color w:val="auto"/>
        </w:rPr>
      </w:pPr>
    </w:p>
    <w:p>
      <w:pPr>
        <w:ind w:left="460" w:right="20" w:firstLine="938"/>
        <w:spacing w:after="0" w:line="278" w:lineRule="auto"/>
        <w:tabs>
          <w:tab w:leader="none" w:pos="1881"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2020,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spacing w:after="0" w:line="120" w:lineRule="exact"/>
        <w:rPr>
          <w:rFonts w:ascii="Times New Roman" w:cs="Times New Roman" w:eastAsia="Times New Roman" w:hAnsi="Times New Roman"/>
          <w:sz w:val="13"/>
          <w:szCs w:val="13"/>
          <w:color w:val="auto"/>
        </w:rPr>
      </w:pPr>
    </w:p>
    <w:p>
      <w:pPr>
        <w:jc w:val="both"/>
        <w:ind w:left="460" w:right="20" w:firstLine="938"/>
        <w:spacing w:after="0" w:line="259" w:lineRule="auto"/>
        <w:tabs>
          <w:tab w:leader="none" w:pos="199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w:t>
      </w:r>
    </w:p>
    <w:p>
      <w:pPr>
        <w:spacing w:after="0" w:line="132" w:lineRule="exact"/>
        <w:rPr>
          <w:rFonts w:ascii="Times New Roman" w:cs="Times New Roman" w:eastAsia="Times New Roman" w:hAnsi="Times New Roman"/>
          <w:sz w:val="13"/>
          <w:szCs w:val="13"/>
          <w:color w:val="auto"/>
        </w:rPr>
      </w:pPr>
    </w:p>
    <w:p>
      <w:pPr>
        <w:jc w:val="both"/>
        <w:ind w:firstLine="932"/>
        <w:spacing w:after="0" w:line="255" w:lineRule="auto"/>
        <w:tabs>
          <w:tab w:leader="none" w:pos="148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w:t>
      </w:r>
    </w:p>
    <w:p>
      <w:pPr>
        <w:spacing w:after="0" w:line="129"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2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406"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9" w:name="page40"/>
    <w:bookmarkEnd w:id="39"/>
    <w:p>
      <w:pPr>
        <w:ind w:right="20" w:firstLine="932"/>
        <w:spacing w:after="0" w:line="278" w:lineRule="auto"/>
        <w:tabs>
          <w:tab w:leader="none" w:pos="138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2024,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0" w:lineRule="exact"/>
        <w:rPr>
          <w:rFonts w:ascii="Times New Roman" w:cs="Times New Roman" w:eastAsia="Times New Roman" w:hAnsi="Times New Roman"/>
          <w:sz w:val="13"/>
          <w:szCs w:val="13"/>
          <w:color w:val="auto"/>
        </w:rPr>
      </w:pPr>
    </w:p>
    <w:p>
      <w:pPr>
        <w:ind w:right="20" w:firstLine="932"/>
        <w:spacing w:after="0" w:line="278" w:lineRule="auto"/>
        <w:tabs>
          <w:tab w:leader="none" w:pos="140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has participated in any “listed transaction” within the meaning of Treasury Regulations Section 1.6011-4(b)(2) (or any similar state, local or non-U.S. Legal Requirement).</w:t>
      </w:r>
    </w:p>
    <w:p>
      <w:pPr>
        <w:spacing w:after="0" w:line="120" w:lineRule="exact"/>
        <w:rPr>
          <w:rFonts w:ascii="Times New Roman" w:cs="Times New Roman" w:eastAsia="Times New Roman" w:hAnsi="Times New Roman"/>
          <w:sz w:val="13"/>
          <w:szCs w:val="13"/>
          <w:color w:val="auto"/>
        </w:rPr>
      </w:pPr>
    </w:p>
    <w:p>
      <w:pPr>
        <w:ind w:right="20" w:firstLine="932"/>
        <w:spacing w:after="0" w:line="278" w:lineRule="auto"/>
        <w:tabs>
          <w:tab w:leader="none" w:pos="147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Company Subsidiaries have (i) complied in all material respects with the requirements of Section 482 of the Code and the Treasury Regulations thereunder (and any comparable provision of other applicable Law) and (ii) timely and properly prepared and maintained all material documentation (including any applicable transfer pricing studies) required under applicable Law.</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417"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w:t>
      </w:r>
    </w:p>
    <w:p>
      <w:pPr>
        <w:spacing w:after="0" w:line="120" w:lineRule="exact"/>
        <w:rPr>
          <w:rFonts w:ascii="Times New Roman" w:cs="Times New Roman" w:eastAsia="Times New Roman" w:hAnsi="Times New Roman"/>
          <w:sz w:val="13"/>
          <w:szCs w:val="13"/>
          <w:color w:val="auto"/>
        </w:rPr>
      </w:pPr>
    </w:p>
    <w:p>
      <w:pPr>
        <w:ind w:left="1340" w:hanging="408"/>
        <w:spacing w:after="0"/>
        <w:tabs>
          <w:tab w:leader="none" w:pos="1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the beneficiary of any income or other material Tax exemption, Tax holiday or other Tax incentive agreement or order.</w:t>
      </w:r>
    </w:p>
    <w:p>
      <w:pPr>
        <w:spacing w:after="0" w:line="161" w:lineRule="exact"/>
        <w:rPr>
          <w:rFonts w:ascii="Times New Roman" w:cs="Times New Roman" w:eastAsia="Times New Roman" w:hAnsi="Times New Roman"/>
          <w:sz w:val="13"/>
          <w:szCs w:val="13"/>
          <w:color w:val="auto"/>
        </w:rPr>
      </w:pPr>
    </w:p>
    <w:p>
      <w:pPr>
        <w:ind w:right="20" w:firstLine="932"/>
        <w:spacing w:after="0" w:line="278" w:lineRule="auto"/>
        <w:tabs>
          <w:tab w:leader="none" w:pos="1377"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has taken or agreed to take any action, or believes or has any reason to believe that any conditions exist, that would reasonably be expected to prevent or impede the Merger from qualifying for the Intended Tax Treatment.</w:t>
      </w:r>
    </w:p>
    <w:p>
      <w:pPr>
        <w:spacing w:after="0" w:line="120" w:lineRule="exact"/>
        <w:rPr>
          <w:rFonts w:ascii="Times New Roman" w:cs="Times New Roman" w:eastAsia="Times New Roman" w:hAnsi="Times New Roman"/>
          <w:sz w:val="13"/>
          <w:szCs w:val="13"/>
          <w:color w:val="auto"/>
        </w:rPr>
      </w:pPr>
    </w:p>
    <w:p>
      <w:pPr>
        <w:ind w:right="20" w:firstLine="932"/>
        <w:spacing w:after="0" w:line="278" w:lineRule="auto"/>
        <w:tabs>
          <w:tab w:leader="none" w:pos="140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51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Company’s knowledge and based on the Company’s review of the Company Disclosure Schedules, the proper entity classification for U.S. federal income tax purposes that has applied to each of the Company Subsidiaries at all times since its formation is set forth on </w:t>
      </w:r>
      <w:r>
        <w:rPr>
          <w:rFonts w:ascii="Times New Roman" w:cs="Times New Roman" w:eastAsia="Times New Roman" w:hAnsi="Times New Roman"/>
          <w:sz w:val="13"/>
          <w:szCs w:val="13"/>
          <w:u w:val="single" w:color="auto"/>
          <w:color w:val="auto"/>
        </w:rPr>
        <w:t>Section 2.17(m)</w:t>
      </w:r>
      <w:r>
        <w:rPr>
          <w:rFonts w:ascii="Times New Roman" w:cs="Times New Roman" w:eastAsia="Times New Roman" w:hAnsi="Times New Roman"/>
          <w:sz w:val="13"/>
          <w:szCs w:val="13"/>
          <w:color w:val="auto"/>
        </w:rPr>
        <w:t xml:space="preserve"> of the Company Disclosure Schedules. To the Company’s knowledge, no election has been filed or made or is pending to change any of the foregoing.</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2.18</w:t>
      </w:r>
      <w:r>
        <w:rPr>
          <w:sz w:val="20"/>
          <w:szCs w:val="20"/>
          <w:color w:val="auto"/>
        </w:rPr>
        <w:tab/>
      </w:r>
      <w:r>
        <w:rPr>
          <w:rFonts w:ascii="Times New Roman" w:cs="Times New Roman" w:eastAsia="Times New Roman" w:hAnsi="Times New Roman"/>
          <w:sz w:val="12"/>
          <w:szCs w:val="12"/>
          <w:u w:val="single" w:color="auto"/>
          <w:color w:val="auto"/>
        </w:rPr>
        <w:t>Employee Benefit Plans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7" w:lineRule="auto"/>
        <w:tabs>
          <w:tab w:leader="none" w:pos="139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 xml:space="preserve"> of the Company Disclosure Schedule sets forth a list of all material Company Plans as of the date of this Agreement other than any Company Plan required to be maintained by applicable Legal Requirements;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 xml:space="preserve"> 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 w:cs="Times New Roman" w:eastAsia="Times New Roman" w:hAnsi="Times New Roman"/>
          <w:sz w:val="13"/>
          <w:szCs w:val="13"/>
          <w:u w:val="single" w:color="auto"/>
          <w:color w:val="auto"/>
        </w:rPr>
        <w:t>Foreign Plan</w:t>
      </w:r>
      <w:r>
        <w:rPr>
          <w:rFonts w:ascii="Times New Roman" w:cs="Times New Roman" w:eastAsia="Times New Roman" w:hAnsi="Times New Roman"/>
          <w:sz w:val="13"/>
          <w:szCs w:val="13"/>
          <w:color w:val="auto"/>
        </w:rPr>
        <w: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0" w:name="page41"/>
    <w:bookmarkEnd w:id="40"/>
    <w:p>
      <w:pPr>
        <w:jc w:val="both"/>
        <w:ind w:firstLine="932"/>
        <w:spacing w:after="0" w:line="257" w:lineRule="auto"/>
        <w:tabs>
          <w:tab w:leader="none" w:pos="1417"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made available to Parent copies of, to the extent applicable: (i) the plan document for each material Company Plan (and all material amendments thereto);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w:t>
      </w:r>
    </w:p>
    <w:p>
      <w:pPr>
        <w:spacing w:after="0" w:line="135" w:lineRule="exact"/>
        <w:rPr>
          <w:rFonts w:ascii="Times New Roman" w:cs="Times New Roman" w:eastAsia="Times New Roman" w:hAnsi="Times New Roman"/>
          <w:sz w:val="13"/>
          <w:szCs w:val="13"/>
          <w:color w:val="auto"/>
        </w:rPr>
      </w:pPr>
    </w:p>
    <w:p>
      <w:pPr>
        <w:jc w:val="both"/>
        <w:ind w:firstLine="932"/>
        <w:spacing w:after="0" w:line="259" w:lineRule="auto"/>
        <w:tabs>
          <w:tab w:leader="none" w:pos="142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or ERISA, (iv) a multiple employer welfare arrangement (within the meaning of Section 3(40) of ERISA), or (v) voluntary employee benefit association under Section 501(a)(9) of the Code. No Company Plan is a defined benefit pension plan or scheme.</w:t>
      </w:r>
    </w:p>
    <w:p>
      <w:pPr>
        <w:spacing w:after="0" w:line="132" w:lineRule="exact"/>
        <w:rPr>
          <w:rFonts w:ascii="Times New Roman" w:cs="Times New Roman" w:eastAsia="Times New Roman" w:hAnsi="Times New Roman"/>
          <w:sz w:val="13"/>
          <w:szCs w:val="13"/>
          <w:color w:val="auto"/>
        </w:rPr>
      </w:pPr>
    </w:p>
    <w:p>
      <w:pPr>
        <w:jc w:val="both"/>
        <w:ind w:firstLine="932"/>
        <w:spacing w:after="0" w:line="257" w:lineRule="auto"/>
        <w:tabs>
          <w:tab w:leader="none" w:pos="1407"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w:t>
      </w:r>
    </w:p>
    <w:p>
      <w:pPr>
        <w:spacing w:after="0" w:line="133" w:lineRule="exact"/>
        <w:rPr>
          <w:rFonts w:ascii="Times New Roman" w:cs="Times New Roman" w:eastAsia="Times New Roman" w:hAnsi="Times New Roman"/>
          <w:sz w:val="13"/>
          <w:szCs w:val="13"/>
          <w:color w:val="auto"/>
        </w:rPr>
      </w:pPr>
    </w:p>
    <w:p>
      <w:pPr>
        <w:ind w:firstLine="932"/>
        <w:spacing w:after="0" w:line="278" w:lineRule="auto"/>
        <w:tabs>
          <w:tab w:leader="none" w:pos="141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w:t>
      </w:r>
    </w:p>
    <w:p>
      <w:pPr>
        <w:spacing w:after="0" w:line="120" w:lineRule="exact"/>
        <w:rPr>
          <w:rFonts w:ascii="Times New Roman" w:cs="Times New Roman" w:eastAsia="Times New Roman" w:hAnsi="Times New Roman"/>
          <w:sz w:val="13"/>
          <w:szCs w:val="13"/>
          <w:color w:val="auto"/>
        </w:rPr>
      </w:pPr>
    </w:p>
    <w:p>
      <w:pPr>
        <w:jc w:val="both"/>
        <w:ind w:firstLine="932"/>
        <w:spacing w:after="0" w:line="255" w:lineRule="auto"/>
        <w:tabs>
          <w:tab w:leader="none" w:pos="1387"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36" w:lineRule="exact"/>
        <w:rPr>
          <w:rFonts w:ascii="Times New Roman" w:cs="Times New Roman" w:eastAsia="Times New Roman" w:hAnsi="Times New Roman"/>
          <w:sz w:val="13"/>
          <w:szCs w:val="13"/>
          <w:color w:val="auto"/>
        </w:rPr>
      </w:pPr>
    </w:p>
    <w:p>
      <w:pPr>
        <w:jc w:val="both"/>
        <w:ind w:firstLine="932"/>
        <w:spacing w:after="0" w:line="264" w:lineRule="auto"/>
        <w:tabs>
          <w:tab w:leader="none" w:pos="143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jc w:val="both"/>
        <w:ind w:left="2" w:firstLine="932"/>
        <w:spacing w:after="0" w:line="259" w:lineRule="auto"/>
        <w:tabs>
          <w:tab w:leader="none" w:pos="1354"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w:t>
      </w:r>
    </w:p>
    <w:p>
      <w:pPr>
        <w:spacing w:after="0" w:line="132" w:lineRule="exact"/>
        <w:rPr>
          <w:rFonts w:ascii="Times New Roman" w:cs="Times New Roman" w:eastAsia="Times New Roman" w:hAnsi="Times New Roman"/>
          <w:sz w:val="13"/>
          <w:szCs w:val="13"/>
          <w:color w:val="auto"/>
        </w:rPr>
      </w:pPr>
    </w:p>
    <w:p>
      <w:pPr>
        <w:jc w:val="both"/>
        <w:ind w:left="2" w:firstLine="932"/>
        <w:spacing w:after="0" w:line="274" w:lineRule="auto"/>
        <w:tabs>
          <w:tab w:leader="none" w:pos="1457"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w:t>
      </w:r>
    </w:p>
    <w:p>
      <w:pPr>
        <w:jc w:val="both"/>
        <w:ind w:left="2" w:hanging="2"/>
        <w:spacing w:after="0" w:line="252" w:lineRule="auto"/>
        <w:tabs>
          <w:tab w:leader="none" w:pos="22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spacing w:after="0" w:line="137" w:lineRule="exact"/>
        <w:rPr>
          <w:rFonts w:ascii="Times New Roman" w:cs="Times New Roman" w:eastAsia="Times New Roman" w:hAnsi="Times New Roman"/>
          <w:sz w:val="13"/>
          <w:szCs w:val="13"/>
          <w:color w:val="auto"/>
        </w:rPr>
      </w:pPr>
    </w:p>
    <w:p>
      <w:pPr>
        <w:ind w:left="2" w:firstLine="932"/>
        <w:spacing w:after="0" w:line="278" w:lineRule="auto"/>
        <w:tabs>
          <w:tab w:leader="none" w:pos="1356"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w:t>
      </w:r>
    </w:p>
    <w:p>
      <w:pPr>
        <w:spacing w:after="0" w:line="120" w:lineRule="exact"/>
        <w:rPr>
          <w:rFonts w:ascii="Times New Roman" w:cs="Times New Roman" w:eastAsia="Times New Roman" w:hAnsi="Times New Roman"/>
          <w:sz w:val="13"/>
          <w:szCs w:val="13"/>
          <w:color w:val="auto"/>
        </w:rPr>
      </w:pPr>
    </w:p>
    <w:p>
      <w:pPr>
        <w:jc w:val="both"/>
        <w:ind w:left="2" w:firstLine="932"/>
        <w:spacing w:after="0" w:line="253" w:lineRule="auto"/>
        <w:tabs>
          <w:tab w:leader="none" w:pos="1389"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each Foreign Plan has been administered in compliance with its terms and operated in compliance with applicable Legal Requirements. With respect to each Foreign Plan, except as would not have, and would not reasonably be expected to have, individually or in the aggregate, a Company Material Adverse Effect, such Foreign Plan has obtained from the Governmental Entity having jurisdiction with respect to such Foreign Plan any required determinations, if any, that such Foreign Plan is in compliance with the applicable Legal Requirements of the relevant jurisdiction. Except as would not have, and would not reasonably be expected to have, individually or in the aggregate, a Company Material Adverse Effect, each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Foreign Plan that is a pension plan or end of service defined benefit is funded to the extent required by the terms of such Foreign Plan and applicable Legal Requirements.</w:t>
      </w:r>
    </w:p>
    <w:p>
      <w:pPr>
        <w:spacing w:after="0" w:line="2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42" w:name="page43"/>
    <w:bookmarkEnd w:id="42"/>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2.19</w:t>
      </w:r>
      <w:r>
        <w:rPr>
          <w:sz w:val="20"/>
          <w:szCs w:val="20"/>
          <w:color w:val="auto"/>
        </w:rPr>
        <w:tab/>
      </w:r>
      <w:r>
        <w:rPr>
          <w:rFonts w:ascii="Times New Roman" w:cs="Times New Roman" w:eastAsia="Times New Roman" w:hAnsi="Times New Roman"/>
          <w:sz w:val="12"/>
          <w:szCs w:val="12"/>
          <w:u w:val="single" w:color="auto"/>
          <w:color w:val="auto"/>
        </w:rPr>
        <w:t>Labor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64" w:lineRule="auto"/>
        <w:tabs>
          <w:tab w:leader="none" w:pos="1354"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w:t>
      </w:r>
    </w:p>
    <w:p>
      <w:pPr>
        <w:spacing w:after="0" w:line="129" w:lineRule="exact"/>
        <w:rPr>
          <w:rFonts w:ascii="Times New Roman" w:cs="Times New Roman" w:eastAsia="Times New Roman" w:hAnsi="Times New Roman"/>
          <w:sz w:val="13"/>
          <w:szCs w:val="13"/>
          <w:color w:val="auto"/>
        </w:rPr>
      </w:pPr>
    </w:p>
    <w:p>
      <w:pPr>
        <w:ind w:firstLine="932"/>
        <w:spacing w:after="0" w:line="278" w:lineRule="auto"/>
        <w:tabs>
          <w:tab w:leader="none" w:pos="143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w:t>
      </w:r>
    </w:p>
    <w:p>
      <w:pPr>
        <w:spacing w:after="0" w:line="120" w:lineRule="exact"/>
        <w:rPr>
          <w:rFonts w:ascii="Times New Roman" w:cs="Times New Roman" w:eastAsia="Times New Roman" w:hAnsi="Times New Roman"/>
          <w:sz w:val="13"/>
          <w:szCs w:val="13"/>
          <w:color w:val="auto"/>
        </w:rPr>
      </w:pPr>
    </w:p>
    <w:p>
      <w:pPr>
        <w:jc w:val="both"/>
        <w:ind w:firstLine="932"/>
        <w:spacing w:after="0" w:line="257" w:lineRule="auto"/>
        <w:tabs>
          <w:tab w:leader="none" w:pos="137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w:t>
      </w:r>
    </w:p>
    <w:p>
      <w:pPr>
        <w:spacing w:after="0" w:line="133" w:lineRule="exact"/>
        <w:rPr>
          <w:rFonts w:ascii="Times New Roman" w:cs="Times New Roman" w:eastAsia="Times New Roman" w:hAnsi="Times New Roman"/>
          <w:sz w:val="13"/>
          <w:szCs w:val="13"/>
          <w:color w:val="auto"/>
        </w:rPr>
      </w:pPr>
    </w:p>
    <w:p>
      <w:pPr>
        <w:jc w:val="both"/>
        <w:ind w:firstLine="932"/>
        <w:spacing w:after="0" w:line="255" w:lineRule="auto"/>
        <w:tabs>
          <w:tab w:leader="none" w:pos="136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w:t>
      </w:r>
    </w:p>
    <w:p>
      <w:pPr>
        <w:spacing w:after="0" w:line="136" w:lineRule="exact"/>
        <w:rPr>
          <w:sz w:val="20"/>
          <w:szCs w:val="20"/>
          <w:color w:val="auto"/>
        </w:rPr>
      </w:pPr>
    </w:p>
    <w:p>
      <w:pPr>
        <w:jc w:val="both"/>
        <w:ind w:firstLine="467"/>
        <w:spacing w:after="0" w:line="254" w:lineRule="auto"/>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For purposes of this Agreement, “</w:t>
      </w:r>
      <w:r>
        <w:rPr>
          <w:rFonts w:ascii="Times New Roman" w:cs="Times New Roman" w:eastAsia="Times New Roman" w:hAnsi="Times New Roman"/>
          <w:sz w:val="13"/>
          <w:szCs w:val="13"/>
          <w:u w:val="single" w:color="auto"/>
          <w:color w:val="auto"/>
        </w:rPr>
        <w:t>Environmental Law</w:t>
      </w:r>
      <w:r>
        <w:rPr>
          <w:rFonts w:ascii="Times New Roman" w:cs="Times New Roman" w:eastAsia="Times New Roman" w:hAnsi="Times New Roman"/>
          <w:sz w:val="13"/>
          <w:szCs w:val="13"/>
          <w:color w:val="auto"/>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jc w:val="both"/>
        <w:ind w:right="20" w:firstLine="467"/>
        <w:spacing w:after="0" w:line="257" w:lineRule="auto"/>
        <w:rPr>
          <w:sz w:val="20"/>
          <w:szCs w:val="20"/>
          <w:color w:val="auto"/>
        </w:rPr>
      </w:pPr>
      <w:r>
        <w:rPr>
          <w:rFonts w:ascii="Times New Roman" w:cs="Times New Roman" w:eastAsia="Times New Roman" w:hAnsi="Times New Roman"/>
          <w:sz w:val="13"/>
          <w:szCs w:val="13"/>
          <w:color w:val="auto"/>
        </w:rPr>
        <w:t xml:space="preserve">2.21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w:t>
      </w:r>
    </w:p>
    <w:p>
      <w:pPr>
        <w:spacing w:after="0" w:line="133" w:lineRule="exact"/>
        <w:rPr>
          <w:sz w:val="20"/>
          <w:szCs w:val="20"/>
          <w:color w:val="auto"/>
        </w:rPr>
      </w:pPr>
    </w:p>
    <w:p>
      <w:pPr>
        <w:jc w:val="both"/>
        <w:ind w:right="20" w:firstLine="467"/>
        <w:spacing w:after="0" w:line="287" w:lineRule="auto"/>
        <w:rPr>
          <w:sz w:val="20"/>
          <w:szCs w:val="20"/>
          <w:color w:val="auto"/>
        </w:rPr>
      </w:pPr>
      <w:r>
        <w:rPr>
          <w:rFonts w:ascii="Times New Roman" w:cs="Times New Roman" w:eastAsia="Times New Roman" w:hAnsi="Times New Roman"/>
          <w:sz w:val="12"/>
          <w:szCs w:val="12"/>
          <w:color w:val="auto"/>
        </w:rPr>
        <w:t xml:space="preserve">2.22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 xml:space="preserve">. Assuming the accuracy of Parent’s representation in </w:t>
      </w:r>
      <w:r>
        <w:rPr>
          <w:rFonts w:ascii="Times New Roman" w:cs="Times New Roman" w:eastAsia="Times New Roman" w:hAnsi="Times New Roman"/>
          <w:sz w:val="12"/>
          <w:szCs w:val="12"/>
          <w:u w:val="single" w:color="auto"/>
          <w:color w:val="auto"/>
        </w:rPr>
        <w:t>Section 3.13</w:t>
      </w:r>
      <w:r>
        <w:rPr>
          <w:rFonts w:ascii="Times New Roman" w:cs="Times New Roman" w:eastAsia="Times New Roman" w:hAnsi="Times New Roman"/>
          <w:sz w:val="12"/>
          <w:szCs w:val="12"/>
          <w:color w:val="auto"/>
        </w:rPr>
        <w:t>,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w:t>
      </w:r>
    </w:p>
    <w:p>
      <w:pPr>
        <w:spacing w:after="0" w:line="118"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u w:val="single" w:color="auto"/>
          <w:color w:val="auto"/>
        </w:rPr>
        <w:t>Ownership of Parent Common Stock</w:t>
      </w:r>
      <w:r>
        <w:rPr>
          <w:rFonts w:ascii="Times New Roman" w:cs="Times New Roman" w:eastAsia="Times New Roman" w:hAnsi="Times New Roman"/>
          <w:sz w:val="13"/>
          <w:szCs w:val="13"/>
          <w:color w:val="auto"/>
        </w:rPr>
        <w:t>.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spacing w:after="0" w:line="133"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u w:val="single" w:color="auto"/>
          <w:color w:val="auto"/>
        </w:rPr>
        <w:t>Opinion of Financial Advisor</w:t>
      </w:r>
      <w:r>
        <w:rPr>
          <w:rFonts w:ascii="Times New Roman" w:cs="Times New Roman" w:eastAsia="Times New Roman" w:hAnsi="Times New Roman"/>
          <w:sz w:val="13"/>
          <w:szCs w:val="13"/>
          <w:color w:val="auto"/>
        </w:rPr>
        <w:t>. As of the date of this Agreement, the Company Board has received the opinion of Qatalyst Partners LP (the “</w:t>
      </w:r>
      <w:r>
        <w:rPr>
          <w:rFonts w:ascii="Times New Roman" w:cs="Times New Roman" w:eastAsia="Times New Roman" w:hAnsi="Times New Roman"/>
          <w:sz w:val="13"/>
          <w:szCs w:val="13"/>
          <w:u w:val="single" w:color="auto"/>
          <w:color w:val="auto"/>
        </w:rPr>
        <w:t>Company Financial Advisor</w:t>
      </w:r>
      <w:r>
        <w:rPr>
          <w:rFonts w:ascii="Times New Roman" w:cs="Times New Roman" w:eastAsia="Times New Roman" w:hAnsi="Times New Roman"/>
          <w:sz w:val="13"/>
          <w:szCs w:val="13"/>
          <w:color w:val="auto"/>
        </w:rPr>
        <w:t>” and such opinion, the “</w:t>
      </w:r>
      <w:r>
        <w:rPr>
          <w:rFonts w:ascii="Times New Roman" w:cs="Times New Roman" w:eastAsia="Times New Roman" w:hAnsi="Times New Roman"/>
          <w:sz w:val="13"/>
          <w:szCs w:val="13"/>
          <w:u w:val="single" w:color="auto"/>
          <w:color w:val="auto"/>
        </w:rPr>
        <w:t>Company Financial Advisor Opinion</w:t>
      </w:r>
      <w:r>
        <w:rPr>
          <w:rFonts w:ascii="Times New Roman" w:cs="Times New Roman" w:eastAsia="Times New Roman" w:hAnsi="Times New Roman"/>
          <w:sz w:val="13"/>
          <w:szCs w:val="13"/>
          <w:color w:val="auto"/>
        </w:rPr>
        <w:t>”), financial advisor to the Company, to the effect that, as of the date of such opinion and subject to the various qualifications, assumptions, limitations, and other matters set forth therein, the Exchange Ratio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w:t>
      </w:r>
    </w:p>
    <w:p>
      <w:pPr>
        <w:spacing w:after="0" w:line="133"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 xml:space="preserve">2.25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4" w:name="page45"/>
    <w:bookmarkEnd w:id="44"/>
    <w:p>
      <w:pPr>
        <w:jc w:val="both"/>
        <w:ind w:firstLine="467"/>
        <w:spacing w:after="0" w:line="257" w:lineRule="auto"/>
        <w:rPr>
          <w:sz w:val="20"/>
          <w:szCs w:val="20"/>
          <w:color w:val="auto"/>
        </w:rPr>
      </w:pPr>
      <w:r>
        <w:rPr>
          <w:rFonts w:ascii="Times New Roman" w:cs="Times New Roman" w:eastAsia="Times New Roman" w:hAnsi="Times New Roman"/>
          <w:sz w:val="13"/>
          <w:szCs w:val="13"/>
          <w:color w:val="auto"/>
        </w:rPr>
        <w:t xml:space="preserve">2.26 </w:t>
      </w:r>
      <w:r>
        <w:rPr>
          <w:rFonts w:ascii="Times New Roman" w:cs="Times New Roman" w:eastAsia="Times New Roman" w:hAnsi="Times New Roman"/>
          <w:sz w:val="13"/>
          <w:szCs w:val="13"/>
          <w:u w:val="single" w:color="auto"/>
          <w:color w:val="auto"/>
        </w:rPr>
        <w:t>Information Supplied</w:t>
      </w:r>
      <w:r>
        <w:rPr>
          <w:rFonts w:ascii="Times New Roman" w:cs="Times New Roman" w:eastAsia="Times New Roman" w:hAnsi="Times New Roman"/>
          <w:sz w:val="13"/>
          <w:szCs w:val="13"/>
          <w:color w:val="auto"/>
        </w:rPr>
        <w:t>. The information supplied or to be supplied by the Company specifically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Form S-4 (including the Proxy Statement/Prospectus) based on information supplied by Parent for inclusion therein.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PARENT AND MERGER SUB</w:t>
      </w:r>
    </w:p>
    <w:p>
      <w:pPr>
        <w:spacing w:after="0" w:line="150" w:lineRule="exact"/>
        <w:rPr>
          <w:sz w:val="20"/>
          <w:szCs w:val="20"/>
          <w:color w:val="auto"/>
        </w:rPr>
      </w:pPr>
    </w:p>
    <w:p>
      <w:pPr>
        <w:jc w:val="both"/>
        <w:ind w:firstLine="467"/>
        <w:spacing w:after="0" w:line="257" w:lineRule="auto"/>
        <w:rPr>
          <w:sz w:val="20"/>
          <w:szCs w:val="20"/>
          <w:color w:val="auto"/>
        </w:rPr>
      </w:pPr>
      <w:r>
        <w:rPr>
          <w:rFonts w:ascii="Times New Roman" w:cs="Times New Roman" w:eastAsia="Times New Roman" w:hAnsi="Times New Roman"/>
          <w:sz w:val="13"/>
          <w:szCs w:val="13"/>
          <w:color w:val="auto"/>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shall not be applicable to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3.2(e)</w:t>
      </w:r>
      <w:r>
        <w:rPr>
          <w:rFonts w:ascii="Times New Roman" w:cs="Times New Roman" w:eastAsia="Times New Roman" w:hAnsi="Times New Roman"/>
          <w:sz w:val="13"/>
          <w:szCs w:val="13"/>
          <w:color w:val="auto"/>
        </w:rPr>
        <w:t xml:space="preserve">) and (ii) subject to </w:t>
      </w:r>
      <w:r>
        <w:rPr>
          <w:rFonts w:ascii="Times New Roman" w:cs="Times New Roman" w:eastAsia="Times New Roman" w:hAnsi="Times New Roman"/>
          <w:sz w:val="13"/>
          <w:szCs w:val="13"/>
          <w:u w:val="single" w:color="auto"/>
          <w:color w:val="auto"/>
        </w:rPr>
        <w:t>Section 7.12</w:t>
      </w:r>
      <w:r>
        <w:rPr>
          <w:rFonts w:ascii="Times New Roman" w:cs="Times New Roman" w:eastAsia="Times New Roman" w:hAnsi="Times New Roman"/>
          <w:sz w:val="13"/>
          <w:szCs w:val="13"/>
          <w:color w:val="auto"/>
        </w:rPr>
        <w:t>, in the disclosure schedule delivered to the Company prior to the execution of this Agreement (the “</w:t>
      </w:r>
      <w:r>
        <w:rPr>
          <w:rFonts w:ascii="Times New Roman" w:cs="Times New Roman" w:eastAsia="Times New Roman" w:hAnsi="Times New Roman"/>
          <w:sz w:val="13"/>
          <w:szCs w:val="13"/>
          <w:u w:val="single" w:color="auto"/>
          <w:color w:val="auto"/>
        </w:rPr>
        <w:t>Parent Disclosure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2"/>
          <w:szCs w:val="12"/>
          <w:u w:val="single" w:color="auto"/>
          <w:color w:val="auto"/>
        </w:rPr>
        <w:t>Due Organization and Good Standing</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7" w:lineRule="auto"/>
        <w:tabs>
          <w:tab w:leader="none" w:pos="145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w:t>
      </w:r>
    </w:p>
    <w:p>
      <w:pPr>
        <w:spacing w:after="0" w:line="133"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4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64" w:lineRule="auto"/>
        <w:tabs>
          <w:tab w:leader="none" w:pos="145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Parent Capitalization Date, the authorized capital stock of Parent consists of: (i) 1,250,000,000 shares of Parent Common Stock, par value $0.01 per share, of which 389,185,602 shares were issued and outstanding as of June 18, 2026 (the “</w:t>
      </w:r>
      <w:r>
        <w:rPr>
          <w:rFonts w:ascii="Times New Roman" w:cs="Times New Roman" w:eastAsia="Times New Roman" w:hAnsi="Times New Roman"/>
          <w:sz w:val="13"/>
          <w:szCs w:val="13"/>
          <w:u w:val="single" w:color="auto"/>
          <w:color w:val="auto"/>
        </w:rPr>
        <w:t>Parent Capitalization Date</w:t>
      </w:r>
      <w:r>
        <w:rPr>
          <w:rFonts w:ascii="Times New Roman" w:cs="Times New Roman" w:eastAsia="Times New Roman" w:hAnsi="Times New Roman"/>
          <w:sz w:val="13"/>
          <w:szCs w:val="13"/>
          <w:color w:val="auto"/>
        </w:rPr>
        <w:t>”); and (ii) 100,000 shares of preferred stock, par value $0.01 per share, none of which were outstanding as of the Parent Capitalization Date.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5" w:name="page46"/>
    <w:bookmarkEnd w:id="45"/>
    <w:p>
      <w:pPr>
        <w:jc w:val="both"/>
        <w:ind w:right="20" w:firstLine="932"/>
        <w:spacing w:after="0" w:line="264" w:lineRule="auto"/>
        <w:tabs>
          <w:tab w:leader="none" w:pos="142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Parent Capitalization Date: (i) 7,378,078 shares of Parent Common Stock were subject to issuance pursuant to outstanding Parent RSUs; (ii) 6,180,446 shares of Parent Common Stock were reserved for issuance pursuant to the Parent ESPP; (iii) 77,878,172 shares of Parent Common Stock were subject to issuance pursuant to outstanding warrants (including the Parent Convertible Note Warrants); (iv) 54,973,038 shares of Parent Common Stock were reserved for issuance in connection with the Parent Convertible Notes; and (v) 237,667,964 shares of Parent Common Stock were held in treasury.</w:t>
      </w:r>
    </w:p>
    <w:p>
      <w:pPr>
        <w:spacing w:after="0" w:line="129" w:lineRule="exact"/>
        <w:rPr>
          <w:rFonts w:ascii="Times New Roman" w:cs="Times New Roman" w:eastAsia="Times New Roman" w:hAnsi="Times New Roman"/>
          <w:sz w:val="13"/>
          <w:szCs w:val="13"/>
          <w:color w:val="auto"/>
        </w:rPr>
      </w:pPr>
    </w:p>
    <w:p>
      <w:pPr>
        <w:ind w:left="1380" w:hanging="448"/>
        <w:spacing w:after="0"/>
        <w:tabs>
          <w:tab w:leader="none" w:pos="13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shares of Parent Common Stock to be issued as Merger Consideration when issued in accordance with the terms of this Agreement will be duly authorized, validly issued, fully paid</w:t>
      </w:r>
    </w:p>
    <w:p>
      <w:pPr>
        <w:spacing w:after="0" w:line="29"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and non-assessable.</w:t>
      </w:r>
    </w:p>
    <w:p>
      <w:pPr>
        <w:spacing w:after="0" w:line="149" w:lineRule="exact"/>
        <w:rPr>
          <w:rFonts w:ascii="Times New Roman" w:cs="Times New Roman" w:eastAsia="Times New Roman" w:hAnsi="Times New Roman"/>
          <w:sz w:val="12"/>
          <w:szCs w:val="12"/>
          <w:color w:val="auto"/>
        </w:rPr>
      </w:pPr>
    </w:p>
    <w:p>
      <w:pPr>
        <w:jc w:val="both"/>
        <w:ind w:firstLine="932"/>
        <w:spacing w:after="0" w:line="254" w:lineRule="auto"/>
        <w:tabs>
          <w:tab w:leader="none" w:pos="140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Parent Capitalization Date, except as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xml:space="preserve"> and other than the Parent Convertible Notes, the Parent Convertible Note Hedges and the Parent Convertible Note Warrants, no other shares of capital stock or other voting securities of Parent were issued, reserved for issuance or outstanding. Except as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and other than the Parent Convertible Notes, the Parent Convertible Note Hedges and the Parent Convertible Note Warrants, as of the Parent Capitalization Date, there was no: (i) outstanding subscription, option, call, warrant or other right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other equity interest or any other securities.</w:t>
      </w:r>
    </w:p>
    <w:p>
      <w:pPr>
        <w:spacing w:after="0" w:line="137" w:lineRule="exact"/>
        <w:rPr>
          <w:rFonts w:ascii="Times New Roman" w:cs="Times New Roman" w:eastAsia="Times New Roman" w:hAnsi="Times New Roman"/>
          <w:sz w:val="13"/>
          <w:szCs w:val="13"/>
          <w:color w:val="auto"/>
        </w:rPr>
      </w:pPr>
    </w:p>
    <w:p>
      <w:pPr>
        <w:jc w:val="both"/>
        <w:ind w:firstLine="932"/>
        <w:spacing w:after="0" w:line="257" w:lineRule="auto"/>
        <w:tabs>
          <w:tab w:leader="none" w:pos="137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Parent Capitalization Date through the date of this Agreement, Parent has not issued any shares of Parent Common Stock or other equity interests of Parent (other than in connection with (i) the settlement or vesting of Parent RSUs outstanding as of the Parent Capitalization Date in accordance with their terms, (ii) the exercise of purchase rights under the Parent ESPP outstanding as of the Parent Capitalization Date in accordance with its terms, (iii) the exercise of Parent Convertible Note Warrants outstanding as of the Parent Capitalization Date in accordance with their terms, or (iv) the conversion of, or any other issuance of shares of Parent Common Stock pursuant to, the Parent Convertible Notes outstanding as of the Parent Capitalization Date in accordance with their terms), or granted any Parent RSUs or other equity or equity-based awards.</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4" w:lineRule="auto"/>
        <w:tabs>
          <w:tab w:leader="none" w:pos="1463"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t>
      </w:r>
      <w:r>
        <w:rPr>
          <w:rFonts w:ascii="Times New Roman" w:cs="Times New Roman" w:eastAsia="Times New Roman" w:hAnsi="Times New Roman"/>
          <w:sz w:val="13"/>
          <w:szCs w:val="13"/>
          <w:u w:val="single" w:color="auto"/>
          <w:color w:val="auto"/>
        </w:rPr>
        <w:t>Significant Parent Subsidiary</w:t>
      </w:r>
      <w:r>
        <w:rPr>
          <w:rFonts w:ascii="Times New Roman" w:cs="Times New Roman" w:eastAsia="Times New Roman" w:hAnsi="Times New Roman"/>
          <w:sz w:val="13"/>
          <w:szCs w:val="13"/>
          <w:color w:val="auto"/>
        </w:rPr>
        <w:t>” shall mean those Parent Subsidiaries set forth on Exhibit 21.1 of the Most Recent Parent 10-K. Each Significant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Parent Material Adverse Effect. Each Significant Parent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Parent Material Adverse Effect.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6" w:name="page47"/>
    <w:bookmarkEnd w:id="46"/>
    <w:p>
      <w:pPr>
        <w:ind w:right="20" w:firstLine="932"/>
        <w:spacing w:after="0" w:line="278" w:lineRule="auto"/>
        <w:tabs>
          <w:tab w:leader="none" w:pos="137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 the Organizational Documents of each Significant Parent Subsidiary are in full force and effect and no such Significant Parent Subsidiary is in violation of any of the provisions of such Organizational Documents.</w:t>
      </w:r>
    </w:p>
    <w:p>
      <w:pPr>
        <w:spacing w:after="0" w:line="121"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5" w:lineRule="auto"/>
        <w:tabs>
          <w:tab w:leader="none" w:pos="134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55" w:lineRule="auto"/>
        <w:tabs>
          <w:tab w:leader="none" w:pos="137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and (iv) approved the issuance of shares of Parent Common Stock in the Merger as contemplated by this Agreement (the “</w:t>
      </w:r>
      <w:r>
        <w:rPr>
          <w:rFonts w:ascii="Times New Roman" w:cs="Times New Roman" w:eastAsia="Times New Roman" w:hAnsi="Times New Roman"/>
          <w:sz w:val="13"/>
          <w:szCs w:val="13"/>
          <w:u w:val="single" w:color="auto"/>
          <w:color w:val="auto"/>
        </w:rPr>
        <w:t>Parent Share Issuance</w:t>
      </w:r>
      <w:r>
        <w:rPr>
          <w:rFonts w:ascii="Times New Roman" w:cs="Times New Roman" w:eastAsia="Times New Roman" w:hAnsi="Times New Roman"/>
          <w:sz w:val="13"/>
          <w:szCs w:val="13"/>
          <w:color w:val="auto"/>
        </w:rPr>
        <w:t xml:space="preserve">”). Assuming the accuracy of the representations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and the compliance by the Company with its obligations under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(to the extent non-compliance impacts or contributes to the inaccuracy of the following representation), no vote of the holders of shares of Parent Common Stock is necessary to approve this Agreement, the Merger, the Parent Share Issuance or the other transactions contemplated by this Agreement.</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40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w:t>
      </w:r>
    </w:p>
    <w:p>
      <w:pPr>
        <w:spacing w:after="0" w:line="129" w:lineRule="exact"/>
        <w:rPr>
          <w:rFonts w:ascii="Times New Roman" w:cs="Times New Roman" w:eastAsia="Times New Roman" w:hAnsi="Times New Roman"/>
          <w:sz w:val="13"/>
          <w:szCs w:val="13"/>
          <w:color w:val="auto"/>
        </w:rPr>
      </w:pPr>
    </w:p>
    <w:p>
      <w:pPr>
        <w:jc w:val="both"/>
        <w:ind w:right="20" w:firstLine="932"/>
        <w:spacing w:after="0" w:line="255" w:lineRule="auto"/>
        <w:tabs>
          <w:tab w:leader="none" w:pos="141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Sub was formed solely for the purpose of entering into the transactions contemplated by this Agreement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7" w:name="page48"/>
    <w:bookmarkEnd w:id="47"/>
    <w:p>
      <w:pPr>
        <w:ind w:left="1360" w:hanging="428"/>
        <w:spacing w:after="0"/>
        <w:tabs>
          <w:tab w:leader="none" w:pos="13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as the sole stockholder of Merger Sub, will execute and deliver a written consent to adopt this Agreement promptly after the execution and delivery of this Agreement.</w:t>
      </w:r>
    </w:p>
    <w:p>
      <w:pPr>
        <w:spacing w:after="0" w:line="161"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3.5</w:t>
      </w:r>
      <w:r>
        <w:rPr>
          <w:rFonts w:ascii="Times New Roman" w:cs="Times New Roman" w:eastAsia="Times New Roman" w:hAnsi="Times New Roman"/>
          <w:sz w:val="12"/>
          <w:szCs w:val="12"/>
          <w:u w:val="single" w:color="auto"/>
          <w:color w:val="auto"/>
        </w:rPr>
        <w:t>Non-Contravention; Consents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1400" w:hanging="468"/>
        <w:spacing w:after="0"/>
        <w:tabs>
          <w:tab w:leader="none" w:pos="14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Agreement by Parent and the consummation by Parent of the Merger will not:</w:t>
      </w:r>
    </w:p>
    <w:p>
      <w:pPr>
        <w:spacing w:after="0" w:line="161" w:lineRule="exact"/>
        <w:rPr>
          <w:rFonts w:ascii="Times New Roman" w:cs="Times New Roman" w:eastAsia="Times New Roman" w:hAnsi="Times New Roman"/>
          <w:sz w:val="13"/>
          <w:szCs w:val="13"/>
          <w:color w:val="auto"/>
        </w:rPr>
      </w:pPr>
    </w:p>
    <w:p>
      <w:pPr>
        <w:ind w:left="1880" w:hanging="482"/>
        <w:spacing w:after="0"/>
        <w:tabs>
          <w:tab w:leader="none" w:pos="188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 violation of any of the provisions of the Organizational Documents of Parent or any Significant Parent Subsidiary;</w:t>
      </w:r>
    </w:p>
    <w:p>
      <w:pPr>
        <w:spacing w:after="0" w:line="161" w:lineRule="exact"/>
        <w:rPr>
          <w:rFonts w:ascii="Times New Roman" w:cs="Times New Roman" w:eastAsia="Times New Roman" w:hAnsi="Times New Roman"/>
          <w:sz w:val="13"/>
          <w:szCs w:val="13"/>
          <w:color w:val="auto"/>
        </w:rPr>
      </w:pPr>
    </w:p>
    <w:p>
      <w:pPr>
        <w:ind w:left="460" w:right="20" w:firstLine="938"/>
        <w:spacing w:after="0" w:line="278" w:lineRule="auto"/>
        <w:tabs>
          <w:tab w:leader="none" w:pos="1887"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assuming the consents and filings referred to in </w:t>
      </w:r>
      <w:r>
        <w:rPr>
          <w:rFonts w:ascii="Times New Roman" w:cs="Times New Roman" w:eastAsia="Times New Roman" w:hAnsi="Times New Roman"/>
          <w:sz w:val="13"/>
          <w:szCs w:val="13"/>
          <w:u w:val="single" w:color="auto"/>
          <w:color w:val="auto"/>
        </w:rPr>
        <w:t>Section 3.5(b)</w:t>
      </w:r>
      <w:r>
        <w:rPr>
          <w:rFonts w:ascii="Times New Roman" w:cs="Times New Roman" w:eastAsia="Times New Roman" w:hAnsi="Times New Roman"/>
          <w:sz w:val="13"/>
          <w:szCs w:val="13"/>
          <w:color w:val="auto"/>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spacing w:after="0" w:line="120" w:lineRule="exact"/>
        <w:rPr>
          <w:rFonts w:ascii="Times New Roman" w:cs="Times New Roman" w:eastAsia="Times New Roman" w:hAnsi="Times New Roman"/>
          <w:sz w:val="13"/>
          <w:szCs w:val="13"/>
          <w:color w:val="auto"/>
        </w:rPr>
      </w:pPr>
    </w:p>
    <w:p>
      <w:pPr>
        <w:jc w:val="both"/>
        <w:ind w:left="460" w:right="20" w:firstLine="938"/>
        <w:spacing w:after="0" w:line="259" w:lineRule="auto"/>
        <w:tabs>
          <w:tab w:leader="none" w:pos="192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except, in the cases of </w:t>
      </w:r>
      <w:r>
        <w:rPr>
          <w:rFonts w:ascii="Times New Roman" w:cs="Times New Roman" w:eastAsia="Times New Roman" w:hAnsi="Times New Roman"/>
          <w:sz w:val="13"/>
          <w:szCs w:val="13"/>
          <w:u w:val="single" w:color="auto"/>
          <w:color w:val="auto"/>
        </w:rPr>
        <w:t>clauses (ii)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as would not have, and would not reasonably be expected to have, individually or in the aggregate, a Parent Material Adverse Effect.</w:t>
      </w:r>
    </w:p>
    <w:p>
      <w:pPr>
        <w:spacing w:after="0" w:line="162" w:lineRule="exact"/>
        <w:rPr>
          <w:sz w:val="20"/>
          <w:szCs w:val="20"/>
          <w:color w:val="auto"/>
        </w:rPr>
      </w:pPr>
    </w:p>
    <w:p>
      <w:pPr>
        <w:jc w:val="both"/>
        <w:ind w:firstLine="932"/>
        <w:spacing w:after="0" w:line="257" w:lineRule="auto"/>
        <w:tabs>
          <w:tab w:leader="none" w:pos="1377"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3.6</w:t>
      </w:r>
      <w:r>
        <w:rPr>
          <w:sz w:val="20"/>
          <w:szCs w:val="20"/>
          <w:color w:val="auto"/>
        </w:rPr>
        <w:tab/>
      </w:r>
      <w:r>
        <w:rPr>
          <w:rFonts w:ascii="Times New Roman" w:cs="Times New Roman" w:eastAsia="Times New Roman" w:hAnsi="Times New Roman"/>
          <w:sz w:val="12"/>
          <w:szCs w:val="12"/>
          <w:u w:val="single" w:color="auto"/>
          <w:color w:val="auto"/>
        </w:rPr>
        <w:t>Reports; Financial Statements; Internal Controls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2" w:lineRule="auto"/>
        <w:tabs>
          <w:tab w:leader="none" w:pos="141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reports, schedules, forms, statements and other documents (including exhibits and all other information incorporated by reference therein) required to be filed or furnished by Parent with the SEC under the Exchange Act or Securities Act since January 1, 2024 (the “</w:t>
      </w:r>
      <w:r>
        <w:rPr>
          <w:rFonts w:ascii="Times New Roman" w:cs="Times New Roman" w:eastAsia="Times New Roman" w:hAnsi="Times New Roman"/>
          <w:sz w:val="13"/>
          <w:szCs w:val="13"/>
          <w:u w:val="single" w:color="auto"/>
          <w:color w:val="auto"/>
        </w:rPr>
        <w:t>Parent SEC Documents</w:t>
      </w:r>
      <w:r>
        <w:rPr>
          <w:rFonts w:ascii="Times New Roman" w:cs="Times New Roman" w:eastAsia="Times New Roman" w:hAnsi="Times New Roman"/>
          <w:sz w:val="13"/>
          <w:szCs w:val="13"/>
          <w:color w:val="auto"/>
        </w:rPr>
        <w:t xml:space="preserve">”), have been filed or furnished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representation is made as to the accuracy of any financial projections or forward-looking statements or the completeness of any information filed or furnished by Parent to the SEC solely for the purposes of complying with Regulation FD promulgated under the Exchange Act. Since January 1, 2024, with respect to each annual report on Form 10-K and each quarterly report on Form 10-Q included in the Parent SEC Documents, no principal or chief executive officer or principal or chief financial officer of Parent has failed to make the certifications required of him or her under Section 302 or 906 of the Sarbanes-Oxley Act. As of the date of this Agreement, (i) there are no outstanding or unresolved comments from the SEC with respect to any of the Parent SEC Documents and, to the knowledge of Parent, none of the Parent SEC Documents is the subject of any ongoing SEC review; and (ii) to the knowledge of Parent, there are no pending or threatened (A) formal or informal investigations of Parent by the SEC or (B) inspections of an audit of the Parent’s financial statements by the Public Company Accounting Oversight Board.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8" w:name="page49"/>
    <w:bookmarkEnd w:id="48"/>
    <w:p>
      <w:pPr>
        <w:jc w:val="both"/>
        <w:ind w:firstLine="932"/>
        <w:spacing w:after="0" w:line="255" w:lineRule="auto"/>
        <w:tabs>
          <w:tab w:leader="none" w:pos="133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and auditor reports) contained or incorporated by reference in the Parent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spacing w:after="0" w:line="136" w:lineRule="exact"/>
        <w:rPr>
          <w:rFonts w:ascii="Times New Roman" w:cs="Times New Roman" w:eastAsia="Times New Roman" w:hAnsi="Times New Roman"/>
          <w:sz w:val="13"/>
          <w:szCs w:val="13"/>
          <w:color w:val="auto"/>
        </w:rPr>
      </w:pPr>
    </w:p>
    <w:p>
      <w:pPr>
        <w:jc w:val="both"/>
        <w:ind w:firstLine="932"/>
        <w:spacing w:after="0" w:line="253" w:lineRule="auto"/>
        <w:tabs>
          <w:tab w:leader="none" w:pos="1381"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Parent and the Parent Subsidiaries; (ii) that transactions are recorded as necessary to permit preparation of financial statements in conformity with GAAP and that receipts and expenditures are being made only in accordance with general or specific authorizations of management and directors of Parent; and (iii) regarding prevention or timely detection of unauthorized acquisition, use or disposition of the assets of Parent and the Parent Subsidiaries that could have a material effect on the financial statements. Since January 1, 2024, to the knowledge of Parent, management of Parent has disclosed to Parent’s auditors and the audit committee of the Parent Board (x) any significant deficiencies or material weaknesses in the design and operation of internal controls over financial reporting that is reasonably likely to adversely affect Parent’s ability to record, process, summarize and report financial information and (y) any fraud, whether or not material, that involves management or any other employees who have a significant role in Parent’s internal control over financial reporting, and each such significant deficiency, material weakness and fraud so disclosed to auditors, if any, has been disclosed to the Company prior to the date hereof.</w:t>
      </w:r>
    </w:p>
    <w:p>
      <w:pPr>
        <w:spacing w:after="0" w:line="139" w:lineRule="exact"/>
        <w:rPr>
          <w:rFonts w:ascii="Times New Roman" w:cs="Times New Roman" w:eastAsia="Times New Roman" w:hAnsi="Times New Roman"/>
          <w:sz w:val="13"/>
          <w:szCs w:val="13"/>
          <w:color w:val="auto"/>
        </w:rPr>
      </w:pPr>
    </w:p>
    <w:p>
      <w:pPr>
        <w:ind w:firstLine="932"/>
        <w:spacing w:after="0" w:line="278" w:lineRule="auto"/>
        <w:tabs>
          <w:tab w:leader="none" w:pos="141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maintains disclosure controls as required by Rule 13a-15 or 15d-15 under the Exchange Act. As of the date hereof, Parent is in compliance with all current listing requirements of Nasdaq, except as would not have, and would not reasonably be expected to have, individually or in the aggregate, a Parent Material Adverse Effect.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ind w:left="1400" w:hanging="468"/>
        <w:spacing w:after="0"/>
        <w:tabs>
          <w:tab w:leader="none" w:pos="14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Parent Subsidiary is a party to, or has a commitment to effect, enter into or create, any “off-balance sheet arrangement” (as defined in Item 303(b) of Regulation S-K</w:t>
      </w:r>
    </w:p>
    <w:p>
      <w:pPr>
        <w:spacing w:after="0" w:line="1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Exchange Act).</w:t>
      </w:r>
    </w:p>
    <w:p>
      <w:pPr>
        <w:spacing w:after="0" w:line="149" w:lineRule="exact"/>
        <w:rPr>
          <w:rFonts w:ascii="Times New Roman" w:cs="Times New Roman" w:eastAsia="Times New Roman" w:hAnsi="Times New Roman"/>
          <w:sz w:val="13"/>
          <w:szCs w:val="13"/>
          <w:color w:val="auto"/>
        </w:rPr>
      </w:pPr>
    </w:p>
    <w:p>
      <w:pPr>
        <w:jc w:val="both"/>
        <w:ind w:right="20" w:firstLine="932"/>
        <w:spacing w:after="0" w:line="257" w:lineRule="auto"/>
        <w:tabs>
          <w:tab w:leader="none" w:pos="1372"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Parent Subsidiary has any liabilities of a nature or type required by GAAP to be reflected on a consolidated balance sheet of Parent (or disclosed in the notes),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 (iii) liabilities that would not have, or reasonably be expected to have, individually or in the aggregate, a Parent Material Adverse Effect; (iv) liabilities and obligations incurred in connection with the transactions contemplated by this Agreement or otherwise as contemplated by this Agreement, and (v) liabilities owed by one of Parent or a Parent Subsidiary to another of Parent or a Parent Subsidiary.</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3.7</w:t>
      </w:r>
      <w:r>
        <w:rPr>
          <w:sz w:val="20"/>
          <w:szCs w:val="20"/>
          <w:color w:val="auto"/>
        </w:rPr>
        <w:tab/>
      </w:r>
      <w:r>
        <w:rPr>
          <w:rFonts w:ascii="Times New Roman" w:cs="Times New Roman" w:eastAsia="Times New Roman" w:hAnsi="Times New Roman"/>
          <w:sz w:val="12"/>
          <w:szCs w:val="12"/>
          <w:u w:val="single" w:color="auto"/>
          <w:color w:val="auto"/>
        </w:rPr>
        <w:t>Absence of Certain Changes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0" w:firstLine="932"/>
        <w:spacing w:after="0" w:line="278" w:lineRule="auto"/>
        <w:tabs>
          <w:tab w:leader="none" w:pos="139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of the Most Recent Parent Balance Sheet through the date of this Agreement, there has not been any Effect that has had, or would reasonably be expected to have, individually or in the aggregate, a Parent Material Adverse Effect.</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9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the date of the Most Recent Parent Balance Sheet to the date of this Agreement, the businesses of Parent and the Parent Subsidiaries have been conducted in all material respects in the ordinary course of business, and neither Parent nor any Parent Subsidiary has undertaken any action that if proposed to be taken after the date of this Agreement would require the Company’s consent pursuant to </w:t>
      </w:r>
      <w:r>
        <w:rPr>
          <w:rFonts w:ascii="Times New Roman" w:cs="Times New Roman" w:eastAsia="Times New Roman" w:hAnsi="Times New Roman"/>
          <w:sz w:val="13"/>
          <w:szCs w:val="13"/>
          <w:u w:val="single" w:color="auto"/>
          <w:color w:val="auto"/>
        </w:rPr>
        <w:t>Sections 4.2(b)</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3.8</w:t>
      </w:r>
      <w:r>
        <w:rPr>
          <w:sz w:val="20"/>
          <w:szCs w:val="20"/>
          <w:color w:val="auto"/>
        </w:rPr>
        <w:tab/>
      </w:r>
      <w:r>
        <w:rPr>
          <w:rFonts w:ascii="Times New Roman" w:cs="Times New Roman" w:eastAsia="Times New Roman" w:hAnsi="Times New Roman"/>
          <w:sz w:val="12"/>
          <w:szCs w:val="12"/>
          <w:u w:val="single" w:color="auto"/>
          <w:color w:val="auto"/>
        </w:rPr>
        <w:t>Intellectual Property and Related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64" w:lineRule="auto"/>
        <w:tabs>
          <w:tab w:leader="none" w:pos="14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 the material Parent IP that is Registered IP (“</w:t>
      </w:r>
      <w:r>
        <w:rPr>
          <w:rFonts w:ascii="Times New Roman" w:cs="Times New Roman" w:eastAsia="Times New Roman" w:hAnsi="Times New Roman"/>
          <w:sz w:val="13"/>
          <w:szCs w:val="13"/>
          <w:u w:val="single" w:color="auto"/>
          <w:color w:val="auto"/>
        </w:rPr>
        <w:t>Parent Registered IP</w:t>
      </w:r>
      <w:r>
        <w:rPr>
          <w:rFonts w:ascii="Times New Roman" w:cs="Times New Roman" w:eastAsia="Times New Roman" w:hAnsi="Times New Roman"/>
          <w:sz w:val="13"/>
          <w:szCs w:val="13"/>
          <w:color w:val="auto"/>
        </w:rPr>
        <w:t>”) (other than applications for Patents, Marks or Copyrights pending as of the date hereof), including all Parent Registered IP that is currently being asserted in any infringement proceedings, is subsisting and, to the knowledge of Parent, valid and enforceable.</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426"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 all material Parent IP is owned exclusively by Parent or a Parent Subsidiary free and clear of all Liens other than Parent Permitted Encumbrances.</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42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 (i) neither Parent nor any Parent Subsidiary is subject to any outstanding Order that restricts in any material manner the use, transfer or licensing of any material Parent IP by Parent or any Parent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Parent or any Parent Subsidiary is a party, the release, disclosure, or delivery of any material Parent IP by or to any escrow agent or other Person.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0" w:name="page51"/>
    <w:bookmarkEnd w:id="50"/>
    <w:p>
      <w:pPr>
        <w:jc w:val="both"/>
        <w:ind w:firstLine="932"/>
        <w:spacing w:after="0" w:line="254" w:lineRule="auto"/>
        <w:tabs>
          <w:tab w:leader="none" w:pos="139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would not have, and would not reasonably be expected to have, individually or in the aggregate, a Parent Material Adverse Effect, (i) the operations of the businesses of Parent and the Parent Subsidiaries as currently conducted, including Parent’s and the Parent Subsidiaries’ design, manufacture, provision, use and sale of any Parent Products, do not infringe, misappropriate or otherwise violate, and, since January 1, 2024, have not infringed, misappropriated or otherwise violated, any Intellectual Property Rights owned by any other Person;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with respect to the infringement of Patents, the foregoing representation and warranty is limited to the knowledge of Parent and (ii) no Legal Proceeding is pending or, since January 1, 2024, has been threatened in writing, against Parent or any Parent Subsidiary alleging any infringement, misappropriation or violation of any Intellectual Property Rights of any other Person by Parent or any Parent Subsidiary, (iii) to the knowledge of Parent, there is no unauthorized use, unauthorized disclosure, infringement or misappropriation of any Parent IP by any third Person, and (iv) since January 1, 2024, neither Parent nor any Parent Subsidiary has brought any Legal Proceeding against any other Person, or provided any other Person with written notice or other assertion, alleging any Person is infringing, misappropriating or otherwise violating any Parent IP.</w:t>
      </w:r>
    </w:p>
    <w:p>
      <w:pPr>
        <w:spacing w:after="0" w:line="137" w:lineRule="exact"/>
        <w:rPr>
          <w:rFonts w:ascii="Times New Roman" w:cs="Times New Roman" w:eastAsia="Times New Roman" w:hAnsi="Times New Roman"/>
          <w:sz w:val="13"/>
          <w:szCs w:val="13"/>
          <w:color w:val="auto"/>
        </w:rPr>
      </w:pPr>
    </w:p>
    <w:p>
      <w:pPr>
        <w:jc w:val="both"/>
        <w:ind w:firstLine="932"/>
        <w:spacing w:after="0" w:line="264" w:lineRule="auto"/>
        <w:tabs>
          <w:tab w:leader="none" w:pos="137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 to the knowledge of Parent, (i) no material Parent IP has been declared as essential to any standard and (ii) no third party has specifically alleged that any material Parent IP is subject to any licensing, assignment, contribution, disclosure, or other requirements or restrictions of any industry standards organization, body, working group, patent pool, trade association, or similar organization.</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3.9</w:t>
      </w:r>
      <w:r>
        <w:rPr>
          <w:sz w:val="20"/>
          <w:szCs w:val="20"/>
          <w:color w:val="auto"/>
        </w:rPr>
        <w:tab/>
      </w:r>
      <w:r>
        <w:rPr>
          <w:rFonts w:ascii="Times New Roman" w:cs="Times New Roman" w:eastAsia="Times New Roman" w:hAnsi="Times New Roman"/>
          <w:sz w:val="12"/>
          <w:szCs w:val="12"/>
          <w:u w:val="single" w:color="auto"/>
          <w:color w:val="auto"/>
        </w:rPr>
        <w:t>Compliance with Legal Requirements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7" w:lineRule="auto"/>
        <w:tabs>
          <w:tab w:leader="none" w:pos="1379"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Parent Subsidiaries are, and since January 1, 2023, have been, in compliance with all Legal Requirements applicable to them and their businesses, except where the failure to comply with such Legal Requirements, individually or in the aggregate, has not been or would not reasonably be expected to be material to Parent and the Parent Subsidiaries, taken as a whole. Neither Parent nor any Parent Subsidiary has, during the three-year period prior to the date of this Agreement, to the knowledge of Parent, received any written or verbal notice from any Governmental Entity regarding any material violation by Parent or any Significant Parent Subsidiary of any Legal Requirement, in each case except where such violation, individually or in the aggregate, has not been and would not reasonably be expected to be material to Parent and the Parent Subsidiaries, taken as a whole.</w:t>
      </w:r>
    </w:p>
    <w:p>
      <w:pPr>
        <w:spacing w:after="0" w:line="133" w:lineRule="exact"/>
        <w:rPr>
          <w:rFonts w:ascii="Times New Roman" w:cs="Times New Roman" w:eastAsia="Times New Roman" w:hAnsi="Times New Roman"/>
          <w:sz w:val="13"/>
          <w:szCs w:val="13"/>
          <w:color w:val="auto"/>
        </w:rPr>
      </w:pPr>
    </w:p>
    <w:p>
      <w:pPr>
        <w:jc w:val="both"/>
        <w:ind w:firstLine="932"/>
        <w:spacing w:after="0" w:line="254" w:lineRule="auto"/>
        <w:tabs>
          <w:tab w:leader="none" w:pos="1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Parent Subsidiaries hold, and have at all times since January 1, 2023 held, all Governmental Authorizations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Times New Roman" w:cs="Times New Roman" w:eastAsia="Times New Roman" w:hAnsi="Times New Roman"/>
          <w:sz w:val="13"/>
          <w:szCs w:val="13"/>
          <w:u w:val="single" w:color="auto"/>
          <w:color w:val="auto"/>
        </w:rPr>
        <w:t>Parent Permits</w:t>
      </w:r>
      <w:r>
        <w:rPr>
          <w:rFonts w:ascii="Times New Roman" w:cs="Times New Roman" w:eastAsia="Times New Roman" w:hAnsi="Times New Roman"/>
          <w:sz w:val="13"/>
          <w:szCs w:val="13"/>
          <w:color w:val="auto"/>
        </w:rPr>
        <w:t>”) and have paid all fees and assessments due and payable in connection therewith, except where the failure to have, file or pay, individually or in the aggregate, has not been and would not reasonably be expected to be material to Parent and the Parent Subsidiaries, taken as a whole. Except as has not been and would not reasonably be expected to be material, individually or in the aggregate, to Parent and the Parent Subsidiaries, taken as a whole,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1" w:name="page52"/>
    <w:bookmarkEnd w:id="51"/>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3.10</w:t>
      </w:r>
      <w:r>
        <w:rPr>
          <w:sz w:val="20"/>
          <w:szCs w:val="20"/>
          <w:color w:val="auto"/>
        </w:rPr>
        <w:tab/>
      </w:r>
      <w:r>
        <w:rPr>
          <w:rFonts w:ascii="Times New Roman" w:cs="Times New Roman" w:eastAsia="Times New Roman" w:hAnsi="Times New Roman"/>
          <w:sz w:val="12"/>
          <w:szCs w:val="12"/>
          <w:u w:val="single" w:color="auto"/>
          <w:color w:val="auto"/>
        </w:rPr>
        <w:t>Legal Proceedings; Investigations; Orders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9" w:lineRule="auto"/>
        <w:tabs>
          <w:tab w:leader="none" w:pos="140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w:t>
      </w:r>
    </w:p>
    <w:p>
      <w:pPr>
        <w:spacing w:after="0" w:line="132" w:lineRule="exact"/>
        <w:rPr>
          <w:rFonts w:ascii="Times New Roman" w:cs="Times New Roman" w:eastAsia="Times New Roman" w:hAnsi="Times New Roman"/>
          <w:sz w:val="13"/>
          <w:szCs w:val="13"/>
          <w:color w:val="auto"/>
        </w:rPr>
      </w:pPr>
    </w:p>
    <w:p>
      <w:pPr>
        <w:ind w:right="20" w:firstLine="932"/>
        <w:spacing w:after="0" w:line="278" w:lineRule="auto"/>
        <w:tabs>
          <w:tab w:leader="none" w:pos="140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be, and would not reasonably be expected to be, individually or in the aggregate, material to Parent and its Subsidiaries, taken as a whole, there is no Order outstanding against the Parent, the Merger Sub or any of their respective assets, rights or properties.</w:t>
      </w:r>
    </w:p>
    <w:p>
      <w:pPr>
        <w:spacing w:after="0" w:line="121"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3"/>
          <w:szCs w:val="13"/>
          <w:color w:val="auto"/>
        </w:rPr>
        <w:t>3.11</w:t>
      </w:r>
      <w:r>
        <w:rPr>
          <w:sz w:val="20"/>
          <w:szCs w:val="20"/>
          <w:color w:val="auto"/>
        </w:rPr>
        <w:tab/>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1400" w:hanging="468"/>
        <w:spacing w:after="0"/>
        <w:tabs>
          <w:tab w:leader="none" w:pos="14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have, and would not reasonably be expected to have, individually or in the aggregate, a Parent Material Adverse Effect:</w:t>
      </w:r>
    </w:p>
    <w:p>
      <w:pPr>
        <w:spacing w:after="0" w:line="161" w:lineRule="exact"/>
        <w:rPr>
          <w:rFonts w:ascii="Times New Roman" w:cs="Times New Roman" w:eastAsia="Times New Roman" w:hAnsi="Times New Roman"/>
          <w:sz w:val="13"/>
          <w:szCs w:val="13"/>
          <w:color w:val="auto"/>
        </w:rPr>
      </w:pPr>
    </w:p>
    <w:p>
      <w:pPr>
        <w:ind w:left="460" w:right="20" w:firstLine="938"/>
        <w:spacing w:after="0" w:line="278" w:lineRule="auto"/>
        <w:tabs>
          <w:tab w:leader="none" w:pos="1884"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Parent Subsidiaries have timely filed (taking into account any extension of time within which to file) all Tax Returns that are required to be filed by or with respect to any of them (the “</w:t>
      </w:r>
      <w:r>
        <w:rPr>
          <w:rFonts w:ascii="Times New Roman" w:cs="Times New Roman" w:eastAsia="Times New Roman" w:hAnsi="Times New Roman"/>
          <w:sz w:val="13"/>
          <w:szCs w:val="13"/>
          <w:u w:val="single" w:color="auto"/>
          <w:color w:val="auto"/>
        </w:rPr>
        <w:t>Parent Returns</w:t>
      </w:r>
      <w:r>
        <w:rPr>
          <w:rFonts w:ascii="Times New Roman" w:cs="Times New Roman" w:eastAsia="Times New Roman" w:hAnsi="Times New Roman"/>
          <w:sz w:val="13"/>
          <w:szCs w:val="13"/>
          <w:color w:val="auto"/>
        </w:rPr>
        <w:t>”) and all such Parent Returns are true, correct and complete.</w:t>
      </w:r>
    </w:p>
    <w:p>
      <w:pPr>
        <w:spacing w:after="0" w:line="120"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1867"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Parent Subsidiaries have timely paid in full to the appropriate Governmental Entity all Taxes required to be paid by any of them (whether or not reflected on any Tax Returns), and the financial statements of Parent and the Parent Subsidiaries reflect full and adequate reserves, in accordance with GAAP, for all Taxes accrued but not yet paid by Parent or any Parent Subsidiary.</w:t>
      </w:r>
    </w:p>
    <w:p>
      <w:pPr>
        <w:spacing w:after="0" w:line="129" w:lineRule="exact"/>
        <w:rPr>
          <w:rFonts w:ascii="Times New Roman" w:cs="Times New Roman" w:eastAsia="Times New Roman" w:hAnsi="Times New Roman"/>
          <w:sz w:val="13"/>
          <w:szCs w:val="13"/>
          <w:color w:val="auto"/>
        </w:rPr>
      </w:pPr>
    </w:p>
    <w:p>
      <w:pPr>
        <w:jc w:val="both"/>
        <w:ind w:left="460" w:firstLine="938"/>
        <w:spacing w:after="0" w:line="259" w:lineRule="auto"/>
        <w:tabs>
          <w:tab w:leader="none" w:pos="1835"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the Parent Subsidiaries has (i)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w:t>
      </w:r>
    </w:p>
    <w:p>
      <w:pPr>
        <w:spacing w:after="0" w:line="132" w:lineRule="exact"/>
        <w:rPr>
          <w:rFonts w:ascii="Times New Roman" w:cs="Times New Roman" w:eastAsia="Times New Roman" w:hAnsi="Times New Roman"/>
          <w:sz w:val="13"/>
          <w:szCs w:val="13"/>
          <w:color w:val="auto"/>
        </w:rPr>
      </w:pPr>
    </w:p>
    <w:p>
      <w:pPr>
        <w:jc w:val="both"/>
        <w:ind w:left="460" w:right="20" w:firstLine="938"/>
        <w:spacing w:after="0" w:line="259" w:lineRule="auto"/>
        <w:tabs>
          <w:tab w:leader="none" w:pos="1826"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 examinations, investigations, audits, or other proceedings pending or threatened in writing with respect to any material Taxes of Parent or any Parent Subsidiary or any material Parent Returns; (B) extensions or waivers of the limitation period applicable to any material Parent Return or the period for the assessment of any material Taxes of Parent or the Parent Subsidiaries; (C) deficiencies for material Taxes that have been claimed, proposed or assessed by any Governmental Entity against Parent or any Parent Subsidiary that have not been fully satisfied by payment; or (D) Liens in respect of or on account of material Taxes (other than Parent Permitted Encumbrances) upon any of the property or assets of Parent or any Parent Subsidiary.</w:t>
      </w:r>
    </w:p>
    <w:p>
      <w:pPr>
        <w:spacing w:after="0" w:line="132"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1848"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the Parent Subsidiaries (A) is or has been, since January 1, 2016, a member of any affiliated, combined, consolidated, unitary or similar group for purposes of filing Tax Returns or paying Taxes, except for any such group of which Parent is the common parent, or (B) has any liability for Taxes of any Person (other than Parent or any Parent Subsidiary) under Treasury Regulations Section 1.1502-6 (or any similar state, local or non-U.S. Legal Requirement) or as a transferee or successor.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2" w:name="page53"/>
    <w:bookmarkEnd w:id="52"/>
    <w:p>
      <w:pPr>
        <w:ind w:firstLine="932"/>
        <w:spacing w:after="0" w:line="278" w:lineRule="auto"/>
        <w:tabs>
          <w:tab w:leader="none" w:pos="1467"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Parent Subsidiary has taken or agreed to take any action, or believes or has any reason to believe that any conditions exist, that would reasonably be expected to prevent or impede the Merger from qualifying for the Intended Tax Treatment.</w:t>
      </w:r>
    </w:p>
    <w:p>
      <w:pPr>
        <w:spacing w:after="0" w:line="120" w:lineRule="exact"/>
        <w:rPr>
          <w:rFonts w:ascii="Times New Roman" w:cs="Times New Roman" w:eastAsia="Times New Roman" w:hAnsi="Times New Roman"/>
          <w:sz w:val="13"/>
          <w:szCs w:val="13"/>
          <w:color w:val="auto"/>
        </w:rPr>
      </w:pPr>
    </w:p>
    <w:p>
      <w:pPr>
        <w:ind w:left="1360" w:hanging="428"/>
        <w:spacing w:after="0"/>
        <w:tabs>
          <w:tab w:leader="none" w:pos="136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Sub has at all times since formation been classified as a corporation for U.S. federal and applicable state and local income tax purposes.</w:t>
      </w:r>
    </w:p>
    <w:p>
      <w:pPr>
        <w:spacing w:after="0" w:line="162"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xml:space="preserve">. Assuming the accuracy of the Company’s representation in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the Parent Board has taken all action necessary to render Section 203 of the DGCL, all other potentially applicable state anti-takeover statutes and any similar provisions of the Parent’s Organizational Documents inapplicable to the Merger and the Parent Share Issuance.</w:t>
      </w:r>
    </w:p>
    <w:p>
      <w:pPr>
        <w:spacing w:after="0" w:line="121"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Ownership of Company Common Stock</w:t>
      </w:r>
      <w:r>
        <w:rPr>
          <w:rFonts w:ascii="Times New Roman" w:cs="Times New Roman" w:eastAsia="Times New Roman" w:hAnsi="Times New Roman"/>
          <w:sz w:val="13"/>
          <w:szCs w:val="13"/>
          <w:color w:val="auto"/>
        </w:rPr>
        <w:t>.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29"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 broker, finder or investment banker (other than Morgan Stanley &amp; Co. LLC and J.P. Morgan Securities LLC) is entitled to any brokerage, finder’s or other similar fee or commission in connection with the Merger based upon arrangements made by or on behalf of Parent.</w:t>
      </w:r>
    </w:p>
    <w:p>
      <w:pPr>
        <w:spacing w:after="0" w:line="121" w:lineRule="exact"/>
        <w:rPr>
          <w:sz w:val="20"/>
          <w:szCs w:val="20"/>
          <w:color w:val="auto"/>
        </w:rPr>
      </w:pPr>
    </w:p>
    <w:p>
      <w:pPr>
        <w:jc w:val="both"/>
        <w:ind w:right="20" w:firstLine="467"/>
        <w:spacing w:after="0" w:line="257"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Information Supplied</w:t>
      </w:r>
      <w:r>
        <w:rPr>
          <w:rFonts w:ascii="Times New Roman" w:cs="Times New Roman" w:eastAsia="Times New Roman" w:hAnsi="Times New Roman"/>
          <w:sz w:val="13"/>
          <w:szCs w:val="13"/>
          <w:color w:val="auto"/>
        </w:rPr>
        <w:t>. The information supplied or to be supplied by Parent specifically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Form S-4 (including the Proxy Statement/Prospectus).</w:t>
      </w:r>
    </w:p>
    <w:p>
      <w:pPr>
        <w:spacing w:after="0" w:line="133" w:lineRule="exact"/>
        <w:rPr>
          <w:sz w:val="20"/>
          <w:szCs w:val="20"/>
          <w:color w:val="auto"/>
        </w:rPr>
      </w:pPr>
    </w:p>
    <w:p>
      <w:pPr>
        <w:jc w:val="both"/>
        <w:ind w:right="20" w:firstLine="467"/>
        <w:spacing w:after="0" w:line="255" w:lineRule="auto"/>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Availability of Shares &amp; Funds</w:t>
      </w:r>
      <w:r>
        <w:rPr>
          <w:rFonts w:ascii="Times New Roman" w:cs="Times New Roman" w:eastAsia="Times New Roman" w:hAnsi="Times New Roman"/>
          <w:sz w:val="13"/>
          <w:szCs w:val="13"/>
          <w:color w:val="auto"/>
        </w:rPr>
        <w:t xml:space="preserve">. Assuming the accuracy of the representations and warranties in </w:t>
      </w:r>
      <w:r>
        <w:rPr>
          <w:rFonts w:ascii="Times New Roman" w:cs="Times New Roman" w:eastAsia="Times New Roman" w:hAnsi="Times New Roman"/>
          <w:sz w:val="13"/>
          <w:szCs w:val="13"/>
          <w:u w:val="single" w:color="auto"/>
          <w:color w:val="auto"/>
        </w:rPr>
        <w:t>Sections 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2.11(e)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(p)</w:t>
      </w:r>
      <w:r>
        <w:rPr>
          <w:rFonts w:ascii="Times New Roman" w:cs="Times New Roman" w:eastAsia="Times New Roman" w:hAnsi="Times New Roman"/>
          <w:sz w:val="13"/>
          <w:szCs w:val="13"/>
          <w:color w:val="auto"/>
        </w:rPr>
        <w:t>, (a) Parent has, as of the date hereof, and Parent will have, as of the Closing, (a) sufficient authorized and unissued shares of Parent Common Stock to issue the aggregate Merger Consideration and (b) Parent will have, as of the Closing, sufficient financial resources to pay all amounts required to consummate and perform its obligations with respect to the Merger and the other transactions contemplated hereby on the terms and subject to the conditions contemplated hereby, including all funds necessary for the payment of all fees and expenses of or payable by any of Parent, the Merger Sub and the Surviving Corporation and any amounts that become payable in respect of the Credit Facility Termination, the redemption or repurchase of the Company Senior Notes and the conversion of the Company Convertible Notes. In no event shall the receipt or availability of any funds or financing by Parent or Merger Sub or any other financing be a condition to Parent’s or Merger Sub’s obligations to consummate the Merger hereunder and the other transactions contemplated hereby.</w:t>
      </w:r>
    </w:p>
    <w:p>
      <w:pPr>
        <w:spacing w:after="0" w:line="136"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3.17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Parent is the sole stockholder of Merger Sub. Since the date of its incorporation, Merger Sub has not carried on any business or conducted any operation other than the execution of this Agreement, the performance of its obligations hereunder and matters ancillary thereto.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3" w:name="page54"/>
    <w:bookmarkEnd w:id="53"/>
    <w:p>
      <w:pPr>
        <w:ind w:left="526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u w:val="single" w:color="auto"/>
          <w:color w:val="auto"/>
        </w:rPr>
        <w:t>COVENANTS</w:t>
      </w:r>
    </w:p>
    <w:p>
      <w:pPr>
        <w:spacing w:after="0" w:line="150"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2"/>
          <w:szCs w:val="12"/>
          <w:u w:val="single" w:color="auto"/>
          <w:color w:val="auto"/>
        </w:rPr>
        <w:t>Access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2" w:lineRule="auto"/>
        <w:tabs>
          <w:tab w:leader="none" w:pos="14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(provided the Company and the Company Subsidiaries shall not be required to implement such plans prior to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nothing in this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w:t>
      </w:r>
    </w:p>
    <w:p>
      <w:pPr>
        <w:spacing w:after="0" w:line="138" w:lineRule="exact"/>
        <w:rPr>
          <w:rFonts w:ascii="Times New Roman" w:cs="Times New Roman" w:eastAsia="Times New Roman" w:hAnsi="Times New Roman"/>
          <w:sz w:val="13"/>
          <w:szCs w:val="13"/>
          <w:color w:val="auto"/>
        </w:rPr>
      </w:pPr>
    </w:p>
    <w:p>
      <w:pPr>
        <w:ind w:right="20" w:firstLine="932"/>
        <w:spacing w:after="0" w:line="278" w:lineRule="auto"/>
        <w:tabs>
          <w:tab w:leader="none" w:pos="137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exchange of information or investigation by Parent or Parent’s Representatives under this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shall affect or be deemed to affect, modify or waive the scope of the representations and warranties of the Company set forth in this Agreement.</w:t>
      </w:r>
    </w:p>
    <w:p>
      <w:pPr>
        <w:spacing w:after="0" w:line="121"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2"/>
          <w:szCs w:val="12"/>
          <w:u w:val="single" w:color="auto"/>
          <w:color w:val="auto"/>
        </w:rPr>
        <w:t>Interim Operations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3" w:lineRule="auto"/>
        <w:tabs>
          <w:tab w:leader="none" w:pos="1382"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Parent does not respond in writing to such request within five (5) Business Days after receipt thereof, such consent shall be deemed to have been given), (B) as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4" w:name="page55"/>
    <w:bookmarkEnd w:id="54"/>
    <w:p>
      <w:pPr>
        <w:ind w:left="1420" w:hanging="482"/>
        <w:spacing w:after="0"/>
        <w:tabs>
          <w:tab w:leader="none" w:pos="14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Organizational Documents of the Company or any Significant Company Subsidiary;</w:t>
      </w:r>
    </w:p>
    <w:p>
      <w:pPr>
        <w:spacing w:after="0" w:line="161" w:lineRule="exact"/>
        <w:rPr>
          <w:rFonts w:ascii="Times New Roman" w:cs="Times New Roman" w:eastAsia="Times New Roman" w:hAnsi="Times New Roman"/>
          <w:sz w:val="13"/>
          <w:szCs w:val="13"/>
          <w:color w:val="auto"/>
        </w:rPr>
      </w:pPr>
    </w:p>
    <w:p>
      <w:pPr>
        <w:jc w:val="both"/>
        <w:ind w:right="20" w:firstLine="938"/>
        <w:spacing w:after="0" w:line="264" w:lineRule="auto"/>
        <w:tabs>
          <w:tab w:leader="none" w:pos="1339"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w:t>
      </w:r>
    </w:p>
    <w:p>
      <w:pPr>
        <w:spacing w:after="0" w:line="129" w:lineRule="exact"/>
        <w:rPr>
          <w:rFonts w:ascii="Times New Roman" w:cs="Times New Roman" w:eastAsia="Times New Roman" w:hAnsi="Times New Roman"/>
          <w:sz w:val="13"/>
          <w:szCs w:val="13"/>
          <w:color w:val="auto"/>
        </w:rPr>
      </w:pPr>
    </w:p>
    <w:p>
      <w:pPr>
        <w:ind w:right="20" w:firstLine="938"/>
        <w:spacing w:after="0" w:line="278" w:lineRule="auto"/>
        <w:tabs>
          <w:tab w:leader="none" w:pos="140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w:t>
      </w:r>
    </w:p>
    <w:p>
      <w:pPr>
        <w:spacing w:after="0" w:line="120" w:lineRule="exact"/>
        <w:rPr>
          <w:rFonts w:ascii="Times New Roman" w:cs="Times New Roman" w:eastAsia="Times New Roman" w:hAnsi="Times New Roman"/>
          <w:sz w:val="13"/>
          <w:szCs w:val="13"/>
          <w:color w:val="auto"/>
        </w:rPr>
      </w:pPr>
    </w:p>
    <w:p>
      <w:pPr>
        <w:jc w:val="both"/>
        <w:ind w:right="20" w:firstLine="938"/>
        <w:spacing w:after="0" w:line="264" w:lineRule="auto"/>
        <w:tabs>
          <w:tab w:leader="none" w:pos="1399"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w:t>
      </w:r>
    </w:p>
    <w:p>
      <w:pPr>
        <w:spacing w:after="0" w:line="129" w:lineRule="exact"/>
        <w:rPr>
          <w:rFonts w:ascii="Times New Roman" w:cs="Times New Roman" w:eastAsia="Times New Roman" w:hAnsi="Times New Roman"/>
          <w:sz w:val="13"/>
          <w:szCs w:val="13"/>
          <w:color w:val="auto"/>
        </w:rPr>
      </w:pPr>
    </w:p>
    <w:p>
      <w:pPr>
        <w:jc w:val="both"/>
        <w:ind w:firstLine="938"/>
        <w:spacing w:after="0" w:line="259" w:lineRule="auto"/>
        <w:tabs>
          <w:tab w:leader="none" w:pos="149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w:t>
      </w:r>
    </w:p>
    <w:p>
      <w:pPr>
        <w:spacing w:after="0" w:line="132" w:lineRule="exact"/>
        <w:rPr>
          <w:rFonts w:ascii="Times New Roman" w:cs="Times New Roman" w:eastAsia="Times New Roman" w:hAnsi="Times New Roman"/>
          <w:sz w:val="13"/>
          <w:szCs w:val="13"/>
          <w:color w:val="auto"/>
        </w:rPr>
      </w:pPr>
    </w:p>
    <w:p>
      <w:pPr>
        <w:jc w:val="both"/>
        <w:ind w:firstLine="938"/>
        <w:spacing w:after="0" w:line="264" w:lineRule="auto"/>
        <w:tabs>
          <w:tab w:leader="none" w:pos="143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to the extent permitted by </w:t>
      </w:r>
      <w:r>
        <w:rPr>
          <w:rFonts w:ascii="Times New Roman" w:cs="Times New Roman" w:eastAsia="Times New Roman" w:hAnsi="Times New Roman"/>
          <w:sz w:val="13"/>
          <w:szCs w:val="13"/>
          <w:u w:val="single" w:color="auto"/>
          <w:color w:val="auto"/>
        </w:rPr>
        <w:t>Sections 4.2(a)(v)</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(xxii)</w:t>
      </w:r>
      <w:r>
        <w:rPr>
          <w:rFonts w:ascii="Times New Roman" w:cs="Times New Roman" w:eastAsia="Times New Roman" w:hAnsi="Times New Roman"/>
          <w:sz w:val="13"/>
          <w:szCs w:val="13"/>
          <w:color w:val="auto"/>
        </w:rPr>
        <w:t>,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w:t>
      </w:r>
    </w:p>
    <w:p>
      <w:pPr>
        <w:spacing w:after="0" w:line="129" w:lineRule="exact"/>
        <w:rPr>
          <w:rFonts w:ascii="Times New Roman" w:cs="Times New Roman" w:eastAsia="Times New Roman" w:hAnsi="Times New Roman"/>
          <w:sz w:val="13"/>
          <w:szCs w:val="13"/>
          <w:color w:val="auto"/>
        </w:rPr>
      </w:pPr>
    </w:p>
    <w:p>
      <w:pPr>
        <w:jc w:val="both"/>
        <w:ind w:right="20" w:firstLine="938"/>
        <w:spacing w:after="0" w:line="264" w:lineRule="auto"/>
        <w:tabs>
          <w:tab w:leader="none" w:pos="151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w:t>
      </w:r>
    </w:p>
    <w:p>
      <w:pPr>
        <w:spacing w:after="0" w:line="25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55" w:name="page56"/>
    <w:bookmarkEnd w:id="55"/>
    <w:p>
      <w:pPr>
        <w:jc w:val="both"/>
        <w:ind w:right="20" w:firstLine="938"/>
        <w:spacing w:after="0" w:line="254" w:lineRule="auto"/>
        <w:tabs>
          <w:tab w:leader="none" w:pos="1439"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issue, sell, pledge (except in connection with the actions permitted by </w:t>
      </w:r>
      <w:r>
        <w:rPr>
          <w:rFonts w:ascii="Times New Roman" w:cs="Times New Roman" w:eastAsia="Times New Roman" w:hAnsi="Times New Roman"/>
          <w:sz w:val="13"/>
          <w:szCs w:val="13"/>
          <w:u w:val="single" w:color="auto"/>
          <w:color w:val="auto"/>
        </w:rPr>
        <w:t>Section 4.2(a)(xi)</w:t>
      </w:r>
      <w:r>
        <w:rPr>
          <w:rFonts w:ascii="Times New Roman" w:cs="Times New Roman" w:eastAsia="Times New Roman" w:hAnsi="Times New Roman"/>
          <w:sz w:val="13"/>
          <w:szCs w:val="13"/>
          <w:color w:val="auto"/>
        </w:rPr>
        <w:t>),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granted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w:t>
      </w:r>
    </w:p>
    <w:p>
      <w:pPr>
        <w:spacing w:after="0" w:line="137" w:lineRule="exact"/>
        <w:rPr>
          <w:rFonts w:ascii="Times New Roman" w:cs="Times New Roman" w:eastAsia="Times New Roman" w:hAnsi="Times New Roman"/>
          <w:sz w:val="13"/>
          <w:szCs w:val="13"/>
          <w:color w:val="auto"/>
        </w:rPr>
      </w:pPr>
    </w:p>
    <w:p>
      <w:pPr>
        <w:jc w:val="both"/>
        <w:ind w:right="20" w:firstLine="938"/>
        <w:spacing w:after="0" w:line="253" w:lineRule="auto"/>
        <w:tabs>
          <w:tab w:leader="none" w:pos="143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 w:cs="Times New Roman" w:eastAsia="Times New Roman" w:hAnsi="Times New Roman"/>
          <w:sz w:val="13"/>
          <w:szCs w:val="13"/>
          <w:u w:val="single" w:color="auto"/>
          <w:color w:val="auto"/>
        </w:rPr>
        <w:t>Section 4.2(a)(ix)</w:t>
      </w:r>
      <w:r>
        <w:rPr>
          <w:rFonts w:ascii="Times New Roman" w:cs="Times New Roman" w:eastAsia="Times New Roman" w:hAnsi="Times New Roman"/>
          <w:sz w:val="13"/>
          <w:szCs w:val="13"/>
          <w:color w:val="auto"/>
        </w:rPr>
        <w:t xml:space="preserve"> of the Company Disclosure Schedule; (C) dispositions of obsolete equipment or assets in the ordinary course of business consistent with past practice; (D) as security for any indebtedness and guarantees permitted by </w:t>
      </w:r>
      <w:r>
        <w:rPr>
          <w:rFonts w:ascii="Times New Roman" w:cs="Times New Roman" w:eastAsia="Times New Roman" w:hAnsi="Times New Roman"/>
          <w:sz w:val="13"/>
          <w:szCs w:val="13"/>
          <w:u w:val="single" w:color="auto"/>
          <w:color w:val="auto"/>
        </w:rPr>
        <w:t>Section 4.2(a)(xi)</w:t>
      </w:r>
      <w:r>
        <w:rPr>
          <w:rFonts w:ascii="Times New Roman" w:cs="Times New Roman" w:eastAsia="Times New Roman" w:hAnsi="Times New Roman"/>
          <w:sz w:val="13"/>
          <w:szCs w:val="13"/>
          <w:color w:val="auto"/>
        </w:rPr>
        <w:t>;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w:t>
      </w:r>
    </w:p>
    <w:p>
      <w:pPr>
        <w:spacing w:after="0" w:line="137" w:lineRule="exact"/>
        <w:rPr>
          <w:rFonts w:ascii="Times New Roman" w:cs="Times New Roman" w:eastAsia="Times New Roman" w:hAnsi="Times New Roman"/>
          <w:sz w:val="13"/>
          <w:szCs w:val="13"/>
          <w:color w:val="auto"/>
        </w:rPr>
      </w:pPr>
    </w:p>
    <w:p>
      <w:pPr>
        <w:jc w:val="both"/>
        <w:ind w:firstLine="938"/>
        <w:spacing w:after="0" w:line="255" w:lineRule="auto"/>
        <w:tabs>
          <w:tab w:leader="none" w:pos="1386"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w:t>
      </w:r>
    </w:p>
    <w:p>
      <w:pPr>
        <w:spacing w:after="0" w:line="25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56" w:name="page57"/>
    <w:bookmarkEnd w:id="56"/>
    <w:p>
      <w:pPr>
        <w:jc w:val="both"/>
        <w:ind w:firstLine="938"/>
        <w:spacing w:after="0" w:line="251" w:lineRule="auto"/>
        <w:tabs>
          <w:tab w:leader="none" w:pos="133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 w:cs="Times New Roman" w:eastAsia="Times New Roman" w:hAnsi="Times New Roman"/>
          <w:sz w:val="13"/>
          <w:szCs w:val="13"/>
          <w:u w:val="single" w:color="auto"/>
          <w:color w:val="auto"/>
        </w:rPr>
        <w:t>clause (xi)</w:t>
      </w:r>
      <w:r>
        <w:rPr>
          <w:rFonts w:ascii="Times New Roman" w:cs="Times New Roman" w:eastAsia="Times New Roman" w:hAnsi="Times New Roman"/>
          <w:sz w:val="13"/>
          <w:szCs w:val="13"/>
          <w:color w:val="auto"/>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Debt Modification of the foregoing, or (c) any action taken pursuant to </w:t>
      </w:r>
      <w:r>
        <w:rPr>
          <w:rFonts w:ascii="Times New Roman" w:cs="Times New Roman" w:eastAsia="Times New Roman" w:hAnsi="Times New Roman"/>
          <w:sz w:val="13"/>
          <w:szCs w:val="13"/>
          <w:u w:val="single" w:color="auto"/>
          <w:color w:val="auto"/>
        </w:rPr>
        <w:t>Section 4.17</w:t>
      </w:r>
      <w:r>
        <w:rPr>
          <w:rFonts w:ascii="Times New Roman" w:cs="Times New Roman" w:eastAsia="Times New Roman" w:hAnsi="Times New Roman"/>
          <w:sz w:val="13"/>
          <w:szCs w:val="13"/>
          <w:color w:val="auto"/>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 w:cs="Times New Roman" w:eastAsia="Times New Roman" w:hAnsi="Times New Roman"/>
          <w:sz w:val="13"/>
          <w:szCs w:val="13"/>
          <w:u w:val="single" w:color="auto"/>
          <w:color w:val="auto"/>
        </w:rPr>
        <w:t>Section 4.17(d))</w:t>
      </w:r>
      <w:r>
        <w:rPr>
          <w:rFonts w:ascii="Times New Roman" w:cs="Times New Roman" w:eastAsia="Times New Roman" w:hAnsi="Times New Roman"/>
          <w:sz w:val="13"/>
          <w:szCs w:val="13"/>
          <w:color w:val="auto"/>
        </w:rPr>
        <w:t xml:space="preserve">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 w:cs="Times New Roman" w:eastAsia="Times New Roman" w:hAnsi="Times New Roman"/>
          <w:sz w:val="13"/>
          <w:szCs w:val="13"/>
          <w:u w:val="single" w:color="auto"/>
          <w:color w:val="auto"/>
        </w:rPr>
        <w:t>Permitted Debt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Modification</w:t>
      </w:r>
      <w:r>
        <w:rPr>
          <w:rFonts w:ascii="Times New Roman" w:cs="Times New Roman" w:eastAsia="Times New Roman" w:hAnsi="Times New Roman"/>
          <w:sz w:val="13"/>
          <w:szCs w:val="13"/>
          <w:color w:val="auto"/>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of this </w:t>
      </w:r>
      <w:r>
        <w:rPr>
          <w:rFonts w:ascii="Times New Roman" w:cs="Times New Roman" w:eastAsia="Times New Roman" w:hAnsi="Times New Roman"/>
          <w:sz w:val="13"/>
          <w:szCs w:val="13"/>
          <w:u w:val="single" w:color="auto"/>
          <w:color w:val="auto"/>
        </w:rPr>
        <w:t>Section 4.2(a)(xi)</w:t>
      </w:r>
      <w:r>
        <w:rPr>
          <w:rFonts w:ascii="Times New Roman" w:cs="Times New Roman" w:eastAsia="Times New Roman" w:hAnsi="Times New Roman"/>
          <w:sz w:val="13"/>
          <w:szCs w:val="13"/>
          <w:color w:val="auto"/>
        </w:rPr>
        <w:t>, (iii) Company Permitted Encumbrances, or (iv) other Liens securing obligations in an aggregate amount not to exceed $5,000,000 at any time outstanding;</w:t>
      </w:r>
    </w:p>
    <w:p>
      <w:pPr>
        <w:spacing w:after="0" w:line="26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20"/>
          </w:cols>
          <w:pgMar w:left="760" w:top="127" w:right="319" w:bottom="1440" w:gutter="0" w:footer="0" w:header="0"/>
        </w:sectPr>
      </w:pPr>
    </w:p>
    <w:bookmarkStart w:id="57" w:name="page58"/>
    <w:bookmarkEnd w:id="57"/>
    <w:p>
      <w:pPr>
        <w:jc w:val="both"/>
        <w:ind w:firstLine="938"/>
        <w:spacing w:after="0" w:line="252" w:lineRule="auto"/>
        <w:tabs>
          <w:tab w:leader="none" w:pos="1401"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w:t>
      </w:r>
    </w:p>
    <w:p>
      <w:pPr>
        <w:spacing w:after="0" w:line="136" w:lineRule="exact"/>
        <w:rPr>
          <w:rFonts w:ascii="Times New Roman" w:cs="Times New Roman" w:eastAsia="Times New Roman" w:hAnsi="Times New Roman"/>
          <w:sz w:val="13"/>
          <w:szCs w:val="13"/>
          <w:color w:val="auto"/>
        </w:rPr>
      </w:pPr>
    </w:p>
    <w:p>
      <w:pPr>
        <w:jc w:val="both"/>
        <w:ind w:right="20" w:firstLine="938"/>
        <w:spacing w:after="0" w:line="264" w:lineRule="auto"/>
        <w:tabs>
          <w:tab w:leader="none" w:pos="1355"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w:t>
      </w:r>
    </w:p>
    <w:p>
      <w:pPr>
        <w:spacing w:after="0" w:line="129" w:lineRule="exact"/>
        <w:rPr>
          <w:rFonts w:ascii="Times New Roman" w:cs="Times New Roman" w:eastAsia="Times New Roman" w:hAnsi="Times New Roman"/>
          <w:sz w:val="13"/>
          <w:szCs w:val="13"/>
          <w:color w:val="auto"/>
        </w:rPr>
      </w:pPr>
    </w:p>
    <w:p>
      <w:pPr>
        <w:ind w:right="20" w:firstLine="938"/>
        <w:spacing w:after="0" w:line="278" w:lineRule="auto"/>
        <w:tabs>
          <w:tab w:leader="none" w:pos="138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w:t>
      </w:r>
    </w:p>
    <w:p>
      <w:pPr>
        <w:spacing w:after="0" w:line="120" w:lineRule="exact"/>
        <w:rPr>
          <w:rFonts w:ascii="Times New Roman" w:cs="Times New Roman" w:eastAsia="Times New Roman" w:hAnsi="Times New Roman"/>
          <w:sz w:val="13"/>
          <w:szCs w:val="13"/>
          <w:color w:val="auto"/>
        </w:rPr>
      </w:pPr>
    </w:p>
    <w:p>
      <w:pPr>
        <w:ind w:right="20" w:firstLine="938"/>
        <w:spacing w:after="0" w:line="278" w:lineRule="auto"/>
        <w:tabs>
          <w:tab w:leader="none" w:pos="137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any “plant closing,” “mass layoff” or similar act requiring notice under the Worker Adjustment and Retraining Notification Act of 1988 or any similar federal, state or local Law (whether foreign or domestic);</w:t>
      </w:r>
    </w:p>
    <w:p>
      <w:pPr>
        <w:spacing w:after="0" w:line="120" w:lineRule="exact"/>
        <w:rPr>
          <w:rFonts w:ascii="Times New Roman" w:cs="Times New Roman" w:eastAsia="Times New Roman" w:hAnsi="Times New Roman"/>
          <w:sz w:val="13"/>
          <w:szCs w:val="13"/>
          <w:color w:val="auto"/>
        </w:rPr>
      </w:pPr>
    </w:p>
    <w:p>
      <w:pPr>
        <w:jc w:val="both"/>
        <w:ind w:right="20" w:firstLine="938"/>
        <w:spacing w:after="0" w:line="264" w:lineRule="auto"/>
        <w:tabs>
          <w:tab w:leader="none" w:pos="136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w:t>
      </w:r>
    </w:p>
    <w:p>
      <w:pPr>
        <w:spacing w:after="0" w:line="129" w:lineRule="exact"/>
        <w:rPr>
          <w:rFonts w:ascii="Times New Roman" w:cs="Times New Roman" w:eastAsia="Times New Roman" w:hAnsi="Times New Roman"/>
          <w:sz w:val="13"/>
          <w:szCs w:val="13"/>
          <w:color w:val="auto"/>
        </w:rPr>
      </w:pPr>
    </w:p>
    <w:p>
      <w:pPr>
        <w:jc w:val="both"/>
        <w:ind w:right="20" w:firstLine="938"/>
        <w:spacing w:after="0" w:line="253" w:lineRule="auto"/>
        <w:tabs>
          <w:tab w:leader="none" w:pos="1386"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enter into any Contract with any customer, distributor or supplier that would constitute a Material Contract if in effect as of the date of this Agreement under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(m)</w:t>
      </w:r>
      <w:r>
        <w:rPr>
          <w:rFonts w:ascii="Times New Roman" w:cs="Times New Roman" w:eastAsia="Times New Roman" w:hAnsi="Times New Roman"/>
          <w:sz w:val="13"/>
          <w:szCs w:val="13"/>
          <w:color w:val="auto"/>
        </w:rPr>
        <w:t xml:space="preserve"> of the definition thereof; (B) renew or extend any Contract that is a Material Contract or would constitute a Material Contract if in effect as of the date of this Agreement under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(m)</w:t>
      </w:r>
      <w:r>
        <w:rPr>
          <w:rFonts w:ascii="Times New Roman" w:cs="Times New Roman" w:eastAsia="Times New Roman" w:hAnsi="Times New Roman"/>
          <w:sz w:val="13"/>
          <w:szCs w:val="13"/>
          <w:color w:val="auto"/>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 w:cs="Times New Roman" w:eastAsia="Times New Roman" w:hAnsi="Times New Roman"/>
          <w:sz w:val="13"/>
          <w:szCs w:val="13"/>
          <w:u w:val="single" w:color="auto"/>
          <w:color w:val="auto"/>
        </w:rPr>
        <w:t>Section 4.2(a)(xvii)(C)</w:t>
      </w:r>
      <w:r>
        <w:rPr>
          <w:rFonts w:ascii="Times New Roman" w:cs="Times New Roman" w:eastAsia="Times New Roman" w:hAnsi="Times New Roman"/>
          <w:sz w:val="13"/>
          <w:szCs w:val="13"/>
          <w:color w:val="auto"/>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Material Contract if in effect as of the date of this Agreement, (2) renew, extend, amend in any material respect, any Material Contract, or (3) voluntarily terminate any Material Contract;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in each case of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any Contract that addresses subject matter for which Parent’s consent would be required, or is expressly permitted, pursuant to another clause under this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shall be governed by such other clause hereof, and no separate consent shall be required under this </w:t>
      </w:r>
      <w:r>
        <w:rPr>
          <w:rFonts w:ascii="Times New Roman" w:cs="Times New Roman" w:eastAsia="Times New Roman" w:hAnsi="Times New Roman"/>
          <w:sz w:val="13"/>
          <w:szCs w:val="13"/>
          <w:u w:val="single" w:color="auto"/>
          <w:color w:val="auto"/>
        </w:rPr>
        <w:t>clause (xvii)</w:t>
      </w:r>
      <w:r>
        <w:rPr>
          <w:rFonts w:ascii="Times New Roman" w:cs="Times New Roman" w:eastAsia="Times New Roman" w:hAnsi="Times New Roman"/>
          <w:sz w:val="13"/>
          <w:szCs w:val="13"/>
          <w:color w:val="auto"/>
        </w:rPr>
        <w:t xml:space="preserve"> for the entry into a Contract effecting such action, to the extent the provisions of such Contract would customarily form part of the subject matter of the Contract effecting such matter;</w:t>
      </w:r>
    </w:p>
    <w:p>
      <w:pPr>
        <w:spacing w:after="0" w:line="26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58" w:name="page59"/>
    <w:bookmarkEnd w:id="58"/>
    <w:p>
      <w:pPr>
        <w:ind w:left="1460" w:hanging="522"/>
        <w:spacing w:after="0"/>
        <w:tabs>
          <w:tab w:leader="none" w:pos="146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any of its methods of financial accounting or accounting practices in any material respect other than as required by changes in GAAP, the SEC or applicable Legal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Requirements;</w:t>
      </w:r>
    </w:p>
    <w:p>
      <w:pPr>
        <w:spacing w:after="0" w:line="150" w:lineRule="exact"/>
        <w:rPr>
          <w:sz w:val="20"/>
          <w:szCs w:val="20"/>
          <w:color w:val="auto"/>
        </w:rPr>
      </w:pPr>
    </w:p>
    <w:p>
      <w:pPr>
        <w:ind w:firstLine="938"/>
        <w:spacing w:after="0" w:line="278" w:lineRule="auto"/>
        <w:tabs>
          <w:tab w:leader="none" w:pos="138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or as required by GAAP, revalue in any material respect any of its properties or assets, including writing-off notes or accounts receivable;</w:t>
      </w:r>
    </w:p>
    <w:p>
      <w:pPr>
        <w:spacing w:after="0" w:line="120" w:lineRule="exact"/>
        <w:rPr>
          <w:rFonts w:ascii="Times New Roman" w:cs="Times New Roman" w:eastAsia="Times New Roman" w:hAnsi="Times New Roman"/>
          <w:sz w:val="13"/>
          <w:szCs w:val="13"/>
          <w:color w:val="auto"/>
        </w:rPr>
      </w:pPr>
    </w:p>
    <w:p>
      <w:pPr>
        <w:jc w:val="both"/>
        <w:ind w:right="20" w:firstLine="938"/>
        <w:spacing w:after="0" w:line="252" w:lineRule="auto"/>
        <w:tabs>
          <w:tab w:leader="none" w:pos="138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 w:cs="Times New Roman" w:eastAsia="Times New Roman" w:hAnsi="Times New Roman"/>
          <w:sz w:val="13"/>
          <w:szCs w:val="13"/>
          <w:u w:val="single" w:color="auto"/>
          <w:color w:val="auto"/>
        </w:rPr>
        <w:t>Section 4.2(a)(xx)</w:t>
      </w:r>
      <w:r>
        <w:rPr>
          <w:rFonts w:ascii="Times New Roman" w:cs="Times New Roman" w:eastAsia="Times New Roman" w:hAnsi="Times New Roman"/>
          <w:sz w:val="13"/>
          <w:szCs w:val="13"/>
          <w:color w:val="auto"/>
        </w:rPr>
        <w:t xml:space="preserve"> of the Company Disclosure Schedule;</w:t>
      </w:r>
    </w:p>
    <w:p>
      <w:pPr>
        <w:spacing w:after="0" w:line="138" w:lineRule="exact"/>
        <w:rPr>
          <w:rFonts w:ascii="Times New Roman" w:cs="Times New Roman" w:eastAsia="Times New Roman" w:hAnsi="Times New Roman"/>
          <w:sz w:val="13"/>
          <w:szCs w:val="13"/>
          <w:color w:val="auto"/>
        </w:rPr>
      </w:pPr>
    </w:p>
    <w:p>
      <w:pPr>
        <w:ind w:right="20" w:firstLine="938"/>
        <w:spacing w:after="0" w:line="278" w:lineRule="auto"/>
        <w:tabs>
          <w:tab w:leader="none" w:pos="1422"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 w:cs="Times New Roman" w:eastAsia="Times New Roman" w:hAnsi="Times New Roman"/>
          <w:sz w:val="13"/>
          <w:szCs w:val="13"/>
          <w:u w:val="single" w:color="auto"/>
          <w:color w:val="auto"/>
        </w:rPr>
        <w:t>Item 404</w:t>
      </w:r>
      <w:r>
        <w:rPr>
          <w:rFonts w:ascii="Times New Roman" w:cs="Times New Roman" w:eastAsia="Times New Roman" w:hAnsi="Times New Roman"/>
          <w:sz w:val="13"/>
          <w:szCs w:val="13"/>
          <w:color w:val="auto"/>
        </w:rPr>
        <w:t>;</w:t>
      </w:r>
    </w:p>
    <w:p>
      <w:pPr>
        <w:spacing w:after="0" w:line="2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59" w:name="page60"/>
    <w:bookmarkEnd w:id="59"/>
    <w:p>
      <w:pPr>
        <w:jc w:val="both"/>
        <w:ind w:firstLine="938"/>
        <w:spacing w:after="0" w:line="257" w:lineRule="auto"/>
        <w:tabs>
          <w:tab w:leader="none" w:pos="1394"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capital expenditure that is not contemplated by the capital expenditure budget (the “</w:t>
      </w:r>
      <w:r>
        <w:rPr>
          <w:rFonts w:ascii="Times New Roman" w:cs="Times New Roman" w:eastAsia="Times New Roman" w:hAnsi="Times New Roman"/>
          <w:sz w:val="13"/>
          <w:szCs w:val="13"/>
          <w:u w:val="single" w:color="auto"/>
          <w:color w:val="auto"/>
        </w:rPr>
        <w:t>Company CapEx Budget</w:t>
      </w:r>
      <w:r>
        <w:rPr>
          <w:rFonts w:ascii="Times New Roman" w:cs="Times New Roman" w:eastAsia="Times New Roman" w:hAnsi="Times New Roman"/>
          <w:sz w:val="13"/>
          <w:szCs w:val="13"/>
          <w:color w:val="auto"/>
        </w:rPr>
        <w:t xml:space="preserve">”) set forth in </w:t>
      </w:r>
      <w:r>
        <w:rPr>
          <w:rFonts w:ascii="Times New Roman" w:cs="Times New Roman" w:eastAsia="Times New Roman" w:hAnsi="Times New Roman"/>
          <w:sz w:val="13"/>
          <w:szCs w:val="13"/>
          <w:u w:val="single" w:color="auto"/>
          <w:color w:val="auto"/>
        </w:rPr>
        <w:t>Section 4.2(a)(xxii)</w:t>
      </w:r>
      <w:r>
        <w:rPr>
          <w:rFonts w:ascii="Times New Roman" w:cs="Times New Roman" w:eastAsia="Times New Roman" w:hAnsi="Times New Roman"/>
          <w:sz w:val="13"/>
          <w:szCs w:val="13"/>
          <w:color w:val="auto"/>
        </w:rPr>
        <w:t xml:space="preserve"> of the Company Disclosure Schedule (a “</w:t>
      </w:r>
      <w:r>
        <w:rPr>
          <w:rFonts w:ascii="Times New Roman" w:cs="Times New Roman" w:eastAsia="Times New Roman" w:hAnsi="Times New Roman"/>
          <w:sz w:val="13"/>
          <w:szCs w:val="13"/>
          <w:u w:val="single" w:color="auto"/>
          <w:color w:val="auto"/>
        </w:rPr>
        <w:t>Non-Budgeted Company Capital Expenditure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(A) for the avoidance of doubt, any capital expenditure with respect to the Company’s fiscal year 2026 committed prior to the date of this Agreement but incurred on or following the date of this Agreement shall not constitute a breach of this </w:t>
      </w:r>
      <w:r>
        <w:rPr>
          <w:rFonts w:ascii="Times New Roman" w:cs="Times New Roman" w:eastAsia="Times New Roman" w:hAnsi="Times New Roman"/>
          <w:sz w:val="13"/>
          <w:szCs w:val="13"/>
          <w:u w:val="single" w:color="auto"/>
          <w:color w:val="auto"/>
        </w:rPr>
        <w:t>Section 4.2(a)(xxii)</w:t>
      </w:r>
      <w:r>
        <w:rPr>
          <w:rFonts w:ascii="Times New Roman" w:cs="Times New Roman" w:eastAsia="Times New Roman" w:hAnsi="Times New Roman"/>
          <w:sz w:val="13"/>
          <w:szCs w:val="13"/>
          <w:color w:val="auto"/>
        </w:rPr>
        <w:t>, and (B)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w:t>
      </w:r>
    </w:p>
    <w:p>
      <w:pPr>
        <w:spacing w:after="0" w:line="133" w:lineRule="exact"/>
        <w:rPr>
          <w:rFonts w:ascii="Times New Roman" w:cs="Times New Roman" w:eastAsia="Times New Roman" w:hAnsi="Times New Roman"/>
          <w:sz w:val="13"/>
          <w:szCs w:val="13"/>
          <w:color w:val="auto"/>
        </w:rPr>
      </w:pPr>
    </w:p>
    <w:p>
      <w:pPr>
        <w:jc w:val="both"/>
        <w:ind w:firstLine="938"/>
        <w:spacing w:after="0" w:line="256" w:lineRule="auto"/>
        <w:tabs>
          <w:tab w:leader="none" w:pos="1413"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w:t>
      </w:r>
    </w:p>
    <w:p>
      <w:pPr>
        <w:ind w:firstLine="5"/>
        <w:spacing w:after="0" w:line="259" w:lineRule="auto"/>
        <w:tabs>
          <w:tab w:leader="none" w:pos="212"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 w:cs="Times New Roman" w:eastAsia="Times New Roman" w:hAnsi="Times New Roman"/>
          <w:sz w:val="13"/>
          <w:szCs w:val="13"/>
          <w:u w:val="single" w:color="auto"/>
          <w:color w:val="auto"/>
        </w:rPr>
        <w:t>Section 4.12</w:t>
      </w:r>
      <w:r>
        <w:rPr>
          <w:rFonts w:ascii="Times New Roman" w:cs="Times New Roman" w:eastAsia="Times New Roman" w:hAnsi="Times New Roman"/>
          <w:sz w:val="13"/>
          <w:szCs w:val="13"/>
          <w:color w:val="auto"/>
        </w:rPr>
        <w:t xml:space="preserve"> (but subject to compliance with the requirements thereof);</w:t>
      </w:r>
    </w:p>
    <w:p>
      <w:pPr>
        <w:spacing w:after="0" w:line="132" w:lineRule="exact"/>
        <w:rPr>
          <w:rFonts w:ascii="Times New Roman" w:cs="Times New Roman" w:eastAsia="Times New Roman" w:hAnsi="Times New Roman"/>
          <w:sz w:val="13"/>
          <w:szCs w:val="13"/>
          <w:color w:val="auto"/>
        </w:rPr>
      </w:pPr>
    </w:p>
    <w:p>
      <w:pPr>
        <w:jc w:val="both"/>
        <w:ind w:firstLine="938"/>
        <w:spacing w:after="0" w:line="264" w:lineRule="auto"/>
        <w:tabs>
          <w:tab w:leader="none" w:pos="1525"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 any litigation or other claim, suit, action or proceeding with a value in excess of $7,000,000 individually or $14,000,000 in the aggregate, other than (A) any counterclaim, (B) claims to preserve, protect or enforce any Company IP or material assets of the Company (provided that, in the case of this clause (B), with respect to material Company IP, the Company shall provide Parent with written notice thereof), or (C) to enforce the terms of this Agreement;</w:t>
      </w:r>
    </w:p>
    <w:p>
      <w:pPr>
        <w:spacing w:after="0" w:line="129" w:lineRule="exact"/>
        <w:rPr>
          <w:rFonts w:ascii="Times New Roman" w:cs="Times New Roman" w:eastAsia="Times New Roman" w:hAnsi="Times New Roman"/>
          <w:sz w:val="13"/>
          <w:szCs w:val="13"/>
          <w:color w:val="auto"/>
        </w:rPr>
      </w:pPr>
    </w:p>
    <w:p>
      <w:pPr>
        <w:ind w:left="1420" w:hanging="482"/>
        <w:spacing w:after="0"/>
        <w:tabs>
          <w:tab w:leader="none" w:pos="1420"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amend any Company Permits in a manner that adversely impacts the Company’s ability to conduct its business in any material respect or (B) terminate any material Company</w:t>
      </w:r>
    </w:p>
    <w:p>
      <w:pPr>
        <w:spacing w:after="0" w:line="1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Permits;</w:t>
      </w:r>
    </w:p>
    <w:p>
      <w:pPr>
        <w:spacing w:after="0" w:line="149" w:lineRule="exact"/>
        <w:rPr>
          <w:rFonts w:ascii="Times New Roman" w:cs="Times New Roman" w:eastAsia="Times New Roman" w:hAnsi="Times New Roman"/>
          <w:sz w:val="13"/>
          <w:szCs w:val="13"/>
          <w:color w:val="auto"/>
        </w:rPr>
      </w:pPr>
    </w:p>
    <w:p>
      <w:pPr>
        <w:ind w:firstLine="938"/>
        <w:spacing w:after="0" w:line="278" w:lineRule="auto"/>
        <w:tabs>
          <w:tab w:leader="none" w:pos="1395"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that would materially change the business of the Company and the Company Subsidiaries, taken as a whole, or that is not reasonably related to the Company’s or the Company Subsidiaries’ existing lines of businesses;</w:t>
      </w:r>
    </w:p>
    <w:p>
      <w:pPr>
        <w:spacing w:after="0" w:line="120" w:lineRule="exact"/>
        <w:rPr>
          <w:rFonts w:ascii="Times New Roman" w:cs="Times New Roman" w:eastAsia="Times New Roman" w:hAnsi="Times New Roman"/>
          <w:sz w:val="13"/>
          <w:szCs w:val="13"/>
          <w:color w:val="auto"/>
        </w:rPr>
      </w:pPr>
    </w:p>
    <w:p>
      <w:pPr>
        <w:ind w:firstLine="938"/>
        <w:spacing w:after="0" w:line="278" w:lineRule="auto"/>
        <w:tabs>
          <w:tab w:leader="none" w:pos="1455"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ind w:firstLine="938"/>
        <w:spacing w:after="0" w:line="278" w:lineRule="auto"/>
        <w:tabs>
          <w:tab w:leader="none" w:pos="1391"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consistent with past practice, materially reduce the amount of insurance coverage or terminate (unless in connection with replacing) any material existing insurance policies; or</w:t>
      </w:r>
    </w:p>
    <w:p>
      <w:pPr>
        <w:spacing w:after="0" w:line="120" w:lineRule="exact"/>
        <w:rPr>
          <w:rFonts w:ascii="Times New Roman" w:cs="Times New Roman" w:eastAsia="Times New Roman" w:hAnsi="Times New Roman"/>
          <w:sz w:val="13"/>
          <w:szCs w:val="13"/>
          <w:color w:val="auto"/>
        </w:rPr>
      </w:pPr>
    </w:p>
    <w:p>
      <w:pPr>
        <w:ind w:left="1380" w:hanging="442"/>
        <w:spacing w:after="0"/>
        <w:tabs>
          <w:tab w:leader="none" w:pos="1380"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authorize, approve, permit, offer or enter into any agreement or make any commitment to take any of the actions described in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through (xxviii) of this sentence.</w:t>
      </w:r>
    </w:p>
    <w:p>
      <w:pPr>
        <w:spacing w:after="0" w:line="28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30480</wp:posOffset>
            </wp:positionV>
            <wp:extent cx="7170420"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20"/>
          </w:cols>
          <w:pgMar w:left="760" w:top="127" w:right="319" w:bottom="1440" w:gutter="0" w:footer="0" w:header="0"/>
        </w:sectPr>
      </w:pPr>
    </w:p>
    <w:bookmarkStart w:id="60" w:name="page61"/>
    <w:bookmarkEnd w:id="60"/>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 xml:space="preserve">Notwithstanding </w:t>
      </w:r>
      <w:r>
        <w:rPr>
          <w:rFonts w:ascii="Times New Roman" w:cs="Times New Roman" w:eastAsia="Times New Roman" w:hAnsi="Times New Roman"/>
          <w:sz w:val="13"/>
          <w:szCs w:val="13"/>
          <w:u w:val="single" w:color="auto"/>
          <w:color w:val="auto"/>
        </w:rPr>
        <w:t>Section 4.6(a)(iv)</w:t>
      </w:r>
      <w:r>
        <w:rPr>
          <w:rFonts w:ascii="Times New Roman" w:cs="Times New Roman" w:eastAsia="Times New Roman" w:hAnsi="Times New Roman"/>
          <w:sz w:val="13"/>
          <w:szCs w:val="13"/>
          <w:color w:val="auto"/>
        </w:rPr>
        <w:t>,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w:t>
      </w:r>
    </w:p>
    <w:p>
      <w:pPr>
        <w:spacing w:after="0" w:line="129" w:lineRule="exact"/>
        <w:rPr>
          <w:sz w:val="20"/>
          <w:szCs w:val="20"/>
          <w:color w:val="auto"/>
        </w:rPr>
      </w:pPr>
    </w:p>
    <w:p>
      <w:pPr>
        <w:jc w:val="both"/>
        <w:ind w:right="20" w:firstLine="932"/>
        <w:spacing w:after="0" w:line="254" w:lineRule="auto"/>
        <w:tabs>
          <w:tab w:leader="none" w:pos="1464"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Parent Disclosure Schedule, (3) as required by applicable Legal Requirements, or (4) as expressly permitted or required by this Agreement, Parent shall, and shall cause the Parent Subsidiaries to, use commercially reasonable efforts to: (i) conduct its business in the ordinary course consistent with past practice in all material respects and (ii) preserve intact in all material respects its current business organization. Without limiting the foregoing, during the period from the date of this Agreement through the earlier of the Closing or the termination of this Agreement, except (A) to the extent the Company shall otherwise give its prior consent in writing (which consent shall not be unreasonably withheld, conditioned or delayed), (B)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Parent Disclosure Schedule, (C) as required by applicable Legal Requirements or (D) as expressly permitted or required by this Agreement, Parent shall not (and shall not permit any Parent Subsidiary to), in each case by merger, consolidation, division, operation of law, or otherwise:</w:t>
      </w:r>
    </w:p>
    <w:p>
      <w:pPr>
        <w:spacing w:after="0" w:line="137"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2071"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Parent’s or the Merger Sub’s Organizational Documents in a manner that would reasonably be expected to (A) materially and adversely affect the Company or its stockholders in a manner disproportionate to Parent and its stockholders (assuming for purposes of this clause (A) such amendment applies to the Company and its stockholders), or (B) prevent, materially impair, materially impede or materially delay the ability of Parent or Merger Sub to consummate the Merger;</w:t>
      </w:r>
    </w:p>
    <w:p>
      <w:pPr>
        <w:spacing w:after="0" w:line="129"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1811"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 plan or agreement of complete or partial liquidation, dissolution, restructuring, recapitalization or other reorganization of Parent, other than with respect to any transaction that would not reasonably be expected to (A) materially and adversely affect the Company or its stockholders in a manner disproportionate to Parent and its stockholders (assuming for purposes of this clause (A) such amendment applies to the Company and its stockholders), or (B) prevent, materially impair, materially impede or materially delay the ability of Parent or Merger Sub to consummate the Merger;</w:t>
      </w:r>
    </w:p>
    <w:p>
      <w:pPr>
        <w:spacing w:after="0" w:line="129" w:lineRule="exact"/>
        <w:rPr>
          <w:rFonts w:ascii="Times New Roman" w:cs="Times New Roman" w:eastAsia="Times New Roman" w:hAnsi="Times New Roman"/>
          <w:sz w:val="13"/>
          <w:szCs w:val="13"/>
          <w:color w:val="auto"/>
        </w:rPr>
      </w:pPr>
    </w:p>
    <w:p>
      <w:pPr>
        <w:ind w:left="1780" w:hanging="382"/>
        <w:spacing w:after="0"/>
        <w:tabs>
          <w:tab w:leader="none" w:pos="1780"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split, combine, subdivide or reclassify any shares of Parent’s capital stock (other than to the extent the Exchange Ratio is appropriately adjusted pursuant to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w:t>
      </w:r>
    </w:p>
    <w:p>
      <w:pPr>
        <w:spacing w:after="0" w:line="161" w:lineRule="exact"/>
        <w:rPr>
          <w:rFonts w:ascii="Times New Roman" w:cs="Times New Roman" w:eastAsia="Times New Roman" w:hAnsi="Times New Roman"/>
          <w:sz w:val="13"/>
          <w:szCs w:val="13"/>
          <w:color w:val="auto"/>
        </w:rPr>
      </w:pPr>
    </w:p>
    <w:p>
      <w:pPr>
        <w:jc w:val="both"/>
        <w:ind w:left="460" w:firstLine="938"/>
        <w:spacing w:after="0" w:line="259" w:lineRule="auto"/>
        <w:tabs>
          <w:tab w:leader="none" w:pos="1832"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make or pay any dividend or other distribution (whether payable in cash, stock or property) with respect to any shares of Parent’s capital stock or the capital stock or other equity interest of any Parent Subsidiary, other than (A) dividends or distributions only to the extent paid by any wholly owned Parent Subsidiary to Parent or another wholly owned Parent Subsidiary or (B) pursuant to the Parent Convertible Notes or the Parent Convertible Note Warrants (or any other convertible or exchangeable notes issued after the date hereof, including with respect to related capped calls, bond hedges and warrants);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1" w:name="page62"/>
    <w:bookmarkEnd w:id="61"/>
    <w:p>
      <w:pPr>
        <w:jc w:val="both"/>
        <w:ind w:left="460" w:right="20" w:firstLine="938"/>
        <w:spacing w:after="0" w:line="256" w:lineRule="auto"/>
        <w:tabs>
          <w:tab w:leader="none" w:pos="1856" w:val="left"/>
        </w:tabs>
        <w:numPr>
          <w:ilvl w:val="2"/>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repurchase, redeem or otherwise acquire any shares of Parent’s or any Parent Subsidiary’s capital stock or equity interests, or any other securities or obligations convertible (currently or after the passage of time or the occurrence of certain events) into or exchangeable for any shares of Parent’s or any Parent Subsidiary’s capital stock or equity interests, except: (A) shares of Parent Common Stock repurchased from employees or consultants or former employees or consultants of Parent pursuant to the exercise of repurchase rights set forth in Parent Equity Agreements;</w:t>
      </w:r>
    </w:p>
    <w:p>
      <w:pPr>
        <w:jc w:val="both"/>
        <w:ind w:left="460" w:right="20" w:firstLine="5"/>
        <w:spacing w:after="0" w:line="253" w:lineRule="auto"/>
        <w:tabs>
          <w:tab w:leader="none" w:pos="666"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Parent Common Stock accepted as payment for the exercise price of Parent Options or for withholding Taxes incurred in connection with the exercise, vesting or settlement of Parent Options and Parent RSUs, as applicable, in accordance with the terms of the applicable award; (C) shares of Parent Common Stock in connection with the Parent Convertible Notes, the Parent Convertible Note Hedges or Parent Convertible Warrants (or any other convertible or exchangeable notes issued after the date hereof, including with respect to related capped calls, bond hedges and warrants); or (D) pursuant to Parent’s existing share repurchase program approved in November 2025 under which Parent may repurchase common stock through December 31, 2028; or</w:t>
      </w:r>
    </w:p>
    <w:p>
      <w:pPr>
        <w:spacing w:after="0" w:line="135" w:lineRule="exact"/>
        <w:rPr>
          <w:rFonts w:ascii="Times New Roman" w:cs="Times New Roman" w:eastAsia="Times New Roman" w:hAnsi="Times New Roman"/>
          <w:sz w:val="13"/>
          <w:szCs w:val="13"/>
          <w:color w:val="auto"/>
        </w:rPr>
      </w:pPr>
    </w:p>
    <w:p>
      <w:pPr>
        <w:ind w:left="1840" w:hanging="442"/>
        <w:spacing w:after="0"/>
        <w:tabs>
          <w:tab w:leader="none" w:pos="1840" w:val="left"/>
        </w:tabs>
        <w:numPr>
          <w:ilvl w:val="2"/>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authorize, approve or enter into any agreement or make any commitment to take any of the actions described in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xml:space="preserve"> of this sentence.</w:t>
      </w:r>
    </w:p>
    <w:p>
      <w:pPr>
        <w:spacing w:after="0" w:line="161" w:lineRule="exact"/>
        <w:rPr>
          <w:rFonts w:ascii="Times New Roman" w:cs="Times New Roman" w:eastAsia="Times New Roman" w:hAnsi="Times New Roman"/>
          <w:sz w:val="13"/>
          <w:szCs w:val="13"/>
          <w:color w:val="auto"/>
        </w:rPr>
      </w:pPr>
    </w:p>
    <w:p>
      <w:pPr>
        <w:jc w:val="both"/>
        <w:ind w:firstLine="932"/>
        <w:spacing w:after="0" w:line="257" w:lineRule="auto"/>
        <w:tabs>
          <w:tab w:leader="none" w:pos="1447"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the other party pursuant to this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a party may request such consent by delivering a written request (including by electronic mail) to the other party, and the other party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w:t>
      </w:r>
    </w:p>
    <w:p>
      <w:pPr>
        <w:spacing w:after="0" w:line="13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2"/>
          <w:szCs w:val="12"/>
          <w:u w:val="single" w:color="auto"/>
          <w:color w:val="auto"/>
        </w:rPr>
        <w:t>Company No Solicitation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right="20" w:firstLine="932"/>
        <w:spacing w:after="0" w:line="278" w:lineRule="auto"/>
        <w:tabs>
          <w:tab w:leader="none" w:pos="1411"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will not, and the Company shall cause each of its Subsidiaries and shall direct and use reasonable best efforts to cause its and its Subsidiaries’ respective directors, officers and other Representatives not to, except as expressly permitted by this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directly or indirectly:</w:t>
      </w:r>
    </w:p>
    <w:p>
      <w:pPr>
        <w:spacing w:after="0" w:line="120" w:lineRule="exact"/>
        <w:rPr>
          <w:rFonts w:ascii="Times New Roman" w:cs="Times New Roman" w:eastAsia="Times New Roman" w:hAnsi="Times New Roman"/>
          <w:sz w:val="13"/>
          <w:szCs w:val="13"/>
          <w:color w:val="auto"/>
        </w:rPr>
      </w:pPr>
    </w:p>
    <w:p>
      <w:pPr>
        <w:ind w:left="460" w:right="20" w:firstLine="938"/>
        <w:spacing w:after="0" w:line="278" w:lineRule="auto"/>
        <w:tabs>
          <w:tab w:leader="none" w:pos="1795"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solicit, initiate, knowingly encourage or knowingly facilitate any inquiries regarding, or the submission or announcement by any Person (other than Parent or its Subsidiaries) of, any proposal or offer that constitutes, or would reasonably be expected to lead to, any Acquisition Proposal;</w:t>
      </w:r>
    </w:p>
    <w:p>
      <w:pPr>
        <w:spacing w:after="0" w:line="120" w:lineRule="exact"/>
        <w:rPr>
          <w:rFonts w:ascii="Times New Roman" w:cs="Times New Roman" w:eastAsia="Times New Roman" w:hAnsi="Times New Roman"/>
          <w:sz w:val="13"/>
          <w:szCs w:val="13"/>
          <w:color w:val="auto"/>
        </w:rPr>
      </w:pPr>
    </w:p>
    <w:p>
      <w:pPr>
        <w:jc w:val="both"/>
        <w:ind w:left="460" w:right="20" w:firstLine="938"/>
        <w:spacing w:after="0" w:line="264" w:lineRule="auto"/>
        <w:tabs>
          <w:tab w:leader="none" w:pos="1811"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 or disclose any non-public information regarding the Company or any Company Subsidiary (other than to Parent and Parent’s Subsidiaries), or afford access to the Company’s or the Company Subsidiaries’ Representatives, businesses, assets, books, records or property, in each case, in connection with, or for the purpose of soliciting, initiating, knowingly encouraging, or knowingly facilitating, or in response to, any inquiry, proposal or offer that constitutes or would reasonably be expected to lead to a Acquisition Proposal;</w:t>
      </w:r>
    </w:p>
    <w:p>
      <w:pPr>
        <w:spacing w:after="0" w:line="129" w:lineRule="exact"/>
        <w:rPr>
          <w:rFonts w:ascii="Times New Roman" w:cs="Times New Roman" w:eastAsia="Times New Roman" w:hAnsi="Times New Roman"/>
          <w:sz w:val="13"/>
          <w:szCs w:val="13"/>
          <w:color w:val="auto"/>
        </w:rPr>
      </w:pPr>
    </w:p>
    <w:p>
      <w:pPr>
        <w:ind w:left="460" w:right="20" w:firstLine="938"/>
        <w:spacing w:after="0" w:line="278" w:lineRule="auto"/>
        <w:tabs>
          <w:tab w:leader="none" w:pos="1883"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enter into, continue or otherwise participate in any discussions or negotiations with or otherwise knowingly encourage any effort by any Person (other than Parent or Parent’s Representatives) with respect to any Acquisition Proposal or any inquiry, proposal or offer that would reasonably be expected to lead to any Acquisition Proposal;</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2" w:name="page63"/>
    <w:bookmarkEnd w:id="62"/>
    <w:p>
      <w:pPr>
        <w:jc w:val="both"/>
        <w:ind w:left="460" w:firstLine="938"/>
        <w:spacing w:after="0" w:line="264" w:lineRule="auto"/>
        <w:tabs>
          <w:tab w:leader="none" w:pos="18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approve, adopt, recommend, agree to or enter into, or propose to approve, adopt, recommend, agree to or enter into, any letter of intent, term sheet, memorandum of understanding, or similar document, agreement, commitment, or agreement in principle with respect to 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jc w:val="both"/>
        <w:ind w:left="460" w:firstLine="938"/>
        <w:spacing w:after="0" w:line="264" w:lineRule="auto"/>
        <w:tabs>
          <w:tab w:leader="none" w:pos="180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w:t>
      </w:r>
    </w:p>
    <w:p>
      <w:pPr>
        <w:spacing w:after="0" w:line="129" w:lineRule="exact"/>
        <w:rPr>
          <w:rFonts w:ascii="Times New Roman" w:cs="Times New Roman" w:eastAsia="Times New Roman" w:hAnsi="Times New Roman"/>
          <w:sz w:val="13"/>
          <w:szCs w:val="13"/>
          <w:color w:val="auto"/>
        </w:rPr>
      </w:pPr>
    </w:p>
    <w:p>
      <w:pPr>
        <w:ind w:left="1840" w:hanging="442"/>
        <w:spacing w:after="0"/>
        <w:tabs>
          <w:tab w:leader="none" w:pos="18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resolve, agree or publicly announce or propose any intention to do any of the foregoing;</w:t>
      </w:r>
    </w:p>
    <w:p>
      <w:pPr>
        <w:spacing w:after="0" w:line="160" w:lineRule="exact"/>
        <w:rPr>
          <w:sz w:val="20"/>
          <w:szCs w:val="20"/>
          <w:color w:val="auto"/>
        </w:rPr>
      </w:pPr>
    </w:p>
    <w:p>
      <w:pPr>
        <w:jc w:val="both"/>
        <w:spacing w:after="0" w:line="158" w:lineRule="exact"/>
        <w:rPr>
          <w:sz w:val="20"/>
          <w:szCs w:val="20"/>
          <w:color w:val="auto"/>
        </w:rPr>
      </w:pP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however</w:t>
      </w:r>
      <w:r>
        <w:rPr>
          <w:rFonts w:ascii="Times New Roman" w:cs="Times New Roman" w:eastAsia="Times New Roman" w:hAnsi="Times New Roman"/>
          <w:sz w:val="12"/>
          <w:szCs w:val="12"/>
          <w:color w:val="auto"/>
        </w:rPr>
        <w:t>, that (A)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shall not prohibit communications solely to request clarification of the terms and conditions of an unsolicited inquiry or proposal that did not result from a material breach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this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4.3(c)</w:t>
      </w:r>
      <w:r>
        <w:rPr>
          <w:rFonts w:ascii="Times New Roman" w:cs="Times New Roman" w:eastAsia="Times New Roman" w:hAnsi="Times New Roman"/>
          <w:sz w:val="12"/>
          <w:szCs w:val="12"/>
          <w:color w:val="auto"/>
        </w:rPr>
        <w:t xml:space="preserve"> by the Company, any of its Subsidiaries or any of its or their respective Representatives, or to determine whether such inquiry or proposal constitutes an Acquisition Proposal (it being understood that any such communications shall not include the provision of any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Acquisition Proposal after the date hereof that did not result from any material breach of this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4.3(c)</w:t>
      </w:r>
      <w:r>
        <w:rPr>
          <w:rFonts w:ascii="Times New Roman" w:cs="Times New Roman" w:eastAsia="Times New Roman" w:hAnsi="Times New Roman"/>
          <w:sz w:val="12"/>
          <w:szCs w:val="12"/>
          <w:color w:val="auto"/>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Acquisition Proposal either constitutes a Superior Proposal or would reasonably be expected to lead to a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 w:cs="Times New Roman" w:eastAsia="Times New Roman" w:hAnsi="Times New Roman"/>
          <w:sz w:val="12"/>
          <w:szCs w:val="12"/>
          <w:u w:val="single" w:color="auto"/>
          <w:color w:val="auto"/>
        </w:rPr>
        <w:t>clause (1)</w:t>
      </w:r>
      <w:r>
        <w:rPr>
          <w:rFonts w:ascii="Times New Roman" w:cs="Times New Roman" w:eastAsia="Times New Roman" w:hAnsi="Times New Roman"/>
          <w:sz w:val="12"/>
          <w:szCs w:val="12"/>
          <w:color w:val="auto"/>
        </w:rPr>
        <w:t xml:space="preserve"> and if the Company furnishes non-public information and/or enters into discussions or negotiations as provided for in this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and will keep Parent reasonably informed in writing, on a current basis (and, in any event, within 24 hours), of material changes to the status and terms of any such discussions or negotiations and any Acquisition Proposal.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3" w:name="page64"/>
    <w:bookmarkEnd w:id="63"/>
    <w:p>
      <w:pPr>
        <w:jc w:val="both"/>
        <w:ind w:firstLine="932"/>
        <w:spacing w:after="0" w:line="254" w:lineRule="auto"/>
        <w:tabs>
          <w:tab w:leader="none" w:pos="1474"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receives an Acquisition Proposal or any inquiry or request for information with respect to an Acquisition Proposal or that is reasonably likely to lead to an Acquisition Proposal, then the Company shall promptly (and in no event later than 24 hours after its receipt of such Acquisition Proposal or request) notify Parent in writing of such Acquisition Proposal or request (which notification shall include the identity of the Person making or submitting such request or Acquisition Proposal and unredacted copies of all correspondence and other written material (including all proposals, counterproposals and drafts of agreements) exchanged between the Company or any Company Subsidiary, on the one hand, and the Person making any such Acquisition Proposal, on the other hand, that describes any of the terms or conditions of, or is otherwise material and relates to such terms and conditions, such Acquisition Proposal (or, if not in writing, the material terms and conditions thereof)), and the Company shall thereafter keep Parent reasonably informed in writing, on a current basis (and, in any event, within one (1) Business Day), of the status of such Acquisition Proposal or request, including informing Parent of any material change to the terms of such Acquisition Proposal and providing unredacted copies of all written materials delivered by or to such Person relating to any such changes to such Acquisition Proposal.</w:t>
      </w:r>
    </w:p>
    <w:p>
      <w:pPr>
        <w:spacing w:after="0" w:line="137" w:lineRule="exact"/>
        <w:rPr>
          <w:rFonts w:ascii="Times New Roman" w:cs="Times New Roman" w:eastAsia="Times New Roman" w:hAnsi="Times New Roman"/>
          <w:sz w:val="13"/>
          <w:szCs w:val="13"/>
          <w:color w:val="auto"/>
        </w:rPr>
      </w:pPr>
    </w:p>
    <w:p>
      <w:pPr>
        <w:jc w:val="both"/>
        <w:ind w:firstLine="932"/>
        <w:spacing w:after="0" w:line="255" w:lineRule="auto"/>
        <w:tabs>
          <w:tab w:leader="none" w:pos="139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Acquisition Proposal made on or prior to the date hereof and any access any such Persons may have to any physical or electronic data room relating to any potential Acquisition Proposal; and (ii) request that each Person (other than Parent and its Representatives) that has, prior to the date of this Agreement, executed a confidentiality agreement in connection with its consideration of an Acquisition Proposal, promptly return or destroy all non-public information furnished to such Person by or on behalf of the Company or any of the Company Subsidiaries prior to the date of this Agreement in accordance with the terms of such confidentiality agreement.</w:t>
      </w:r>
    </w:p>
    <w:p>
      <w:pPr>
        <w:spacing w:after="0" w:line="136" w:lineRule="exact"/>
        <w:rPr>
          <w:rFonts w:ascii="Times New Roman" w:cs="Times New Roman" w:eastAsia="Times New Roman" w:hAnsi="Times New Roman"/>
          <w:sz w:val="13"/>
          <w:szCs w:val="13"/>
          <w:color w:val="auto"/>
        </w:rPr>
      </w:pPr>
    </w:p>
    <w:p>
      <w:pPr>
        <w:ind w:firstLine="932"/>
        <w:spacing w:after="0" w:line="278" w:lineRule="auto"/>
        <w:tabs>
          <w:tab w:leader="none" w:pos="1376"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breach of the restrictions contained in this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by any of the Company Subsidiaries, or by any Representative of the Company or any Company Subsidiary shall be deemed to be a breach of this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by the Company.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4" w:name="page65"/>
    <w:bookmarkEnd w:id="64"/>
    <w:p>
      <w:pPr>
        <w:ind w:left="460"/>
        <w:spacing w:after="0"/>
        <w:tabs>
          <w:tab w:leader="none" w:pos="90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2"/>
          <w:szCs w:val="12"/>
          <w:u w:val="single" w:color="auto"/>
          <w:color w:val="auto"/>
        </w:rPr>
        <w:t>Registration Statement; Proxy Statement/Prospectus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1" w:lineRule="auto"/>
        <w:tabs>
          <w:tab w:leader="none" w:pos="1593"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promptly as reasonably practicable after the date of this Agreement, the Company shall prepare, in consultation with Parent, and cause to be filed with the SEC the Proxy Statement/Prospectus, in preliminary form, and Parent shall prepare, in consultation with the Company, and cause to be filed with the SEC the Form S-4 Registration Statement, in which the Proxy Statement/Prospectus, in preliminary form, will be included as a prospectus. Each of the parties shall: (i) use reasonable best efforts to cause the Form S-4 Registration Statement and the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or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Proxy Statement/Prospectus (including any amendments or supplements to the Form S-4 Registration Statement or the Proxy Statement/Prospectus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the foregoing obligations under this </w:t>
      </w:r>
      <w:r>
        <w:rPr>
          <w:rFonts w:ascii="Times New Roman" w:cs="Times New Roman" w:eastAsia="Times New Roman" w:hAnsi="Times New Roman"/>
          <w:sz w:val="13"/>
          <w:szCs w:val="13"/>
          <w:u w:val="single" w:color="auto"/>
          <w:color w:val="auto"/>
        </w:rPr>
        <w:t>clause (vi)</w:t>
      </w:r>
      <w:r>
        <w:rPr>
          <w:rFonts w:ascii="Times New Roman" w:cs="Times New Roman" w:eastAsia="Times New Roman" w:hAnsi="Times New Roman"/>
          <w:sz w:val="13"/>
          <w:szCs w:val="13"/>
          <w:color w:val="auto"/>
        </w:rPr>
        <w:t xml:space="preserve"> shall not apply with respect to any filing or communication to the extent that it relates to a Company Change in Recommendation or any Acquisition Proposal, in each case otherwise made in compliance with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4.5</w:t>
      </w:r>
      <w:r>
        <w:rPr>
          <w:rFonts w:ascii="Times New Roman" w:cs="Times New Roman" w:eastAsia="Times New Roman" w:hAnsi="Times New Roman"/>
          <w:sz w:val="13"/>
          <w:szCs w:val="13"/>
          <w:color w:val="auto"/>
        </w:rPr>
        <w:t>. Notwithstanding any other provision herein to the contrary, the Form S-4 Registration Statement and the Proxy Statement/Prospectus shall not be filed or mailed (as applicable), and no amendment or supplement (including by incorporation by reference) to the Proxy Statement/Prospectus or the Form S-4 Registration Statement shall be made, without the approval of both the Company and Parent, which approvals shall not be unreasonably withheld, conditioned or delayed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this approval right shall not apply with respect to information, filings or communications to the extent relating to a Company Change in Recommendation or Acquisition Proposal). The Company will, prior to filing the preliminary Proxy Statement/Prospectus, obtain all necessary consents of the Company Financial Advisor to permit the Company to include in the Proxy Statement/Prospectus the Company Financial Advisor Opinion.</w:t>
      </w:r>
    </w:p>
    <w:p>
      <w:pPr>
        <w:spacing w:after="0" w:line="143" w:lineRule="exact"/>
        <w:rPr>
          <w:rFonts w:ascii="Times New Roman" w:cs="Times New Roman" w:eastAsia="Times New Roman" w:hAnsi="Times New Roman"/>
          <w:sz w:val="13"/>
          <w:szCs w:val="13"/>
          <w:color w:val="auto"/>
        </w:rPr>
      </w:pPr>
    </w:p>
    <w:p>
      <w:pPr>
        <w:jc w:val="both"/>
        <w:ind w:right="20" w:firstLine="932"/>
        <w:spacing w:after="0" w:line="252" w:lineRule="auto"/>
        <w:tabs>
          <w:tab w:leader="none" w:pos="135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and Parent shall use reasonable best efforts to as promptly as practicable have any stop order relating to the Form S-4 Registration Statement or any such suspension of the shares of Parent Common Stock lifted, reversed or otherwise terminated. The Company shall cause the Proxy Statement/Prospectus to be mailed to the Company’s stockholders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If, at any time prior to obtaining the Required Company Stockholder Vote, any party becomes aware of any information that should be disclosed in an amendment or supplement to the Form S-4 Registration Statement or the Proxy Statement/Prospectus in order to make any statement therein, in the light of the circumstances under which it is made, not false or misleading with respect to a material fact, or in order to avoid the omission of a material fact necessary to make the statements in the Form S-4 Registration Statement or the Proxy Statement/Prospectus not misleading, then such party: (A) shall promptly inform the other party thereof; (B) shall provide the other party (and its counsel) with a reasonable opportunity to review and comment on any amendment or supplement to the Form S-4 Registration Statement or the Proxy Statement/Prospectus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w:t>
      </w:r>
    </w:p>
    <w:p>
      <w:pPr>
        <w:spacing w:after="0" w:line="139" w:lineRule="exact"/>
        <w:rPr>
          <w:rFonts w:ascii="Times New Roman" w:cs="Times New Roman" w:eastAsia="Times New Roman" w:hAnsi="Times New Roman"/>
          <w:sz w:val="13"/>
          <w:szCs w:val="13"/>
          <w:color w:val="auto"/>
        </w:rPr>
      </w:pPr>
    </w:p>
    <w:p>
      <w:pPr>
        <w:jc w:val="both"/>
        <w:ind w:right="20" w:firstLine="932"/>
        <w:spacing w:after="0" w:line="287" w:lineRule="auto"/>
        <w:tabs>
          <w:tab w:leader="none" w:pos="1379"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Effective Time, Parent shall use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vesting and settlement of Company Converted RSUs, Company Converted PSUs and Company Converted MSUs;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Parent shall not be required to qualify to do business in any jurisdiction in which it is not now so qualified or file a general consent to service of process in any jurisdiction.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5" w:name="page66"/>
    <w:bookmarkEnd w:id="65"/>
    <w:p>
      <w:pPr>
        <w:ind w:left="460"/>
        <w:spacing w:after="0"/>
        <w:tabs>
          <w:tab w:leader="none" w:pos="90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2"/>
          <w:szCs w:val="12"/>
          <w:u w:val="single" w:color="auto"/>
          <w:color w:val="auto"/>
        </w:rPr>
        <w:t>Meeting of Company’s Stockholders; Company Change in Recommendation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1" w:lineRule="auto"/>
        <w:tabs>
          <w:tab w:leader="none" w:pos="1428"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 shall take all action necessary under all applicable Legal Requirements and the Company’s Organizational Documents to, as promptly as reasonably practicable after the Form S-4 Registration Statement is declared effective (and in any event within 45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 w:cs="Times New Roman" w:eastAsia="Times New Roman" w:hAnsi="Times New Roman"/>
          <w:sz w:val="13"/>
          <w:szCs w:val="13"/>
          <w:u w:val="single" w:color="auto"/>
          <w:color w:val="auto"/>
        </w:rPr>
        <w:t>Company Stockholder Meeting</w:t>
      </w:r>
      <w:r>
        <w:rPr>
          <w:rFonts w:ascii="Times New Roman" w:cs="Times New Roman" w:eastAsia="Times New Roman" w:hAnsi="Times New Roman"/>
          <w:sz w:val="13"/>
          <w:szCs w:val="13"/>
          <w:color w:val="auto"/>
        </w:rPr>
        <w:t xml:space="preserve">”); and (ii) shall submit such proposals to, and, except in the case where the Company Board has made a Company Change in Recommendation in compliance with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the Company shall use reasonable best efforts during any such postponement or adjournment to solicit and obtain such proxies in favor of the adoption of this Agreement as soon as reasonably practicable;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without the prior written consent of Parent (not to be unreasonably withheld, in the cases of </w:t>
      </w:r>
      <w:r>
        <w:rPr>
          <w:rFonts w:ascii="Times New Roman" w:cs="Times New Roman" w:eastAsia="Times New Roman" w:hAnsi="Times New Roman"/>
          <w:sz w:val="13"/>
          <w:szCs w:val="13"/>
          <w:u w:val="single" w:color="auto"/>
          <w:color w:val="auto"/>
        </w:rPr>
        <w:t>clauses (A)(1)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(A)(2)</w:t>
      </w:r>
      <w:r>
        <w:rPr>
          <w:rFonts w:ascii="Times New Roman" w:cs="Times New Roman" w:eastAsia="Times New Roman" w:hAnsi="Times New Roman"/>
          <w:sz w:val="13"/>
          <w:szCs w:val="13"/>
          <w:color w:val="auto"/>
        </w:rPr>
        <w:t xml:space="preserve">) (x) any such adjournments or postponements shall be only for the minimum duration reasonably necessary (and for adjournments and postponements under </w:t>
      </w:r>
      <w:r>
        <w:rPr>
          <w:rFonts w:ascii="Times New Roman" w:cs="Times New Roman" w:eastAsia="Times New Roman" w:hAnsi="Times New Roman"/>
          <w:sz w:val="13"/>
          <w:szCs w:val="13"/>
          <w:u w:val="single" w:color="auto"/>
          <w:color w:val="auto"/>
        </w:rPr>
        <w:t>clause (A)(3)</w:t>
      </w:r>
      <w:r>
        <w:rPr>
          <w:rFonts w:ascii="Times New Roman" w:cs="Times New Roman" w:eastAsia="Times New Roman" w:hAnsi="Times New Roman"/>
          <w:sz w:val="13"/>
          <w:szCs w:val="13"/>
          <w:color w:val="auto"/>
        </w:rPr>
        <w:t xml:space="preserve">, no more than five (5) Business Days each time) to accomplish the applicable purpose described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6" w:name="page67"/>
    <w:bookmarkEnd w:id="66"/>
    <w:p>
      <w:pPr>
        <w:jc w:val="both"/>
        <w:ind w:left="2" w:firstLine="932"/>
        <w:spacing w:after="0" w:line="252" w:lineRule="auto"/>
        <w:tabs>
          <w:tab w:leader="none" w:pos="1333"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4.5(d)</w:t>
      </w:r>
      <w:r>
        <w:rPr>
          <w:rFonts w:ascii="Times New Roman" w:cs="Times New Roman" w:eastAsia="Times New Roman" w:hAnsi="Times New Roman"/>
          <w:sz w:val="13"/>
          <w:szCs w:val="13"/>
          <w:color w:val="auto"/>
        </w:rPr>
        <w:t xml:space="preserve">, the Proxy Statement/Prospectus shall include the Company Board Recommendation. Neither the Company Board nor any committee thereof shall, except as otherwise expressly permitted by this Agreement, including by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4.5(d)</w:t>
      </w:r>
      <w:r>
        <w:rPr>
          <w:rFonts w:ascii="Times New Roman" w:cs="Times New Roman" w:eastAsia="Times New Roman" w:hAnsi="Times New Roman"/>
          <w:sz w:val="13"/>
          <w:szCs w:val="13"/>
          <w:color w:val="auto"/>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Statement/Prospectus; (ii) approve, endorse, adopt, recommend or declare advisable (or publicly propose to do so) 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 w:cs="Times New Roman" w:eastAsia="Times New Roman" w:hAnsi="Times New Roman"/>
          <w:sz w:val="13"/>
          <w:szCs w:val="13"/>
          <w:u w:val="single" w:color="auto"/>
          <w:color w:val="auto"/>
        </w:rPr>
        <w:t>Section 4.5(f)(i)</w:t>
      </w:r>
      <w:r>
        <w:rPr>
          <w:rFonts w:ascii="Times New Roman" w:cs="Times New Roman" w:eastAsia="Times New Roman" w:hAnsi="Times New Roman"/>
          <w:sz w:val="13"/>
          <w:szCs w:val="13"/>
          <w:color w:val="auto"/>
        </w:rPr>
        <w:t xml:space="preserve"> shall not constitute a failure to recommend against under this </w:t>
      </w:r>
      <w:r>
        <w:rPr>
          <w:rFonts w:ascii="Times New Roman" w:cs="Times New Roman" w:eastAsia="Times New Roman" w:hAnsi="Times New Roman"/>
          <w:sz w:val="13"/>
          <w:szCs w:val="13"/>
          <w:u w:val="single" w:color="auto"/>
          <w:color w:val="auto"/>
        </w:rPr>
        <w:t>clause (iii)</w:t>
      </w:r>
      <w:r>
        <w:rPr>
          <w:rFonts w:ascii="Times New Roman" w:cs="Times New Roman" w:eastAsia="Times New Roman" w:hAnsi="Times New Roman"/>
          <w:sz w:val="13"/>
          <w:szCs w:val="13"/>
          <w:color w:val="auto"/>
        </w:rPr>
        <w:t xml:space="preserve">); or (iv) if requested by Parent, fail to issue, within (x) ten (10) Business Days after a tender offer or exchange offer constituting an Acquisition Proposal is commenced under the Exchange Act or (y) five (5) Business Days after any other Acquisition Proposal is publicly announced or after any material modification of any Acquisition Proposal (and in no event later than five (5) Business Days prior to the date of the Company Stockholder Meeting, as it may be postponed or adjourned pursuant to </w:t>
      </w:r>
      <w:r>
        <w:rPr>
          <w:rFonts w:ascii="Times New Roman" w:cs="Times New Roman" w:eastAsia="Times New Roman" w:hAnsi="Times New Roman"/>
          <w:sz w:val="13"/>
          <w:szCs w:val="13"/>
          <w:u w:val="single" w:color="auto"/>
          <w:color w:val="auto"/>
        </w:rPr>
        <w:t>Section 4.5(a)</w:t>
      </w:r>
      <w:r>
        <w:rPr>
          <w:rFonts w:ascii="Times New Roman" w:cs="Times New Roman" w:eastAsia="Times New Roman" w:hAnsi="Times New Roman"/>
          <w:sz w:val="13"/>
          <w:szCs w:val="13"/>
          <w:color w:val="auto"/>
        </w:rPr>
        <w:t xml:space="preserve">), a press release reaffirming without qualification the Company Board Recommendation (any action described in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xml:space="preserve"> being referred to as a “</w:t>
      </w:r>
      <w:r>
        <w:rPr>
          <w:rFonts w:ascii="Times New Roman" w:cs="Times New Roman" w:eastAsia="Times New Roman" w:hAnsi="Times New Roman"/>
          <w:sz w:val="13"/>
          <w:szCs w:val="13"/>
          <w:u w:val="single" w:color="auto"/>
          <w:color w:val="auto"/>
        </w:rPr>
        <w:t>Company Change in Recommendation</w:t>
      </w:r>
      <w:r>
        <w:rPr>
          <w:rFonts w:ascii="Times New Roman" w:cs="Times New Roman" w:eastAsia="Times New Roman" w:hAnsi="Times New Roman"/>
          <w:sz w:val="13"/>
          <w:szCs w:val="13"/>
          <w:color w:val="auto"/>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an Acquisition Transaction (other than a confidentiality agreement entered into in compliance with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 (vi) take any action to make the provisions of any anti-takeover or similar statute or regulation inapplicable to any Acquisition Proposal or counterparty thereto; or (vii) publicly propose, resolve or agree to do any of the foregoing.</w:t>
      </w:r>
    </w:p>
    <w:p>
      <w:pPr>
        <w:spacing w:after="0" w:line="136" w:lineRule="exact"/>
        <w:rPr>
          <w:rFonts w:ascii="Times New Roman" w:cs="Times New Roman" w:eastAsia="Times New Roman" w:hAnsi="Times New Roman"/>
          <w:sz w:val="13"/>
          <w:szCs w:val="13"/>
          <w:color w:val="auto"/>
        </w:rPr>
      </w:pPr>
    </w:p>
    <w:p>
      <w:pPr>
        <w:jc w:val="both"/>
        <w:ind w:left="2" w:right="20" w:firstLine="932"/>
        <w:spacing w:after="0" w:line="277" w:lineRule="auto"/>
        <w:tabs>
          <w:tab w:leader="none" w:pos="1430"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contained in this Agreement, at any time prior to obtaining the Required Company Stockholder Vote, the Company Board may make a Company Change in Recommendation related to an Acquisition Proposal and authorize the Company to terminate this Agreement to concurrently enter into a definitive agreement with respect to such Acquisition Proposal if and only if (x) the Company receives from a third party a bona fide written Acquisition Proposal after the date of this Agreement that has not been withdrawn and did not result from a material breach of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 xml:space="preserve"> and</w:t>
      </w:r>
    </w:p>
    <w:p>
      <w:pPr>
        <w:ind w:left="182" w:hanging="182"/>
        <w:spacing w:after="0"/>
        <w:tabs>
          <w:tab w:leader="none" w:pos="182"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making such Company Change in Recommendation and/or authorizing the Company to terminate this Agreement to concurrently enter into a definitive agreement with respect to such Acquisition Proposal:</w:t>
      </w:r>
    </w:p>
    <w:p>
      <w:pPr>
        <w:spacing w:after="0" w:line="149" w:lineRule="exact"/>
        <w:rPr>
          <w:rFonts w:ascii="Times New Roman" w:cs="Times New Roman" w:eastAsia="Times New Roman" w:hAnsi="Times New Roman"/>
          <w:sz w:val="13"/>
          <w:szCs w:val="13"/>
          <w:color w:val="auto"/>
        </w:rPr>
      </w:pPr>
    </w:p>
    <w:p>
      <w:pPr>
        <w:ind w:left="462" w:right="20" w:firstLine="938"/>
        <w:spacing w:after="0" w:line="278" w:lineRule="auto"/>
        <w:tabs>
          <w:tab w:leader="none" w:pos="1940" w:val="left"/>
        </w:tabs>
        <w:numPr>
          <w:ilvl w:val="2"/>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determines in good faith, after consultation with the Company’s outside legal counsel and its financial advisor, that such Acquisition Proposal constitutes a Superior Proposal and that failure to take such action would reasonably be expected to be inconsistent with the Company Board’s fiduciary duties to its stockholders under applicable Legal Requirements;</w:t>
      </w:r>
    </w:p>
    <w:p>
      <w:pPr>
        <w:spacing w:after="0" w:line="120" w:lineRule="exact"/>
        <w:rPr>
          <w:rFonts w:ascii="Times New Roman" w:cs="Times New Roman" w:eastAsia="Times New Roman" w:hAnsi="Times New Roman"/>
          <w:sz w:val="13"/>
          <w:szCs w:val="13"/>
          <w:color w:val="auto"/>
        </w:rPr>
      </w:pPr>
    </w:p>
    <w:p>
      <w:pPr>
        <w:jc w:val="both"/>
        <w:ind w:left="462" w:right="20" w:firstLine="938"/>
        <w:spacing w:after="0" w:line="296" w:lineRule="auto"/>
        <w:tabs>
          <w:tab w:leader="none" w:pos="1853"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delivers to Parent a written notice (the “</w:t>
      </w:r>
      <w:r>
        <w:rPr>
          <w:rFonts w:ascii="Times New Roman" w:cs="Times New Roman" w:eastAsia="Times New Roman" w:hAnsi="Times New Roman"/>
          <w:sz w:val="12"/>
          <w:szCs w:val="12"/>
          <w:u w:val="single" w:color="auto"/>
          <w:color w:val="auto"/>
        </w:rPr>
        <w:t>Superior Proposal Notice</w:t>
      </w:r>
      <w:r>
        <w:rPr>
          <w:rFonts w:ascii="Times New Roman" w:cs="Times New Roman" w:eastAsia="Times New Roman" w:hAnsi="Times New Roman"/>
          <w:sz w:val="12"/>
          <w:szCs w:val="12"/>
          <w:color w:val="auto"/>
        </w:rPr>
        <w:t>”) no less than four (4) Business Days in advance stating that the Company Board intends to make a Company Change in Recommendation and/or terminate this Agreement to concurrently enter into a definitive agreement with respect to such Acquisition Proposal, which notice shall include the identity of the Person making such Acquisition Proposal, a copy of such proposal, a draft of the definitive agreement to be entered into in connection therewith (or, if not in writing, the material terms and conditions thereof);</w:t>
      </w:r>
    </w:p>
    <w:p>
      <w:pPr>
        <w:spacing w:after="0" w:line="2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67" w:name="page68"/>
    <w:bookmarkEnd w:id="67"/>
    <w:p>
      <w:pPr>
        <w:jc w:val="both"/>
        <w:ind w:left="462" w:firstLine="938"/>
        <w:spacing w:after="0" w:line="254" w:lineRule="auto"/>
        <w:tabs>
          <w:tab w:leader="none" w:pos="1843" w:val="left"/>
        </w:tabs>
        <w:numPr>
          <w:ilvl w:val="3"/>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during the four (4) Business Day period commencing on the date of Parent’s receipt of such Superior Proposal Notice, if requested by Parent, the Company and its legal and financial advisors engage in good faith negotiations with Parent regarding a possible amendment of this Agreement so that the Acquisition Proposal that is the subject of the Superior Proposal Notice ceases to be a Superior Proposal; and (B) after the expiration of the negotiation period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 w:cs="Times New Roman" w:eastAsia="Times New Roman" w:hAnsi="Times New Roman"/>
          <w:sz w:val="13"/>
          <w:szCs w:val="13"/>
          <w:u w:val="single" w:color="auto"/>
          <w:color w:val="auto"/>
        </w:rPr>
        <w:t>clause</w:t>
      </w:r>
    </w:p>
    <w:p>
      <w:pPr>
        <w:spacing w:after="0" w:line="1" w:lineRule="exact"/>
        <w:rPr>
          <w:rFonts w:ascii="Times New Roman" w:cs="Times New Roman" w:eastAsia="Times New Roman" w:hAnsi="Times New Roman"/>
          <w:sz w:val="13"/>
          <w:szCs w:val="13"/>
          <w:color w:val="auto"/>
        </w:rPr>
      </w:pPr>
    </w:p>
    <w:p>
      <w:pPr>
        <w:jc w:val="both"/>
        <w:ind w:left="462" w:firstLine="5"/>
        <w:spacing w:after="0" w:line="252" w:lineRule="auto"/>
        <w:tabs>
          <w:tab w:leader="none" w:pos="688" w:val="left"/>
        </w:tabs>
        <w:numPr>
          <w:ilvl w:val="1"/>
          <w:numId w:val="9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above, that such Acquisition Proposal continues to constitute a Superior Proposal;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if there is any change to any of the financial terms (including price or exchange ratio) or any other material terms of such Acquisition Proposal, the Company shall, in each case, be required to deliver to Parent an additional notice consistent with that described in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above and a new negotiation period under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above shall commence (except that the original four (4) Business Day notice period referred to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above shall be extended to ensure that at least two (2) Business Days remain therein), during which time the Company shall be required to comply with the requirements of this </w:t>
      </w:r>
      <w:r>
        <w:rPr>
          <w:rFonts w:ascii="Times New Roman" w:cs="Times New Roman" w:eastAsia="Times New Roman" w:hAnsi="Times New Roman"/>
          <w:sz w:val="13"/>
          <w:szCs w:val="13"/>
          <w:u w:val="single" w:color="auto"/>
          <w:color w:val="auto"/>
        </w:rPr>
        <w:t>Section 4.5(c)(iii)</w:t>
      </w:r>
      <w:r>
        <w:rPr>
          <w:rFonts w:ascii="Times New Roman" w:cs="Times New Roman" w:eastAsia="Times New Roman" w:hAnsi="Times New Roman"/>
          <w:sz w:val="13"/>
          <w:szCs w:val="13"/>
          <w:color w:val="auto"/>
        </w:rPr>
        <w:t xml:space="preserve"> anew with respect to such additional notice (but substituting the time periods therein with the foregoing two (2) Business Day period, as applicable); and</w:t>
      </w:r>
    </w:p>
    <w:p>
      <w:pPr>
        <w:spacing w:after="0" w:line="137" w:lineRule="exact"/>
        <w:rPr>
          <w:rFonts w:ascii="Times New Roman" w:cs="Times New Roman" w:eastAsia="Times New Roman" w:hAnsi="Times New Roman"/>
          <w:sz w:val="13"/>
          <w:szCs w:val="13"/>
          <w:u w:val="single" w:color="auto"/>
          <w:color w:val="auto"/>
        </w:rPr>
      </w:pPr>
    </w:p>
    <w:p>
      <w:pPr>
        <w:ind w:left="462" w:firstLine="938"/>
        <w:spacing w:after="0" w:line="278" w:lineRule="auto"/>
        <w:tabs>
          <w:tab w:leader="none" w:pos="1852" w:val="left"/>
        </w:tabs>
        <w:numPr>
          <w:ilvl w:val="3"/>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case of the Company terminating this Agreement to concurrently enter into a definitive agreement with respect to a Superior Proposal, the Company shall have paid, or caused the payment of, the Company Termination Fee in accordance with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20" w:lineRule="exact"/>
        <w:rPr>
          <w:rFonts w:ascii="Times New Roman" w:cs="Times New Roman" w:eastAsia="Times New Roman" w:hAnsi="Times New Roman"/>
          <w:sz w:val="13"/>
          <w:szCs w:val="13"/>
          <w:color w:val="auto"/>
        </w:rPr>
      </w:pPr>
    </w:p>
    <w:p>
      <w:pPr>
        <w:jc w:val="both"/>
        <w:ind w:left="2" w:firstLine="932"/>
        <w:spacing w:after="0" w:line="254" w:lineRule="auto"/>
        <w:tabs>
          <w:tab w:leader="none" w:pos="1466" w:val="left"/>
        </w:tabs>
        <w:numPr>
          <w:ilvl w:val="2"/>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in this Agreement, at any time prior to obtaining the Required Company Stockholder Vote, other than with respect to an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w:t>
      </w:r>
    </w:p>
    <w:p>
      <w:pPr>
        <w:spacing w:after="0" w:line="1" w:lineRule="exact"/>
        <w:rPr>
          <w:rFonts w:ascii="Times New Roman" w:cs="Times New Roman" w:eastAsia="Times New Roman" w:hAnsi="Times New Roman"/>
          <w:sz w:val="13"/>
          <w:szCs w:val="13"/>
          <w:color w:val="auto"/>
        </w:rPr>
      </w:pPr>
    </w:p>
    <w:p>
      <w:pPr>
        <w:jc w:val="both"/>
        <w:ind w:left="2" w:hanging="2"/>
        <w:spacing w:after="0" w:line="250" w:lineRule="auto"/>
        <w:tabs>
          <w:tab w:leader="none" w:pos="239"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does not result from the Company’s material breach of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and (iv) does not result from or relate to (A) an Acquisition Proposal or a Superior Proposal, (B) the public announcement, execution, or delivery of this Agreement, the identity of Parent,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(any such state of fact, event, change, effect, circumstance, occurrence, development, condition, circumstance, or combination thereof, being referred to as a “</w:t>
      </w:r>
      <w:r>
        <w:rPr>
          <w:rFonts w:ascii="Times New Roman" w:cs="Times New Roman" w:eastAsia="Times New Roman" w:hAnsi="Times New Roman"/>
          <w:sz w:val="13"/>
          <w:szCs w:val="13"/>
          <w:u w:val="single" w:color="auto"/>
          <w:color w:val="auto"/>
        </w:rPr>
        <w:t>Intervening Event</w:t>
      </w:r>
      <w:r>
        <w:rPr>
          <w:rFonts w:ascii="Times New Roman" w:cs="Times New Roman" w:eastAsia="Times New Roman" w:hAnsi="Times New Roman"/>
          <w:sz w:val="13"/>
          <w:szCs w:val="13"/>
          <w:color w:val="auto"/>
        </w:rPr>
        <w:t xml:space="preserve">”); and, prior to making such Company Change in Recommendation, (1) the Company Board determines in good faith, after consultation with its outside legal counsel and its financial advisor, that, in light of such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 w:cs="Times New Roman" w:eastAsia="Times New Roman" w:hAnsi="Times New Roman"/>
          <w:sz w:val="13"/>
          <w:szCs w:val="13"/>
          <w:u w:val="single" w:color="auto"/>
          <w:color w:val="auto"/>
        </w:rPr>
        <w:t>clause (3)</w:t>
      </w:r>
      <w:r>
        <w:rPr>
          <w:rFonts w:ascii="Times New Roman" w:cs="Times New Roman" w:eastAsia="Times New Roman" w:hAnsi="Times New Roman"/>
          <w:sz w:val="13"/>
          <w:szCs w:val="13"/>
          <w:color w:val="auto"/>
        </w:rPr>
        <w:t xml:space="preserve"> above, that, in light of such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w:t>
      </w:r>
    </w:p>
    <w:p>
      <w:pPr>
        <w:spacing w:after="0" w:line="2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68" w:name="page69"/>
    <w:bookmarkEnd w:id="68"/>
    <w:p>
      <w:pPr>
        <w:jc w:val="both"/>
        <w:ind w:left="2" w:firstLine="932"/>
        <w:spacing w:after="0" w:line="264" w:lineRule="auto"/>
        <w:tabs>
          <w:tab w:leader="none" w:pos="153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Company Change in Recommendation, unless this Agreement has been earlier terminated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(including by the Company in order to concurrently enter into a definitive agreement with respect to a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spacing w:after="0" w:line="129" w:lineRule="exact"/>
        <w:rPr>
          <w:rFonts w:ascii="Times New Roman" w:cs="Times New Roman" w:eastAsia="Times New Roman" w:hAnsi="Times New Roman"/>
          <w:sz w:val="13"/>
          <w:szCs w:val="13"/>
          <w:color w:val="auto"/>
        </w:rPr>
      </w:pPr>
    </w:p>
    <w:p>
      <w:pPr>
        <w:jc w:val="both"/>
        <w:ind w:left="2" w:firstLine="932"/>
        <w:spacing w:after="0" w:line="257" w:lineRule="auto"/>
        <w:tabs>
          <w:tab w:leader="none" w:pos="142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an Acquisition Proposal to the provisions of this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case of either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no such communication or statement that would constitute a Company Change in Recommendation shall be permitted, made or taken except in accordance with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4.5(d)</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62"/>
        <w:spacing w:after="0"/>
        <w:tabs>
          <w:tab w:leader="none" w:pos="902" w:val="left"/>
        </w:tabs>
        <w:rPr>
          <w:sz w:val="20"/>
          <w:szCs w:val="20"/>
          <w:color w:val="auto"/>
        </w:rPr>
      </w:pPr>
      <w:r>
        <w:rPr>
          <w:rFonts w:ascii="Times New Roman" w:cs="Times New Roman" w:eastAsia="Times New Roman" w:hAnsi="Times New Roman"/>
          <w:sz w:val="13"/>
          <w:szCs w:val="13"/>
          <w:color w:val="auto"/>
        </w:rPr>
        <w:t>4.6</w:t>
      </w:r>
      <w:r>
        <w:rPr>
          <w:sz w:val="20"/>
          <w:szCs w:val="20"/>
          <w:color w:val="auto"/>
        </w:rPr>
        <w:tab/>
      </w:r>
      <w:r>
        <w:rPr>
          <w:rFonts w:ascii="Times New Roman" w:cs="Times New Roman" w:eastAsia="Times New Roman" w:hAnsi="Times New Roman"/>
          <w:sz w:val="13"/>
          <w:szCs w:val="13"/>
          <w:u w:val="single" w:color="auto"/>
          <w:color w:val="auto"/>
        </w:rPr>
        <w:t>Filings; Other Actions</w:t>
      </w:r>
      <w:r>
        <w:rPr>
          <w:rFonts w:ascii="Times New Roman" w:cs="Times New Roman" w:eastAsia="Times New Roman" w:hAnsi="Times New Roman"/>
          <w:sz w:val="13"/>
          <w:szCs w:val="13"/>
          <w:color w:val="auto"/>
        </w:rPr>
        <w:t>.</w:t>
      </w:r>
    </w:p>
    <w:p>
      <w:pPr>
        <w:spacing w:after="0" w:line="162" w:lineRule="exact"/>
        <w:rPr>
          <w:sz w:val="20"/>
          <w:szCs w:val="20"/>
          <w:color w:val="auto"/>
        </w:rPr>
      </w:pPr>
    </w:p>
    <w:p>
      <w:pPr>
        <w:ind w:left="1402" w:hanging="468"/>
        <w:spacing w:after="0"/>
        <w:tabs>
          <w:tab w:leader="none" w:pos="1402"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of this Agreement, each of the parties hereto shall cooperate with the other and use (and shall cause their respective Subsidiaries to use) their respective</w:t>
      </w:r>
    </w:p>
    <w:p>
      <w:pPr>
        <w:spacing w:after="0" w:line="18" w:lineRule="exact"/>
        <w:rPr>
          <w:rFonts w:ascii="Times New Roman" w:cs="Times New Roman" w:eastAsia="Times New Roman" w:hAnsi="Times New Roman"/>
          <w:sz w:val="13"/>
          <w:szCs w:val="13"/>
          <w:color w:val="auto"/>
        </w:rPr>
      </w:pPr>
    </w:p>
    <w:p>
      <w:pPr>
        <w:jc w:val="both"/>
        <w:ind w:left="2"/>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w:t>
      </w:r>
    </w:p>
    <w:p>
      <w:pPr>
        <w:spacing w:after="0" w:line="2" w:lineRule="exact"/>
        <w:rPr>
          <w:rFonts w:ascii="Times New Roman" w:cs="Times New Roman" w:eastAsia="Times New Roman" w:hAnsi="Times New Roman"/>
          <w:sz w:val="13"/>
          <w:szCs w:val="13"/>
          <w:color w:val="auto"/>
        </w:rPr>
      </w:pPr>
    </w:p>
    <w:p>
      <w:pPr>
        <w:jc w:val="both"/>
        <w:ind w:left="2" w:hanging="2"/>
        <w:spacing w:after="0" w:line="253" w:lineRule="auto"/>
        <w:tabs>
          <w:tab w:leader="none" w:pos="193"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 xml:space="preserve"> of the Company Disclosure Schedule, obtain all necessary consents, approvals or waivers from third parties.</w:t>
      </w:r>
    </w:p>
    <w:p>
      <w:pPr>
        <w:spacing w:after="0" w:line="200" w:lineRule="exact"/>
        <w:rPr>
          <w:sz w:val="20"/>
          <w:szCs w:val="20"/>
          <w:color w:val="auto"/>
        </w:rPr>
      </w:pPr>
    </w:p>
    <w:p>
      <w:pPr>
        <w:spacing w:after="0" w:line="21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69" w:name="page70"/>
    <w:bookmarkEnd w:id="69"/>
    <w:p>
      <w:pPr>
        <w:jc w:val="both"/>
        <w:ind w:firstLine="932"/>
        <w:spacing w:after="0" w:line="253" w:lineRule="auto"/>
        <w:tabs>
          <w:tab w:leader="none" w:pos="1376"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fifteen (15)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w:t>
      </w:r>
    </w:p>
    <w:p>
      <w:pPr>
        <w:spacing w:after="0" w:line="139" w:lineRule="exact"/>
        <w:rPr>
          <w:rFonts w:ascii="Times New Roman" w:cs="Times New Roman" w:eastAsia="Times New Roman" w:hAnsi="Times New Roman"/>
          <w:sz w:val="13"/>
          <w:szCs w:val="13"/>
          <w:color w:val="auto"/>
        </w:rPr>
      </w:pPr>
    </w:p>
    <w:p>
      <w:pPr>
        <w:jc w:val="both"/>
        <w:ind w:right="20" w:firstLine="932"/>
        <w:spacing w:after="0" w:line="251" w:lineRule="auto"/>
        <w:tabs>
          <w:tab w:leader="none" w:pos="1314"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 xml:space="preserve"> 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consults with and considers in good faith any comments of the Company or its Representatives relating to such strategy), and coordinate any contacts with any Governmental Entity,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 w:cs="Times New Roman" w:eastAsia="Times New Roman" w:hAnsi="Times New Roman"/>
          <w:sz w:val="13"/>
          <w:szCs w:val="13"/>
          <w:i w:val="1"/>
          <w:iCs w:val="1"/>
          <w:color w:val="auto"/>
        </w:rPr>
        <w:t>provided further however</w:t>
      </w:r>
      <w:r>
        <w:rPr>
          <w:rFonts w:ascii="Times New Roman" w:cs="Times New Roman" w:eastAsia="Times New Roman" w:hAnsi="Times New Roman"/>
          <w:sz w:val="13"/>
          <w:szCs w:val="13"/>
          <w:color w:val="auto"/>
        </w:rPr>
        <w:t>, that Parent shall have the right, on no more than one (1) occasion, to withdraw and refile the notifications required under the HSR Act, after good faith consultation with the Company; and (ii) take the lead in all meetings, communications, discussions and negotiations with any Governmental Entity in connection with obtaining any such action or consent.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0" w:name="page71"/>
    <w:bookmarkEnd w:id="70"/>
    <w:p>
      <w:pPr>
        <w:jc w:val="both"/>
        <w:ind w:firstLine="932"/>
        <w:spacing w:after="0" w:line="252" w:lineRule="auto"/>
        <w:tabs>
          <w:tab w:leader="none" w:pos="1393"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 w:cs="Times New Roman" w:eastAsia="Times New Roman" w:hAnsi="Times New Roman"/>
          <w:sz w:val="13"/>
          <w:szCs w:val="13"/>
          <w:u w:val="single" w:color="auto"/>
          <w:color w:val="auto"/>
        </w:rPr>
        <w:t>Regulatory Remedies</w:t>
      </w:r>
      <w:r>
        <w:rPr>
          <w:rFonts w:ascii="Times New Roman" w:cs="Times New Roman" w:eastAsia="Times New Roman" w:hAnsi="Times New Roman"/>
          <w:sz w:val="13"/>
          <w:szCs w:val="13"/>
          <w:color w:val="auto"/>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whole, including for purposes of this </w:t>
      </w:r>
      <w:r>
        <w:rPr>
          <w:rFonts w:ascii="Times New Roman" w:cs="Times New Roman" w:eastAsia="Times New Roman" w:hAnsi="Times New Roman"/>
          <w:sz w:val="13"/>
          <w:szCs w:val="13"/>
          <w:u w:val="single" w:color="auto"/>
          <w:color w:val="auto"/>
        </w:rPr>
        <w:t>clause (B)</w:t>
      </w:r>
      <w:r>
        <w:rPr>
          <w:rFonts w:ascii="Times New Roman" w:cs="Times New Roman" w:eastAsia="Times New Roman" w:hAnsi="Times New Roman"/>
          <w:sz w:val="13"/>
          <w:szCs w:val="13"/>
          <w:color w:val="auto"/>
        </w:rPr>
        <w:t xml:space="preserve"> the benefits reasonably expected to be realized by Parent through the consummation of the Merger and the other transactions contemplated hereby, which effect for purposes of this </w:t>
      </w:r>
      <w:r>
        <w:rPr>
          <w:rFonts w:ascii="Times New Roman" w:cs="Times New Roman" w:eastAsia="Times New Roman" w:hAnsi="Times New Roman"/>
          <w:sz w:val="13"/>
          <w:szCs w:val="13"/>
          <w:u w:val="single" w:color="auto"/>
          <w:color w:val="auto"/>
        </w:rPr>
        <w:t>clause (B)</w:t>
      </w:r>
      <w:r>
        <w:rPr>
          <w:rFonts w:ascii="Times New Roman" w:cs="Times New Roman" w:eastAsia="Times New Roman" w:hAnsi="Times New Roman"/>
          <w:sz w:val="13"/>
          <w:szCs w:val="13"/>
          <w:color w:val="auto"/>
        </w:rPr>
        <w:t xml:space="preserve"> will be measured on a scale and size relative to the scale and size of the Company and its Subsidiaries, taken as a whole.</w:t>
      </w:r>
    </w:p>
    <w:p>
      <w:pPr>
        <w:spacing w:after="0" w:line="139" w:lineRule="exact"/>
        <w:rPr>
          <w:rFonts w:ascii="Times New Roman" w:cs="Times New Roman" w:eastAsia="Times New Roman" w:hAnsi="Times New Roman"/>
          <w:sz w:val="13"/>
          <w:szCs w:val="13"/>
          <w:color w:val="auto"/>
        </w:rPr>
      </w:pPr>
    </w:p>
    <w:p>
      <w:pPr>
        <w:jc w:val="both"/>
        <w:ind w:firstLine="932"/>
        <w:spacing w:after="0" w:line="259" w:lineRule="auto"/>
        <w:tabs>
          <w:tab w:leader="none" w:pos="1376"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furtherance and not in limitation of the covenants of the parties contained in this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spacing w:after="0" w:line="132" w:lineRule="exact"/>
        <w:rPr>
          <w:rFonts w:ascii="Times New Roman" w:cs="Times New Roman" w:eastAsia="Times New Roman" w:hAnsi="Times New Roman"/>
          <w:sz w:val="13"/>
          <w:szCs w:val="13"/>
          <w:color w:val="auto"/>
        </w:rPr>
      </w:pPr>
    </w:p>
    <w:p>
      <w:pPr>
        <w:jc w:val="both"/>
        <w:ind w:firstLine="932"/>
        <w:spacing w:after="0" w:line="259" w:lineRule="auto"/>
        <w:tabs>
          <w:tab w:leader="none" w:pos="1413"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agrees that, prior to the earlier of the Effective Time and the termination of this Agreement pursuant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1" w:name="page72"/>
    <w:bookmarkEnd w:id="71"/>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4.7</w:t>
      </w:r>
      <w:r>
        <w:rPr>
          <w:sz w:val="20"/>
          <w:szCs w:val="20"/>
          <w:color w:val="auto"/>
        </w:rPr>
        <w:tab/>
      </w:r>
      <w:r>
        <w:rPr>
          <w:rFonts w:ascii="Times New Roman" w:cs="Times New Roman" w:eastAsia="Times New Roman" w:hAnsi="Times New Roman"/>
          <w:sz w:val="12"/>
          <w:szCs w:val="12"/>
          <w:u w:val="single" w:color="auto"/>
          <w:color w:val="auto"/>
        </w:rPr>
        <w:t>Merger Sub; Parent Vote</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firstLine="932"/>
        <w:spacing w:after="0" w:line="278" w:lineRule="auto"/>
        <w:tabs>
          <w:tab w:leader="none" w:pos="1389"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37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489"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following the execution of this Agreement, Parent shall execute and deliver, in accordance with the DGCL and in its capacity as the sole stockholder of Merger Sub, a written consent adopting this Agreement.</w:t>
      </w:r>
    </w:p>
    <w:p>
      <w:pPr>
        <w:spacing w:after="0" w:line="121"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4.8</w:t>
      </w:r>
      <w:r>
        <w:rPr>
          <w:sz w:val="20"/>
          <w:szCs w:val="20"/>
          <w:color w:val="auto"/>
        </w:rPr>
        <w:tab/>
      </w:r>
      <w:r>
        <w:rPr>
          <w:rFonts w:ascii="Times New Roman" w:cs="Times New Roman" w:eastAsia="Times New Roman" w:hAnsi="Times New Roman"/>
          <w:sz w:val="12"/>
          <w:szCs w:val="12"/>
          <w:u w:val="single" w:color="auto"/>
          <w:color w:val="auto"/>
        </w:rPr>
        <w:t>Publicity; Confidentiality</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2" w:lineRule="auto"/>
        <w:tabs>
          <w:tab w:leader="none" w:pos="133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4.8</w:t>
      </w:r>
      <w:r>
        <w:rPr>
          <w:rFonts w:ascii="Times New Roman" w:cs="Times New Roman" w:eastAsia="Times New Roman" w:hAnsi="Times New Roman"/>
          <w:sz w:val="13"/>
          <w:szCs w:val="13"/>
          <w:color w:val="auto"/>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 w:cs="Times New Roman" w:eastAsia="Times New Roman" w:hAnsi="Times New Roman"/>
          <w:sz w:val="13"/>
          <w:szCs w:val="13"/>
          <w:u w:val="single" w:color="auto"/>
          <w:color w:val="auto"/>
        </w:rPr>
        <w:t>Sections 4.3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4.5</w:t>
      </w:r>
      <w:r>
        <w:rPr>
          <w:rFonts w:ascii="Times New Roman" w:cs="Times New Roman" w:eastAsia="Times New Roman" w:hAnsi="Times New Roman"/>
          <w:sz w:val="13"/>
          <w:szCs w:val="13"/>
          <w:color w:val="auto"/>
        </w:rPr>
        <w:t xml:space="preserve"> and (iv) neither party need consult with (or obtain the consent of) the other party in connection with any press release, public statement or filing in connection with any Legal Proceeding between the parties related to this Agreement or any of the transactions contemplated hereby.</w:t>
      </w:r>
    </w:p>
    <w:p>
      <w:pPr>
        <w:spacing w:after="0" w:line="140" w:lineRule="exact"/>
        <w:rPr>
          <w:rFonts w:ascii="Times New Roman" w:cs="Times New Roman" w:eastAsia="Times New Roman" w:hAnsi="Times New Roman"/>
          <w:sz w:val="13"/>
          <w:szCs w:val="13"/>
          <w:color w:val="auto"/>
        </w:rPr>
      </w:pPr>
    </w:p>
    <w:p>
      <w:pPr>
        <w:jc w:val="both"/>
        <w:ind w:firstLine="932"/>
        <w:spacing w:after="0" w:line="255" w:lineRule="auto"/>
        <w:tabs>
          <w:tab w:leader="none" w:pos="1425"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therein to the contrary, the term of the Non-Disclosure Agreement, other than Section 11 thereof (the obligations of Semiconductor Components Industries, LLC under which shall terminate upon the execution and delivery of this Agreement),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the Non-Disclosure Agreement is terminated pursuant to the preceding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then any provisions that survive the termination of the Non-Disclosure Agreement pursuant to its terms shall so survive. All information subject to the Clean Team Agreement or the Joint Defense Agreement shall remain so subject.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2" w:name="page73"/>
    <w:bookmarkEnd w:id="72"/>
    <w:p>
      <w:pPr>
        <w:ind w:left="462"/>
        <w:spacing w:after="0"/>
        <w:tabs>
          <w:tab w:leader="none" w:pos="942" w:val="left"/>
        </w:tabs>
        <w:rPr>
          <w:sz w:val="20"/>
          <w:szCs w:val="20"/>
          <w:color w:val="auto"/>
        </w:rPr>
      </w:pPr>
      <w:r>
        <w:rPr>
          <w:rFonts w:ascii="Times New Roman" w:cs="Times New Roman" w:eastAsia="Times New Roman" w:hAnsi="Times New Roman"/>
          <w:sz w:val="13"/>
          <w:szCs w:val="13"/>
          <w:color w:val="auto"/>
        </w:rPr>
        <w:t>4.9</w:t>
      </w:r>
      <w:r>
        <w:rPr>
          <w:sz w:val="20"/>
          <w:szCs w:val="20"/>
          <w:color w:val="auto"/>
        </w:rPr>
        <w:tab/>
      </w:r>
      <w:r>
        <w:rPr>
          <w:rFonts w:ascii="Times New Roman" w:cs="Times New Roman" w:eastAsia="Times New Roman" w:hAnsi="Times New Roman"/>
          <w:sz w:val="12"/>
          <w:szCs w:val="12"/>
          <w:u w:val="single" w:color="auto"/>
          <w:color w:val="auto"/>
        </w:rPr>
        <w:t>Company ESPP; Other Employee Benefits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left="1362" w:hanging="428"/>
        <w:spacing w:after="0"/>
        <w:tabs>
          <w:tab w:leader="none" w:pos="1362"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not approved on or prior to the date of this Agreement, as soon as practicable following the date of this Agreement, the Company shall take such action as may be necessary to:</w:t>
      </w:r>
    </w:p>
    <w:p>
      <w:pPr>
        <w:spacing w:after="0" w:line="18" w:lineRule="exact"/>
        <w:rPr>
          <w:rFonts w:ascii="Times New Roman" w:cs="Times New Roman" w:eastAsia="Times New Roman" w:hAnsi="Times New Roman"/>
          <w:sz w:val="13"/>
          <w:szCs w:val="13"/>
          <w:color w:val="auto"/>
        </w:rPr>
      </w:pPr>
    </w:p>
    <w:p>
      <w:pPr>
        <w:jc w:val="both"/>
        <w:ind w:left="2" w:right="20" w:hanging="2"/>
        <w:spacing w:after="0" w:line="250" w:lineRule="auto"/>
        <w:tabs>
          <w:tab w:leader="none" w:pos="16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 w:cs="Times New Roman" w:eastAsia="Times New Roman" w:hAnsi="Times New Roman"/>
          <w:sz w:val="13"/>
          <w:szCs w:val="13"/>
          <w:u w:val="single" w:color="auto"/>
          <w:color w:val="auto"/>
        </w:rPr>
        <w:t>Final Exercise Date</w:t>
      </w:r>
      <w:r>
        <w:rPr>
          <w:rFonts w:ascii="Times New Roman" w:cs="Times New Roman" w:eastAsia="Times New Roman" w:hAnsi="Times New Roman"/>
          <w:sz w:val="13"/>
          <w:szCs w:val="13"/>
          <w:color w:val="auto"/>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 w:cs="Times New Roman" w:eastAsia="Times New Roman" w:hAnsi="Times New Roman"/>
          <w:sz w:val="13"/>
          <w:szCs w:val="13"/>
          <w:u w:val="single" w:color="auto"/>
          <w:color w:val="auto"/>
        </w:rPr>
        <w:t>Company ESPP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Rights</w:t>
      </w:r>
      <w:r>
        <w:rPr>
          <w:rFonts w:ascii="Times New Roman" w:cs="Times New Roman" w:eastAsia="Times New Roman" w:hAnsi="Times New Roman"/>
          <w:sz w:val="13"/>
          <w:szCs w:val="13"/>
          <w:color w:val="auto"/>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1.5(a)</w:t>
      </w:r>
      <w:r>
        <w:rPr>
          <w:rFonts w:ascii="Times New Roman" w:cs="Times New Roman" w:eastAsia="Times New Roman" w:hAnsi="Times New Roman"/>
          <w:sz w:val="13"/>
          <w:szCs w:val="13"/>
          <w:color w:val="auto"/>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color w:val="auto"/>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1.5(a)</w:t>
      </w:r>
      <w:r>
        <w:rPr>
          <w:rFonts w:ascii="Times New Roman" w:cs="Times New Roman" w:eastAsia="Times New Roman" w:hAnsi="Times New Roman"/>
          <w:sz w:val="13"/>
          <w:szCs w:val="13"/>
          <w:color w:val="auto"/>
        </w:rPr>
        <w:t>.</w:t>
      </w:r>
    </w:p>
    <w:p>
      <w:pPr>
        <w:spacing w:after="0" w:line="142" w:lineRule="exact"/>
        <w:rPr>
          <w:rFonts w:ascii="Times New Roman" w:cs="Times New Roman" w:eastAsia="Times New Roman" w:hAnsi="Times New Roman"/>
          <w:sz w:val="13"/>
          <w:szCs w:val="13"/>
          <w:color w:val="auto"/>
        </w:rPr>
      </w:pPr>
    </w:p>
    <w:p>
      <w:pPr>
        <w:jc w:val="both"/>
        <w:ind w:left="2" w:firstLine="932"/>
        <w:spacing w:after="0" w:line="253" w:lineRule="auto"/>
        <w:tabs>
          <w:tab w:leader="none" w:pos="1388"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 w:cs="Times New Roman" w:eastAsia="Times New Roman" w:hAnsi="Times New Roman"/>
          <w:sz w:val="13"/>
          <w:szCs w:val="13"/>
          <w:u w:val="single" w:color="auto"/>
          <w:color w:val="auto"/>
        </w:rPr>
        <w:t>Continuing Employee</w:t>
      </w:r>
      <w:r>
        <w:rPr>
          <w:rFonts w:ascii="Times New Roman" w:cs="Times New Roman" w:eastAsia="Times New Roman" w:hAnsi="Times New Roman"/>
          <w:sz w:val="13"/>
          <w:szCs w:val="13"/>
          <w:color w:val="auto"/>
        </w:rPr>
        <w:t>”)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w:t>
      </w:r>
    </w:p>
    <w:p>
      <w:pPr>
        <w:spacing w:after="0" w:line="2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73" w:name="page74"/>
    <w:bookmarkEnd w:id="73"/>
    <w:p>
      <w:pPr>
        <w:jc w:val="both"/>
        <w:ind w:firstLine="932"/>
        <w:spacing w:after="0" w:line="255" w:lineRule="auto"/>
        <w:tabs>
          <w:tab w:leader="none" w:pos="1447"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 w:cs="Times New Roman" w:eastAsia="Times New Roman" w:hAnsi="Times New Roman"/>
          <w:sz w:val="13"/>
          <w:szCs w:val="13"/>
          <w:u w:val="single" w:color="auto"/>
          <w:color w:val="auto"/>
        </w:rPr>
        <w:t>Section 2.18(i)</w:t>
      </w:r>
      <w:r>
        <w:rPr>
          <w:rFonts w:ascii="Times New Roman" w:cs="Times New Roman" w:eastAsia="Times New Roman" w:hAnsi="Times New Roman"/>
          <w:sz w:val="13"/>
          <w:szCs w:val="13"/>
          <w:color w:val="auto"/>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in Control Agreement (and his or her respective heirs, executors, administrators, legal representatives and assigns) is an intended third-party beneficiary of this </w:t>
      </w:r>
      <w:r>
        <w:rPr>
          <w:rFonts w:ascii="Times New Roman" w:cs="Times New Roman" w:eastAsia="Times New Roman" w:hAnsi="Times New Roman"/>
          <w:sz w:val="13"/>
          <w:szCs w:val="13"/>
          <w:u w:val="single" w:color="auto"/>
          <w:color w:val="auto"/>
        </w:rPr>
        <w:t>Section 4.9(c)</w:t>
      </w:r>
      <w:r>
        <w:rPr>
          <w:rFonts w:ascii="Times New Roman" w:cs="Times New Roman" w:eastAsia="Times New Roman" w:hAnsi="Times New Roman"/>
          <w:sz w:val="13"/>
          <w:szCs w:val="13"/>
          <w:color w:val="auto"/>
        </w:rPr>
        <w:t>, with full rights of enforcement as if a party hereto.</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52" w:lineRule="auto"/>
        <w:tabs>
          <w:tab w:leader="none" w:pos="1435"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spacing w:after="0" w:line="139"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437"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4" w:name="page75"/>
    <w:bookmarkEnd w:id="74"/>
    <w:p>
      <w:pPr>
        <w:jc w:val="both"/>
        <w:ind w:firstLine="932"/>
        <w:spacing w:after="0" w:line="251" w:lineRule="auto"/>
        <w:tabs>
          <w:tab w:leader="none" w:pos="1381"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 w:cs="Times New Roman" w:eastAsia="Times New Roman" w:hAnsi="Times New Roman"/>
          <w:sz w:val="13"/>
          <w:szCs w:val="13"/>
          <w:u w:val="single" w:color="auto"/>
          <w:color w:val="auto"/>
        </w:rPr>
        <w:t>Company 401(k) Plan</w:t>
      </w:r>
      <w:r>
        <w:rPr>
          <w:rFonts w:ascii="Times New Roman" w:cs="Times New Roman" w:eastAsia="Times New Roman" w:hAnsi="Times New Roman"/>
          <w:sz w:val="13"/>
          <w:szCs w:val="13"/>
          <w:color w:val="auto"/>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 w:cs="Times New Roman" w:eastAsia="Times New Roman" w:hAnsi="Times New Roman"/>
          <w:sz w:val="13"/>
          <w:szCs w:val="13"/>
          <w:u w:val="single" w:color="auto"/>
          <w:color w:val="auto"/>
        </w:rPr>
        <w:t>Parent 401(k)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w:t>
      </w:r>
    </w:p>
    <w:p>
      <w:pPr>
        <w:spacing w:after="0" w:line="144" w:lineRule="exact"/>
        <w:rPr>
          <w:rFonts w:ascii="Times New Roman" w:cs="Times New Roman" w:eastAsia="Times New Roman" w:hAnsi="Times New Roman"/>
          <w:sz w:val="13"/>
          <w:szCs w:val="13"/>
          <w:color w:val="auto"/>
        </w:rPr>
      </w:pPr>
    </w:p>
    <w:p>
      <w:pPr>
        <w:jc w:val="both"/>
        <w:ind w:right="20" w:firstLine="932"/>
        <w:spacing w:after="0" w:line="252" w:lineRule="auto"/>
        <w:tabs>
          <w:tab w:leader="none" w:pos="145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are solely for the benefit of the parties and nothing in this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foregoing shall not limit or otherwise affect the right of any Continuing Employee who is a party to a Change of Control Agreement as an intended third-party beneficiary of </w:t>
      </w:r>
      <w:r>
        <w:rPr>
          <w:rFonts w:ascii="Times New Roman" w:cs="Times New Roman" w:eastAsia="Times New Roman" w:hAnsi="Times New Roman"/>
          <w:sz w:val="13"/>
          <w:szCs w:val="13"/>
          <w:u w:val="single" w:color="auto"/>
          <w:color w:val="auto"/>
        </w:rPr>
        <w:t>Section 4.9(c)</w:t>
      </w:r>
      <w:r>
        <w:rPr>
          <w:rFonts w:ascii="Times New Roman" w:cs="Times New Roman" w:eastAsia="Times New Roman" w:hAnsi="Times New Roman"/>
          <w:sz w:val="13"/>
          <w:szCs w:val="13"/>
          <w:color w:val="auto"/>
        </w:rPr>
        <w:t xml:space="preserve"> as set forth therein.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5" w:name="page76"/>
    <w:bookmarkEnd w:id="75"/>
    <w:p>
      <w:pPr>
        <w:ind w:left="460"/>
        <w:spacing w:after="0"/>
        <w:tabs>
          <w:tab w:leader="none" w:pos="900" w:val="left"/>
        </w:tabs>
        <w:rPr>
          <w:sz w:val="20"/>
          <w:szCs w:val="20"/>
          <w:color w:val="auto"/>
        </w:rPr>
      </w:pPr>
      <w:r>
        <w:rPr>
          <w:rFonts w:ascii="Times New Roman" w:cs="Times New Roman" w:eastAsia="Times New Roman" w:hAnsi="Times New Roman"/>
          <w:sz w:val="13"/>
          <w:szCs w:val="13"/>
          <w:color w:val="auto"/>
        </w:rPr>
        <w:t>4.10</w:t>
      </w:r>
      <w:r>
        <w:rPr>
          <w:sz w:val="20"/>
          <w:szCs w:val="20"/>
          <w:color w:val="auto"/>
        </w:rPr>
        <w:tab/>
      </w:r>
      <w:r>
        <w:rPr>
          <w:rFonts w:ascii="Times New Roman" w:cs="Times New Roman" w:eastAsia="Times New Roman" w:hAnsi="Times New Roman"/>
          <w:sz w:val="12"/>
          <w:szCs w:val="12"/>
          <w:u w:val="single" w:color="auto"/>
          <w:color w:val="auto"/>
        </w:rPr>
        <w:t>Certain Tax Matters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64" w:lineRule="auto"/>
        <w:tabs>
          <w:tab w:leader="none" w:pos="1466"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(i) the parties hereto intend that the Merger will qualify as a “reorganization” within the meaning of Section 368(a) of the Code and the Treasury Regulations promulgated thereunder (the “</w:t>
      </w:r>
      <w:r>
        <w:rPr>
          <w:rFonts w:ascii="Times New Roman" w:cs="Times New Roman" w:eastAsia="Times New Roman" w:hAnsi="Times New Roman"/>
          <w:sz w:val="13"/>
          <w:szCs w:val="13"/>
          <w:u w:val="single" w:color="auto"/>
          <w:color w:val="auto"/>
        </w:rPr>
        <w:t>Intended Tax Treatment</w:t>
      </w:r>
      <w:r>
        <w:rPr>
          <w:rFonts w:ascii="Times New Roman" w:cs="Times New Roman" w:eastAsia="Times New Roman" w:hAnsi="Times New Roman"/>
          <w:sz w:val="13"/>
          <w:szCs w:val="13"/>
          <w:color w:val="auto"/>
        </w:rPr>
        <w:t>”) and (ii) this Agreement is intended to be, and is hereby adopted as, a “plan of reorganization” for purposes of Sections 354 and 361 of the Code and Treasury Regulations Sections 1.368-2(g) and 1.368-3(a), to which Parent, Merger Sub and the Company are parties under Section 368(b) of the Code.</w:t>
      </w:r>
    </w:p>
    <w:p>
      <w:pPr>
        <w:spacing w:after="0" w:line="129" w:lineRule="exact"/>
        <w:rPr>
          <w:rFonts w:ascii="Times New Roman" w:cs="Times New Roman" w:eastAsia="Times New Roman" w:hAnsi="Times New Roman"/>
          <w:sz w:val="13"/>
          <w:szCs w:val="13"/>
          <w:color w:val="auto"/>
        </w:rPr>
      </w:pPr>
    </w:p>
    <w:p>
      <w:pPr>
        <w:jc w:val="both"/>
        <w:ind w:firstLine="932"/>
        <w:spacing w:after="0" w:line="259" w:lineRule="auto"/>
        <w:tabs>
          <w:tab w:leader="none" w:pos="1493"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(i) shall use their respective reasonable best efforts to cause the Merger to qualify, and will not take any action or cause any action to be taken which action would reasonably be expected to prevent the Merger from qualifying, for the Intended Tax Treatment and (ii)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 (or any similar state, local or non-U.S. Legal Requirement).</w:t>
      </w:r>
    </w:p>
    <w:p>
      <w:pPr>
        <w:spacing w:after="0" w:line="132" w:lineRule="exact"/>
        <w:rPr>
          <w:rFonts w:ascii="Times New Roman" w:cs="Times New Roman" w:eastAsia="Times New Roman" w:hAnsi="Times New Roman"/>
          <w:sz w:val="13"/>
          <w:szCs w:val="13"/>
          <w:color w:val="auto"/>
        </w:rPr>
      </w:pPr>
    </w:p>
    <w:p>
      <w:pPr>
        <w:jc w:val="both"/>
        <w:ind w:firstLine="932"/>
        <w:spacing w:after="0" w:line="257" w:lineRule="auto"/>
        <w:tabs>
          <w:tab w:leader="none" w:pos="1486"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shall use its reasonable best efforts to obtain (i) the Parent Closing Tax Opinion and (ii) the Company Closing Tax Opinion, (or copies of such opinions, as applicable) including by delivering to Skadden and B&amp;M (or to another nationally recognized tax advisor or counsel, as applicable), dated and executed as of the dates of the Parent Closing Tax Opinion and Company Closing Tax Opinion, a tax representation letter in substantially the forms set forth in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Parent Disclosure Schedule or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Company Disclosure Schedule, as applicable. Each of the parties hereto shall use its reasonable best efforts not to, and not permit any affiliate to, take or cause to be taken any action that would cause to be untrue (or fail to take or cause not to be taken any action which inaction would cause to be untrue) any of the representations and covenants made to counsel in the tax representation letters described in this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3"/>
          <w:szCs w:val="13"/>
          <w:color w:val="auto"/>
        </w:rPr>
        <w:t>4.11</w:t>
      </w:r>
      <w:r>
        <w:rPr>
          <w:sz w:val="20"/>
          <w:szCs w:val="20"/>
          <w:color w:val="auto"/>
        </w:rPr>
        <w:tab/>
      </w:r>
      <w:r>
        <w:rPr>
          <w:rFonts w:ascii="Times New Roman" w:cs="Times New Roman" w:eastAsia="Times New Roman" w:hAnsi="Times New Roman"/>
          <w:sz w:val="13"/>
          <w:szCs w:val="13"/>
          <w:u w:val="single" w:color="auto"/>
          <w:color w:val="auto"/>
        </w:rPr>
        <w:t>Indemnification; Directors’ and Officers’ Insurance</w:t>
      </w:r>
      <w:r>
        <w:rPr>
          <w:rFonts w:ascii="Times New Roman" w:cs="Times New Roman" w:eastAsia="Times New Roman" w:hAnsi="Times New Roman"/>
          <w:sz w:val="13"/>
          <w:szCs w:val="13"/>
          <w:color w:val="auto"/>
        </w:rPr>
        <w:t>.</w:t>
      </w:r>
    </w:p>
    <w:p>
      <w:pPr>
        <w:spacing w:after="0" w:line="162" w:lineRule="exact"/>
        <w:rPr>
          <w:sz w:val="20"/>
          <w:szCs w:val="20"/>
          <w:color w:val="auto"/>
        </w:rPr>
      </w:pPr>
    </w:p>
    <w:p>
      <w:pPr>
        <w:jc w:val="both"/>
        <w:ind w:firstLine="932"/>
        <w:spacing w:after="0" w:line="251" w:lineRule="auto"/>
        <w:tabs>
          <w:tab w:leader="none" w:pos="139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 w:cs="Times New Roman" w:eastAsia="Times New Roman" w:hAnsi="Times New Roman"/>
          <w:sz w:val="13"/>
          <w:szCs w:val="13"/>
          <w:u w:val="single" w:color="auto"/>
          <w:color w:val="auto"/>
        </w:rPr>
        <w:t>Indemnified Parties</w:t>
      </w:r>
      <w:r>
        <w:rPr>
          <w:rFonts w:ascii="Times New Roman" w:cs="Times New Roman" w:eastAsia="Times New Roman" w:hAnsi="Times New Roman"/>
          <w:sz w:val="13"/>
          <w:szCs w:val="13"/>
          <w:color w:val="auto"/>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 w:cs="Times New Roman" w:eastAsia="Times New Roman" w:hAnsi="Times New Roman"/>
          <w:sz w:val="13"/>
          <w:szCs w:val="13"/>
          <w:u w:val="single" w:color="auto"/>
          <w:color w:val="auto"/>
        </w:rPr>
        <w:t>Section 4.11(a)</w:t>
      </w:r>
      <w:r>
        <w:rPr>
          <w:rFonts w:ascii="Times New Roman" w:cs="Times New Roman" w:eastAsia="Times New Roman" w:hAnsi="Times New Roman"/>
          <w:sz w:val="13"/>
          <w:szCs w:val="13"/>
          <w:color w:val="auto"/>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6" w:name="page77"/>
    <w:bookmarkEnd w:id="76"/>
    <w:p>
      <w:pPr>
        <w:jc w:val="both"/>
        <w:ind w:firstLine="932"/>
        <w:spacing w:after="0" w:line="251" w:lineRule="auto"/>
        <w:tabs>
          <w:tab w:leader="none" w:pos="1435"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 w:cs="Times New Roman" w:eastAsia="Times New Roman" w:hAnsi="Times New Roman"/>
          <w:sz w:val="13"/>
          <w:szCs w:val="13"/>
          <w:u w:val="single" w:color="auto"/>
          <w:color w:val="auto"/>
        </w:rPr>
        <w:t>D&amp;O Policy</w:t>
      </w:r>
      <w:r>
        <w:rPr>
          <w:rFonts w:ascii="Times New Roman" w:cs="Times New Roman" w:eastAsia="Times New Roman" w:hAnsi="Times New Roman"/>
          <w:sz w:val="13"/>
          <w:szCs w:val="13"/>
          <w:color w:val="auto"/>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 w:cs="Times New Roman" w:eastAsia="Times New Roman" w:hAnsi="Times New Roman"/>
          <w:sz w:val="13"/>
          <w:szCs w:val="13"/>
          <w:u w:val="single" w:color="auto"/>
          <w:color w:val="auto"/>
        </w:rPr>
        <w:t>Maximum Amount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not be required to expend for such D&amp;O “tail” insurance an aggregate cost in excess of the Maximum Amount; and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Notwithstanding anything in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to the contrary, if any Indemnified Party notifies Parent on or prior to the sixth anniversary of the Effective Time of a matter in respect of which such Person has sought indemnification pursuant to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the provisions of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that require the Surviving Corporation to indemnify and advance expenses shall continue in effect with respect to such matter until the final disposition of all claims, actions, investigations, suits and proceedings relating thereto.</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7" w:name="page78"/>
    <w:bookmarkEnd w:id="77"/>
    <w:p>
      <w:pPr>
        <w:jc w:val="both"/>
        <w:ind w:firstLine="932"/>
        <w:spacing w:after="0" w:line="253" w:lineRule="auto"/>
        <w:tabs>
          <w:tab w:leader="none" w:pos="1408"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under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(and, after the death of any of the foregoing Persons, such Person’s heirs and representatives) are intended to be third party beneficiaries of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with full rights of enforcement as if a party thereto. The rights of the Indemnified Parties (and other Persons who are beneficiaries under the D&amp;O Policy or the “tail” insurance referred to in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(and their heirs and representatives)) under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w:t>
      </w:r>
    </w:p>
    <w:p>
      <w:pPr>
        <w:spacing w:after="0" w:line="139"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396"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ind w:right="20" w:firstLine="467"/>
        <w:spacing w:after="0" w:line="253"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Stockholder Litigation</w:t>
      </w:r>
      <w:r>
        <w:rPr>
          <w:rFonts w:ascii="Times New Roman" w:cs="Times New Roman" w:eastAsia="Times New Roman" w:hAnsi="Times New Roman"/>
          <w:sz w:val="13"/>
          <w:szCs w:val="13"/>
          <w:color w:val="auto"/>
        </w:rPr>
        <w:t>.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Form S-4 or the Proxy Statement/Prospectus (each, a “</w:t>
      </w:r>
      <w:r>
        <w:rPr>
          <w:rFonts w:ascii="Times New Roman" w:cs="Times New Roman" w:eastAsia="Times New Roman" w:hAnsi="Times New Roman"/>
          <w:sz w:val="13"/>
          <w:szCs w:val="13"/>
          <w:u w:val="single" w:color="auto"/>
          <w:color w:val="auto"/>
        </w:rPr>
        <w:t>Transaction Litigation</w:t>
      </w:r>
      <w:r>
        <w:rPr>
          <w:rFonts w:ascii="Times New Roman" w:cs="Times New Roman" w:eastAsia="Times New Roman" w:hAnsi="Times New Roman"/>
          <w:sz w:val="13"/>
          <w:szCs w:val="13"/>
          <w:color w:val="auto"/>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 w:cs="Times New Roman" w:eastAsia="Times New Roman" w:hAnsi="Times New Roman"/>
          <w:sz w:val="13"/>
          <w:szCs w:val="13"/>
          <w:u w:val="single" w:color="auto"/>
          <w:color w:val="auto"/>
        </w:rPr>
        <w:t>Section 4.12</w:t>
      </w:r>
      <w:r>
        <w:rPr>
          <w:rFonts w:ascii="Times New Roman" w:cs="Times New Roman" w:eastAsia="Times New Roman" w:hAnsi="Times New Roman"/>
          <w:sz w:val="13"/>
          <w:szCs w:val="13"/>
          <w:color w:val="auto"/>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w:t>
      </w:r>
    </w:p>
    <w:p>
      <w:pPr>
        <w:spacing w:after="0" w:line="140" w:lineRule="exact"/>
        <w:rPr>
          <w:sz w:val="20"/>
          <w:szCs w:val="20"/>
          <w:color w:val="auto"/>
        </w:rPr>
      </w:pPr>
    </w:p>
    <w:p>
      <w:pPr>
        <w:jc w:val="both"/>
        <w:ind w:right="20" w:firstLine="467"/>
        <w:spacing w:after="0" w:line="253"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Stock Exchange Listing and Delisting</w:t>
      </w:r>
      <w:r>
        <w:rPr>
          <w:rFonts w:ascii="Times New Roman" w:cs="Times New Roman" w:eastAsia="Times New Roman" w:hAnsi="Times New Roman"/>
          <w:sz w:val="13"/>
          <w:szCs w:val="13"/>
          <w:color w:val="auto"/>
        </w:rPr>
        <w:t>. Parent shall use reasonable best efforts to cause the shares of Parent Common Stock to be issued in the Merger, including the shares of Parent Common Stock to be issued upon the vesting and settlement of Company Converted RSUs, Company Converted PSUs and Company Converted MSUs, to be approved for listing (subject to notice of issuance) on Nasdaq at or prior to the Effective Time.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8" w:name="page79"/>
    <w:bookmarkEnd w:id="78"/>
    <w:p>
      <w:pPr>
        <w:jc w:val="both"/>
        <w:ind w:firstLine="467"/>
        <w:spacing w:after="0" w:line="257"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spacing w:after="0" w:line="133"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Director and Officer Resignations</w:t>
      </w:r>
      <w:r>
        <w:rPr>
          <w:rFonts w:ascii="Times New Roman" w:cs="Times New Roman" w:eastAsia="Times New Roman" w:hAnsi="Times New Roman"/>
          <w:sz w:val="13"/>
          <w:szCs w:val="13"/>
          <w:color w:val="auto"/>
        </w:rPr>
        <w:t>.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w:t>
      </w:r>
    </w:p>
    <w:p>
      <w:pPr>
        <w:spacing w:after="0" w:line="129"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antitakeover or similar statute or regulation is or may become applicable to the transactions contemplated by this Agreement, each of the parties hereto and its respective Board of Directors shall (a) grant any approvals and take all any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4.17</w:t>
      </w:r>
      <w:r>
        <w:rPr>
          <w:sz w:val="20"/>
          <w:szCs w:val="20"/>
          <w:color w:val="auto"/>
        </w:rPr>
        <w:tab/>
      </w:r>
      <w:r>
        <w:rPr>
          <w:rFonts w:ascii="Times New Roman" w:cs="Times New Roman" w:eastAsia="Times New Roman" w:hAnsi="Times New Roman"/>
          <w:sz w:val="12"/>
          <w:szCs w:val="12"/>
          <w:u w:val="single" w:color="auto"/>
          <w:color w:val="auto"/>
        </w:rPr>
        <w:t>Treatment of Company Indebtedness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3" w:lineRule="auto"/>
        <w:tabs>
          <w:tab w:leader="none" w:pos="1337"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9" w:name="page80"/>
    <w:bookmarkEnd w:id="79"/>
    <w:p>
      <w:pPr>
        <w:jc w:val="both"/>
        <w:ind w:firstLine="932"/>
        <w:spacing w:after="0" w:line="253" w:lineRule="auto"/>
        <w:tabs>
          <w:tab w:leader="none" w:pos="1396"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 w:cs="Times New Roman" w:eastAsia="Times New Roman" w:hAnsi="Times New Roman"/>
          <w:sz w:val="13"/>
          <w:szCs w:val="13"/>
          <w:u w:val="single" w:color="auto"/>
          <w:color w:val="auto"/>
        </w:rPr>
        <w:t>Capped Call Dealers</w:t>
      </w:r>
      <w:r>
        <w:rPr>
          <w:rFonts w:ascii="Times New Roman" w:cs="Times New Roman" w:eastAsia="Times New Roman" w:hAnsi="Times New Roman"/>
          <w:sz w:val="13"/>
          <w:szCs w:val="13"/>
          <w:color w:val="auto"/>
        </w:rPr>
        <w:t>”),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w:t>
      </w:r>
    </w:p>
    <w:p>
      <w:pPr>
        <w:spacing w:after="0" w:line="136" w:lineRule="exact"/>
        <w:rPr>
          <w:rFonts w:ascii="Times New Roman" w:cs="Times New Roman" w:eastAsia="Times New Roman" w:hAnsi="Times New Roman"/>
          <w:sz w:val="13"/>
          <w:szCs w:val="13"/>
          <w:color w:val="auto"/>
        </w:rPr>
      </w:pPr>
    </w:p>
    <w:p>
      <w:pPr>
        <w:jc w:val="both"/>
        <w:ind w:firstLine="932"/>
        <w:spacing w:after="0" w:line="257" w:lineRule="auto"/>
        <w:tabs>
          <w:tab w:leader="none" w:pos="1411"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subject to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Company will not make any settlement election (other than a deemed election of the “Default Settlement Method”) under the Company Convertible Notes Indenture or the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Convertible Note Hedge Obligations without the prior written consent of Parent (which consent shall not be unreasonably withheld, conditioned or delayed).</w:t>
      </w:r>
    </w:p>
    <w:p>
      <w:pPr>
        <w:spacing w:after="0" w:line="133" w:lineRule="exact"/>
        <w:rPr>
          <w:rFonts w:ascii="Times New Roman" w:cs="Times New Roman" w:eastAsia="Times New Roman" w:hAnsi="Times New Roman"/>
          <w:sz w:val="13"/>
          <w:szCs w:val="13"/>
          <w:color w:val="auto"/>
        </w:rPr>
      </w:pPr>
    </w:p>
    <w:p>
      <w:pPr>
        <w:jc w:val="both"/>
        <w:ind w:firstLine="932"/>
        <w:spacing w:after="0" w:line="253" w:lineRule="auto"/>
        <w:tabs>
          <w:tab w:leader="none" w:pos="1422"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 w:cs="Times New Roman" w:eastAsia="Times New Roman" w:hAnsi="Times New Roman"/>
          <w:sz w:val="13"/>
          <w:szCs w:val="13"/>
          <w:u w:val="single" w:color="auto"/>
          <w:color w:val="auto"/>
        </w:rPr>
        <w:t>Section 4.17</w:t>
      </w:r>
      <w:r>
        <w:rPr>
          <w:rFonts w:ascii="Times New Roman" w:cs="Times New Roman" w:eastAsia="Times New Roman" w:hAnsi="Times New Roman"/>
          <w:sz w:val="13"/>
          <w:szCs w:val="13"/>
          <w:color w:val="auto"/>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0" w:name="page81"/>
    <w:bookmarkEnd w:id="80"/>
    <w:p>
      <w:pPr>
        <w:jc w:val="both"/>
        <w:ind w:firstLine="932"/>
        <w:spacing w:after="0" w:line="253" w:lineRule="auto"/>
        <w:tabs>
          <w:tab w:leader="none" w:pos="146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reasonable best efforts to deliver to Parent no later than the Closing Date (i) an executed payoff letter with respect to the Company Credit Agreement (the “</w:t>
      </w:r>
      <w:r>
        <w:rPr>
          <w:rFonts w:ascii="Times New Roman" w:cs="Times New Roman" w:eastAsia="Times New Roman" w:hAnsi="Times New Roman"/>
          <w:sz w:val="13"/>
          <w:szCs w:val="13"/>
          <w:u w:val="single" w:color="auto"/>
          <w:color w:val="auto"/>
        </w:rPr>
        <w:t>Payoff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Letter</w:t>
      </w:r>
      <w:r>
        <w:rPr>
          <w:rFonts w:ascii="Times New Roman" w:cs="Times New Roman" w:eastAsia="Times New Roman" w:hAnsi="Times New Roman"/>
          <w:sz w:val="13"/>
          <w:szCs w:val="13"/>
          <w:color w:val="auto"/>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 w:cs="Times New Roman" w:eastAsia="Times New Roman" w:hAnsi="Times New Roman"/>
          <w:sz w:val="13"/>
          <w:szCs w:val="13"/>
          <w:u w:val="single" w:color="auto"/>
          <w:color w:val="auto"/>
        </w:rPr>
        <w:t>Credit Facility Payoff Amount</w:t>
      </w:r>
      <w:r>
        <w:rPr>
          <w:rFonts w:ascii="Times New Roman" w:cs="Times New Roman" w:eastAsia="Times New Roman" w:hAnsi="Times New Roman"/>
          <w:sz w:val="13"/>
          <w:szCs w:val="13"/>
          <w:color w:val="auto"/>
        </w:rPr>
        <w:t>”) and provide for the termination of commitments thereunder and the release of liens granted in connection therewith on the assets and properties of the Company and the Company Subsidiaries upon the payment of the Credit Facility Payoff Amount (such discharge, termination and release, the “</w:t>
      </w:r>
      <w:r>
        <w:rPr>
          <w:rFonts w:ascii="Times New Roman" w:cs="Times New Roman" w:eastAsia="Times New Roman" w:hAnsi="Times New Roman"/>
          <w:sz w:val="13"/>
          <w:szCs w:val="13"/>
          <w:u w:val="single" w:color="auto"/>
          <w:color w:val="auto"/>
        </w:rPr>
        <w:t>Credit Facility Termination</w:t>
      </w:r>
      <w:r>
        <w:rPr>
          <w:rFonts w:ascii="Times New Roman" w:cs="Times New Roman" w:eastAsia="Times New Roman" w:hAnsi="Times New Roman"/>
          <w:sz w:val="13"/>
          <w:szCs w:val="13"/>
          <w:color w:val="auto"/>
        </w:rPr>
        <w:t>”), and (ii) all lien release documentation necessary to effect the release of any Liens and other security interests related to the Company Credit Agreement.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w:t>
      </w:r>
    </w:p>
    <w:p>
      <w:pPr>
        <w:spacing w:after="0" w:line="1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3"/>
          <w:szCs w:val="13"/>
          <w:color w:val="auto"/>
        </w:rPr>
        <w:t>4.18</w:t>
      </w:r>
      <w:r>
        <w:rPr>
          <w:sz w:val="20"/>
          <w:szCs w:val="20"/>
          <w:color w:val="auto"/>
        </w:rPr>
        <w:tab/>
      </w:r>
      <w:r>
        <w:rPr>
          <w:rFonts w:ascii="Times New Roman" w:cs="Times New Roman" w:eastAsia="Times New Roman" w:hAnsi="Times New Roman"/>
          <w:sz w:val="12"/>
          <w:szCs w:val="12"/>
          <w:u w:val="single" w:color="auto"/>
          <w:color w:val="auto"/>
        </w:rPr>
        <w:t>Notification of Certain Events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55" w:lineRule="auto"/>
        <w:tabs>
          <w:tab w:leader="none" w:pos="1369"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Parent shall, as promptly as reasonably practicable, notify the other party: (i)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provided, however, that no such notification shall affect or be deemed to modify any representation or warranty of the notifying party set forth herein or the conditions to the obligations of the other party to consummate the Merger, or the remedies available to the parties hereto; or (ii)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79" w:lineRule="auto"/>
        <w:tabs>
          <w:tab w:leader="none" w:pos="1415"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 w:cs="Times New Roman" w:eastAsia="Times New Roman" w:hAnsi="Times New Roman"/>
          <w:sz w:val="12"/>
          <w:szCs w:val="12"/>
          <w:u w:val="single" w:color="auto"/>
          <w:color w:val="auto"/>
        </w:rPr>
        <w:t>Section 4.18(b)</w:t>
      </w:r>
      <w:r>
        <w:rPr>
          <w:rFonts w:ascii="Times New Roman" w:cs="Times New Roman" w:eastAsia="Times New Roman" w:hAnsi="Times New Roman"/>
          <w:sz w:val="12"/>
          <w:szCs w:val="12"/>
          <w:color w:val="auto"/>
        </w:rPr>
        <w:t xml:space="preserve"> 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w:t>
      </w:r>
    </w:p>
    <w:p>
      <w:pPr>
        <w:spacing w:after="0" w:line="122" w:lineRule="exact"/>
        <w:rPr>
          <w:rFonts w:ascii="Times New Roman" w:cs="Times New Roman" w:eastAsia="Times New Roman" w:hAnsi="Times New Roman"/>
          <w:sz w:val="12"/>
          <w:szCs w:val="12"/>
          <w:color w:val="auto"/>
        </w:rPr>
      </w:pPr>
    </w:p>
    <w:p>
      <w:pPr>
        <w:ind w:right="20" w:firstLine="932"/>
        <w:spacing w:after="0" w:line="278" w:lineRule="auto"/>
        <w:tabs>
          <w:tab w:leader="none" w:pos="1366"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failure by a party to deliver any notice pursuant to this </w:t>
      </w:r>
      <w:r>
        <w:rPr>
          <w:rFonts w:ascii="Times New Roman" w:cs="Times New Roman" w:eastAsia="Times New Roman" w:hAnsi="Times New Roman"/>
          <w:sz w:val="13"/>
          <w:szCs w:val="13"/>
          <w:u w:val="single" w:color="auto"/>
          <w:color w:val="auto"/>
        </w:rPr>
        <w:t>Section 4.18</w:t>
      </w:r>
      <w:r>
        <w:rPr>
          <w:rFonts w:ascii="Times New Roman" w:cs="Times New Roman" w:eastAsia="Times New Roman" w:hAnsi="Times New Roman"/>
          <w:sz w:val="13"/>
          <w:szCs w:val="13"/>
          <w:color w:val="auto"/>
        </w:rPr>
        <w:t xml:space="preserve"> shall not affect any of the conditions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or factor into whether any right to terminate under </w:t>
      </w:r>
      <w:r>
        <w:rPr>
          <w:rFonts w:ascii="Times New Roman" w:cs="Times New Roman" w:eastAsia="Times New Roman" w:hAnsi="Times New Roman"/>
          <w:sz w:val="13"/>
          <w:szCs w:val="13"/>
          <w:u w:val="single" w:color="auto"/>
          <w:color w:val="auto"/>
        </w:rPr>
        <w:t>Article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VI</w:t>
      </w:r>
      <w:r>
        <w:rPr>
          <w:rFonts w:ascii="Times New Roman" w:cs="Times New Roman" w:eastAsia="Times New Roman" w:hAnsi="Times New Roman"/>
          <w:sz w:val="13"/>
          <w:szCs w:val="13"/>
          <w:color w:val="auto"/>
        </w:rPr>
        <w:t xml:space="preserve"> may arise unless such failure was due to such party’s intentional and material breach of the preceding terms of this </w:t>
      </w:r>
      <w:r>
        <w:rPr>
          <w:rFonts w:ascii="Times New Roman" w:cs="Times New Roman" w:eastAsia="Times New Roman" w:hAnsi="Times New Roman"/>
          <w:sz w:val="13"/>
          <w:szCs w:val="13"/>
          <w:u w:val="single" w:color="auto"/>
          <w:color w:val="auto"/>
        </w:rPr>
        <w:t>Section 4.18</w:t>
      </w:r>
      <w:r>
        <w:rPr>
          <w:rFonts w:ascii="Times New Roman" w:cs="Times New Roman" w:eastAsia="Times New Roman" w:hAnsi="Times New Roman"/>
          <w:sz w:val="13"/>
          <w:szCs w:val="13"/>
          <w:color w:val="auto"/>
        </w:rPr>
        <w: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CONDITIONS TO EACH PARTY’S OBLIGATION TO EFFECT THE MERGER</w:t>
      </w:r>
    </w:p>
    <w:p>
      <w:pPr>
        <w:spacing w:after="0" w:line="150" w:lineRule="exact"/>
        <w:rPr>
          <w:sz w:val="20"/>
          <w:szCs w:val="20"/>
          <w:color w:val="auto"/>
        </w:rPr>
      </w:pPr>
    </w:p>
    <w:p>
      <w:pPr>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Conditions Precedent to Each Party’s Obligations</w:t>
      </w:r>
      <w:r>
        <w:rPr>
          <w:rFonts w:ascii="Times New Roman" w:cs="Times New Roman" w:eastAsia="Times New Roman" w:hAnsi="Times New Roman"/>
          <w:sz w:val="13"/>
          <w:szCs w:val="13"/>
          <w:color w:val="auto"/>
        </w:rPr>
        <w:t>.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w:t>
      </w:r>
    </w:p>
    <w:p>
      <w:pPr>
        <w:spacing w:after="0" w:line="121" w:lineRule="exact"/>
        <w:rPr>
          <w:sz w:val="20"/>
          <w:szCs w:val="20"/>
          <w:color w:val="auto"/>
        </w:rPr>
      </w:pPr>
    </w:p>
    <w:p>
      <w:pPr>
        <w:jc w:val="both"/>
        <w:ind w:right="20" w:firstLine="932"/>
        <w:spacing w:after="0" w:line="264" w:lineRule="auto"/>
        <w:tabs>
          <w:tab w:leader="none" w:pos="145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129"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Stockholder Approval</w:t>
      </w:r>
      <w:r>
        <w:rPr>
          <w:rFonts w:ascii="Times New Roman" w:cs="Times New Roman" w:eastAsia="Times New Roman" w:hAnsi="Times New Roman"/>
          <w:sz w:val="13"/>
          <w:szCs w:val="13"/>
          <w:color w:val="auto"/>
        </w:rPr>
        <w:t>. The Required Company Stockholder Vote shall have been obtained.</w:t>
      </w:r>
    </w:p>
    <w:p>
      <w:pPr>
        <w:spacing w:after="0" w:line="161" w:lineRule="exact"/>
        <w:rPr>
          <w:rFonts w:ascii="Times New Roman" w:cs="Times New Roman" w:eastAsia="Times New Roman" w:hAnsi="Times New Roman"/>
          <w:sz w:val="13"/>
          <w:szCs w:val="13"/>
          <w:color w:val="auto"/>
        </w:rPr>
      </w:pPr>
    </w:p>
    <w:p>
      <w:pPr>
        <w:jc w:val="both"/>
        <w:ind w:firstLine="932"/>
        <w:spacing w:after="0" w:line="257" w:lineRule="auto"/>
        <w:tabs>
          <w:tab w:leader="none" w:pos="1389"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Governmental Approvals</w:t>
      </w:r>
      <w:r>
        <w:rPr>
          <w:rFonts w:ascii="Times New Roman" w:cs="Times New Roman" w:eastAsia="Times New Roman" w:hAnsi="Times New Roman"/>
          <w:sz w:val="13"/>
          <w:szCs w:val="13"/>
          <w:color w:val="auto"/>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of the Parent Disclosure Schedule shall have been obtained and shall remain in full force and effect; and (iii) any Governmental Authorization required under any applicable FDI Laws identified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of the Parent Disclosure Schedule shall have been obtained and shall be in full force and effect.</w:t>
      </w:r>
    </w:p>
    <w:p>
      <w:pPr>
        <w:spacing w:after="0" w:line="133" w:lineRule="exact"/>
        <w:rPr>
          <w:rFonts w:ascii="Times New Roman" w:cs="Times New Roman" w:eastAsia="Times New Roman" w:hAnsi="Times New Roman"/>
          <w:sz w:val="13"/>
          <w:szCs w:val="13"/>
          <w:color w:val="auto"/>
        </w:rPr>
      </w:pPr>
    </w:p>
    <w:p>
      <w:pPr>
        <w:ind w:right="20" w:firstLine="932"/>
        <w:spacing w:after="0" w:line="278" w:lineRule="auto"/>
        <w:tabs>
          <w:tab w:leader="none" w:pos="140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shares of Parent Common Stock to be issued pursuant to the Merger, including the shares of Parent Common Stock to be issued upon the vesting and settlement of Company Converted RSUs, Company Converted PSUs or Company Converted MSUs, shall have been approved for listing (subject to notice of issuance) on Nasdaq.</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437"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Absence of Relevant Legal Restraints</w:t>
      </w:r>
      <w:r>
        <w:rPr>
          <w:rFonts w:ascii="Times New Roman" w:cs="Times New Roman" w:eastAsia="Times New Roman" w:hAnsi="Times New Roman"/>
          <w:sz w:val="13"/>
          <w:szCs w:val="13"/>
          <w:color w:val="auto"/>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of the Parent Disclosure Schedule shall constitute a court of competent jurisdiction or other Governmental Entity for purposes of this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(each, a “</w:t>
      </w:r>
      <w:r>
        <w:rPr>
          <w:rFonts w:ascii="Times New Roman" w:cs="Times New Roman" w:eastAsia="Times New Roman" w:hAnsi="Times New Roman"/>
          <w:sz w:val="13"/>
          <w:szCs w:val="13"/>
          <w:u w:val="single" w:color="auto"/>
          <w:color w:val="auto"/>
        </w:rPr>
        <w:t>Relevant Legal Restraint</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right="20" w:firstLine="467"/>
        <w:spacing w:after="0" w:line="278"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Additional Conditions Precedent to Parent’s Obligations</w:t>
      </w:r>
      <w:r>
        <w:rPr>
          <w:rFonts w:ascii="Times New Roman" w:cs="Times New Roman" w:eastAsia="Times New Roman" w:hAnsi="Times New Roman"/>
          <w:sz w:val="13"/>
          <w:szCs w:val="13"/>
          <w:color w:val="auto"/>
        </w:rPr>
        <w:t>. The obligation of Parent to cause the Merger to be effected and otherwise cause the transactions contemplated by this Agreement to be consummated are subject to the satisfaction or waiver by Parent, as of the Closing, of each of the following conditions: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2" w:name="page83"/>
    <w:bookmarkEnd w:id="82"/>
    <w:p>
      <w:pPr>
        <w:jc w:val="both"/>
        <w:ind w:firstLine="932"/>
        <w:spacing w:after="0" w:line="252" w:lineRule="auto"/>
        <w:tabs>
          <w:tab w:leader="none" w:pos="1437"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xml:space="preserve">. (i) The representations and warranties of the Company contained in </w:t>
      </w:r>
      <w:r>
        <w:rPr>
          <w:rFonts w:ascii="Times New Roman" w:cs="Times New Roman" w:eastAsia="Times New Roman" w:hAnsi="Times New Roman"/>
          <w:sz w:val="13"/>
          <w:szCs w:val="13"/>
          <w:u w:val="single" w:color="auto"/>
          <w:color w:val="auto"/>
        </w:rPr>
        <w:t>Sections 2.2(a)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2.8(a)</w:t>
      </w:r>
      <w:r>
        <w:rPr>
          <w:rFonts w:ascii="Times New Roman" w:cs="Times New Roman" w:eastAsia="Times New Roman" w:hAnsi="Times New Roman"/>
          <w:sz w:val="13"/>
          <w:szCs w:val="13"/>
          <w:color w:val="auto"/>
        </w:rPr>
        <w:t xml:space="preserve"> shall have been true and accurate in all respects (other than, with respect to </w:t>
      </w:r>
      <w:r>
        <w:rPr>
          <w:rFonts w:ascii="Times New Roman" w:cs="Times New Roman" w:eastAsia="Times New Roman" w:hAnsi="Times New Roman"/>
          <w:sz w:val="13"/>
          <w:szCs w:val="13"/>
          <w:u w:val="single" w:color="auto"/>
          <w:color w:val="auto"/>
        </w:rPr>
        <w:t>Sections 2.2(a)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2.2(b)</w:t>
      </w:r>
      <w:r>
        <w:rPr>
          <w:rFonts w:ascii="Times New Roman" w:cs="Times New Roman" w:eastAsia="Times New Roman" w:hAnsi="Times New Roman"/>
          <w:sz w:val="13"/>
          <w:szCs w:val="13"/>
          <w:color w:val="auto"/>
        </w:rPr>
        <w:t xml:space="preserve">, for de minimis inaccuracies) at and as of the date hereof and shall be true and accurate (other than, with respect to </w:t>
      </w:r>
      <w:r>
        <w:rPr>
          <w:rFonts w:ascii="Times New Roman" w:cs="Times New Roman" w:eastAsia="Times New Roman" w:hAnsi="Times New Roman"/>
          <w:sz w:val="13"/>
          <w:szCs w:val="13"/>
          <w:u w:val="single" w:color="auto"/>
          <w:color w:val="auto"/>
        </w:rPr>
        <w:t>Sections 2.2(a)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2.2(b)</w:t>
      </w:r>
      <w:r>
        <w:rPr>
          <w:rFonts w:ascii="Times New Roman" w:cs="Times New Roman" w:eastAsia="Times New Roman" w:hAnsi="Times New Roman"/>
          <w:sz w:val="13"/>
          <w:szCs w:val="13"/>
          <w:color w:val="auto"/>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 w:cs="Times New Roman" w:eastAsia="Times New Roman" w:hAnsi="Times New Roman"/>
          <w:sz w:val="13"/>
          <w:szCs w:val="13"/>
          <w:u w:val="single" w:color="auto"/>
          <w:color w:val="auto"/>
        </w:rPr>
        <w:t>Sections 2.2(a)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2.2(b)</w:t>
      </w:r>
      <w:r>
        <w:rPr>
          <w:rFonts w:ascii="Times New Roman" w:cs="Times New Roman" w:eastAsia="Times New Roman" w:hAnsi="Times New Roman"/>
          <w:sz w:val="13"/>
          <w:szCs w:val="13"/>
          <w:color w:val="auto"/>
        </w:rPr>
        <w:t xml:space="preserve">, for de minimis inaccuracies, as of such particular date or period of time); (ii) the representations and warranties of the Company contained in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2.6(a)(i)</w:t>
      </w:r>
      <w:r>
        <w:rPr>
          <w:rFonts w:ascii="Times New Roman" w:cs="Times New Roman" w:eastAsia="Times New Roman" w:hAnsi="Times New Roman"/>
          <w:sz w:val="13"/>
          <w:szCs w:val="13"/>
          <w:color w:val="auto"/>
        </w:rPr>
        <w:t xml:space="preserve"> (solely with respect to the Company’s Organizational Documents), </w:t>
      </w:r>
      <w:r>
        <w:rPr>
          <w:rFonts w:ascii="Times New Roman" w:cs="Times New Roman" w:eastAsia="Times New Roman" w:hAnsi="Times New Roman"/>
          <w:sz w:val="13"/>
          <w:szCs w:val="13"/>
          <w:u w:val="single" w:color="auto"/>
          <w:color w:val="auto"/>
        </w:rPr>
        <w:t>Section 2.22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2.25</w:t>
      </w:r>
      <w:r>
        <w:rPr>
          <w:rFonts w:ascii="Times New Roman" w:cs="Times New Roman" w:eastAsia="Times New Roman" w:hAnsi="Times New Roman"/>
          <w:sz w:val="13"/>
          <w:szCs w:val="13"/>
          <w:color w:val="auto"/>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case of </w:t>
      </w:r>
      <w:r>
        <w:rPr>
          <w:rFonts w:ascii="Times New Roman" w:cs="Times New Roman" w:eastAsia="Times New Roman" w:hAnsi="Times New Roman"/>
          <w:sz w:val="13"/>
          <w:szCs w:val="13"/>
          <w:u w:val="single" w:color="auto"/>
          <w:color w:val="auto"/>
        </w:rPr>
        <w:t>clause (ii)(B)</w:t>
      </w:r>
      <w:r>
        <w:rPr>
          <w:rFonts w:ascii="Times New Roman" w:cs="Times New Roman" w:eastAsia="Times New Roman" w:hAnsi="Times New Roman"/>
          <w:sz w:val="13"/>
          <w:szCs w:val="13"/>
          <w:color w:val="auto"/>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case of this </w:t>
      </w:r>
      <w:r>
        <w:rPr>
          <w:rFonts w:ascii="Times New Roman" w:cs="Times New Roman" w:eastAsia="Times New Roman" w:hAnsi="Times New Roman"/>
          <w:sz w:val="13"/>
          <w:szCs w:val="13"/>
          <w:u w:val="single" w:color="auto"/>
          <w:color w:val="auto"/>
        </w:rPr>
        <w:t>clause (iii)</w:t>
      </w:r>
      <w:r>
        <w:rPr>
          <w:rFonts w:ascii="Times New Roman" w:cs="Times New Roman" w:eastAsia="Times New Roman" w:hAnsi="Times New Roman"/>
          <w:sz w:val="13"/>
          <w:szCs w:val="13"/>
          <w:color w:val="auto"/>
        </w:rPr>
        <w:t>, for purposes of determining the accuracy of such representations and warranties, all materiality, “Company Material Adverse Effect” and similar qualifications set forth in such representations and warranties shall be disregarded.</w:t>
      </w:r>
    </w:p>
    <w:p>
      <w:pPr>
        <w:spacing w:after="0" w:line="136" w:lineRule="exact"/>
        <w:rPr>
          <w:rFonts w:ascii="Times New Roman" w:cs="Times New Roman" w:eastAsia="Times New Roman" w:hAnsi="Times New Roman"/>
          <w:sz w:val="13"/>
          <w:szCs w:val="13"/>
          <w:color w:val="auto"/>
        </w:rPr>
      </w:pPr>
    </w:p>
    <w:p>
      <w:pPr>
        <w:ind w:firstLine="932"/>
        <w:spacing w:after="0" w:line="278" w:lineRule="auto"/>
        <w:tabs>
          <w:tab w:leader="none" w:pos="1477"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have complied with or performed in all material respects all of the obligations, covenants and agreements that the Company is required to comply with or perform at or prior to the Closing.</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457"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Effects that, individually or in the aggregate, have constituted or resulted in a Company Material Adverse Effect that is continuing.</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35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w:t>
      </w:r>
      <w:r>
        <w:rPr>
          <w:rFonts w:ascii="Times New Roman" w:cs="Times New Roman" w:eastAsia="Times New Roman" w:hAnsi="Times New Roman"/>
          <w:sz w:val="13"/>
          <w:szCs w:val="13"/>
          <w:color w:val="auto"/>
        </w:rPr>
        <w:t xml:space="preserve">. Parent shall have received a certificate, dated as of the Closing Date and executed by the Chief Executive Officer or Chief Financial Officer of the Company, confirming that the conditions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5.2(c)</w:t>
      </w:r>
      <w:r>
        <w:rPr>
          <w:rFonts w:ascii="Times New Roman" w:cs="Times New Roman" w:eastAsia="Times New Roman" w:hAnsi="Times New Roman"/>
          <w:sz w:val="13"/>
          <w:szCs w:val="13"/>
          <w:color w:val="auto"/>
        </w:rPr>
        <w:t xml:space="preserve"> have been duly satisfied.</w:t>
      </w:r>
    </w:p>
    <w:p>
      <w:pPr>
        <w:spacing w:after="0" w:line="120"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Tax Opinions</w:t>
      </w:r>
      <w:r>
        <w:rPr>
          <w:rFonts w:ascii="Times New Roman" w:cs="Times New Roman" w:eastAsia="Times New Roman" w:hAnsi="Times New Roman"/>
          <w:sz w:val="13"/>
          <w:szCs w:val="13"/>
          <w:color w:val="auto"/>
        </w:rPr>
        <w:t>. Parent shall have received (i) the Parent Closing Tax Opinion and (ii) a copy of the Company Closing Tax Opinion.</w:t>
      </w:r>
    </w:p>
    <w:p>
      <w:pPr>
        <w:spacing w:after="0" w:line="162" w:lineRule="exact"/>
        <w:rPr>
          <w:sz w:val="20"/>
          <w:szCs w:val="20"/>
          <w:color w:val="auto"/>
        </w:rPr>
      </w:pPr>
    </w:p>
    <w:p>
      <w:pPr>
        <w:ind w:firstLine="467"/>
        <w:spacing w:after="0" w:line="278"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Additional Conditions Precedent to Company’s Obligations</w:t>
      </w:r>
      <w:r>
        <w:rPr>
          <w:rFonts w:ascii="Times New Roman" w:cs="Times New Roman" w:eastAsia="Times New Roman" w:hAnsi="Times New Roman"/>
          <w:sz w:val="13"/>
          <w:szCs w:val="13"/>
          <w:color w:val="auto"/>
        </w:rPr>
        <w:t>. The obligation of the Company to effect the Merger and otherwise consummate the transactions contemplated by this Agreement is subject to the satisfaction or waiver by the Company, as of the Closing, of each of the following conditions: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3" w:name="page84"/>
    <w:bookmarkEnd w:id="83"/>
    <w:p>
      <w:pPr>
        <w:jc w:val="both"/>
        <w:ind w:firstLine="932"/>
        <w:spacing w:after="0" w:line="252" w:lineRule="auto"/>
        <w:tabs>
          <w:tab w:leader="none" w:pos="142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xml:space="preserve">. (i) The representations and warranties of Parent contained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xml:space="preserve"> shall have been true and accurate in all respects (other than, with respect to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3.2(b)</w:t>
      </w:r>
      <w:r>
        <w:rPr>
          <w:rFonts w:ascii="Times New Roman" w:cs="Times New Roman" w:eastAsia="Times New Roman" w:hAnsi="Times New Roman"/>
          <w:sz w:val="13"/>
          <w:szCs w:val="13"/>
          <w:color w:val="auto"/>
        </w:rPr>
        <w:t xml:space="preserve">, for de minimis inaccuracies) at and as of the date hereof and shall be true and accurate (other than, with respect to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3.2(b)</w:t>
      </w:r>
      <w:r>
        <w:rPr>
          <w:rFonts w:ascii="Times New Roman" w:cs="Times New Roman" w:eastAsia="Times New Roman" w:hAnsi="Times New Roman"/>
          <w:sz w:val="13"/>
          <w:szCs w:val="13"/>
          <w:color w:val="auto"/>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3.2(b)</w:t>
      </w:r>
      <w:r>
        <w:rPr>
          <w:rFonts w:ascii="Times New Roman" w:cs="Times New Roman" w:eastAsia="Times New Roman" w:hAnsi="Times New Roman"/>
          <w:sz w:val="13"/>
          <w:szCs w:val="13"/>
          <w:color w:val="auto"/>
        </w:rPr>
        <w:t xml:space="preserve">, for de minimis inaccuracies, as of such particular date or period of time); (ii) the representations and warranties of Parent and Merger Sub contained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3.5(a)(i)</w:t>
      </w:r>
      <w:r>
        <w:rPr>
          <w:rFonts w:ascii="Times New Roman" w:cs="Times New Roman" w:eastAsia="Times New Roman" w:hAnsi="Times New Roman"/>
          <w:sz w:val="13"/>
          <w:szCs w:val="13"/>
          <w:color w:val="auto"/>
        </w:rPr>
        <w:t xml:space="preserve"> (solely with respect to Parent’s Organizational Documents),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3.14</w:t>
      </w:r>
      <w:r>
        <w:rPr>
          <w:rFonts w:ascii="Times New Roman" w:cs="Times New Roman" w:eastAsia="Times New Roman" w:hAnsi="Times New Roman"/>
          <w:sz w:val="13"/>
          <w:szCs w:val="13"/>
          <w:color w:val="auto"/>
        </w:rPr>
        <w:t xml:space="preserve"> (A)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case of </w:t>
      </w:r>
      <w:r>
        <w:rPr>
          <w:rFonts w:ascii="Times New Roman" w:cs="Times New Roman" w:eastAsia="Times New Roman" w:hAnsi="Times New Roman"/>
          <w:sz w:val="13"/>
          <w:szCs w:val="13"/>
          <w:u w:val="single" w:color="auto"/>
          <w:color w:val="auto"/>
        </w:rPr>
        <w:t>clause (ii)(B)</w:t>
      </w:r>
      <w:r>
        <w:rPr>
          <w:rFonts w:ascii="Times New Roman" w:cs="Times New Roman" w:eastAsia="Times New Roman" w:hAnsi="Times New Roman"/>
          <w:sz w:val="13"/>
          <w:szCs w:val="13"/>
          <w:color w:val="auto"/>
        </w:rPr>
        <w:t xml:space="preserve">, for purposes of determining the accuracy of such representations and warranties, all materiality and similar qualifications set forth in such representations and warranties shall be disregarded; and (iii) the representations and warranties of Parent and Merger Sub set forth in this Agreement (other than those representations and warranties referred to in the foregoing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case of this </w:t>
      </w:r>
      <w:r>
        <w:rPr>
          <w:rFonts w:ascii="Times New Roman" w:cs="Times New Roman" w:eastAsia="Times New Roman" w:hAnsi="Times New Roman"/>
          <w:sz w:val="13"/>
          <w:szCs w:val="13"/>
          <w:u w:val="single" w:color="auto"/>
          <w:color w:val="auto"/>
        </w:rPr>
        <w:t>clause (iii)</w:t>
      </w:r>
      <w:r>
        <w:rPr>
          <w:rFonts w:ascii="Times New Roman" w:cs="Times New Roman" w:eastAsia="Times New Roman" w:hAnsi="Times New Roman"/>
          <w:sz w:val="13"/>
          <w:szCs w:val="13"/>
          <w:color w:val="auto"/>
        </w:rPr>
        <w:t>, for purposes of determining the accuracy of such representations and warranties, all materiality, “Parent Material Adverse Effect” and similar qualifications set forth in such representations and warranties shall be disregarded.</w:t>
      </w:r>
    </w:p>
    <w:p>
      <w:pPr>
        <w:spacing w:after="0" w:line="136" w:lineRule="exact"/>
        <w:rPr>
          <w:rFonts w:ascii="Times New Roman" w:cs="Times New Roman" w:eastAsia="Times New Roman" w:hAnsi="Times New Roman"/>
          <w:sz w:val="13"/>
          <w:szCs w:val="13"/>
          <w:color w:val="auto"/>
        </w:rPr>
      </w:pPr>
    </w:p>
    <w:p>
      <w:pPr>
        <w:ind w:firstLine="932"/>
        <w:spacing w:after="0" w:line="278" w:lineRule="auto"/>
        <w:tabs>
          <w:tab w:leader="none" w:pos="137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Parent shall have complied with or performed in all material respects all of the obligations, covenants and agreements that Parent is required to comply with or perform at or prior to the Closing.</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376"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Parent Material Adverse Effect</w:t>
      </w:r>
      <w:r>
        <w:rPr>
          <w:rFonts w:ascii="Times New Roman" w:cs="Times New Roman" w:eastAsia="Times New Roman" w:hAnsi="Times New Roman"/>
          <w:sz w:val="13"/>
          <w:szCs w:val="13"/>
          <w:color w:val="auto"/>
        </w:rPr>
        <w:t>. Since the date of this Agreement, there shall not have occurred any Effects that, individually or in the aggregate, have constituted or resulted in a Parent Material Adverse Effect that is continuing.</w:t>
      </w:r>
    </w:p>
    <w:p>
      <w:pPr>
        <w:spacing w:after="0" w:line="120" w:lineRule="exact"/>
        <w:rPr>
          <w:rFonts w:ascii="Times New Roman" w:cs="Times New Roman" w:eastAsia="Times New Roman" w:hAnsi="Times New Roman"/>
          <w:sz w:val="13"/>
          <w:szCs w:val="13"/>
          <w:color w:val="auto"/>
        </w:rPr>
      </w:pPr>
    </w:p>
    <w:p>
      <w:pPr>
        <w:ind w:firstLine="932"/>
        <w:spacing w:after="0" w:line="278" w:lineRule="auto"/>
        <w:tabs>
          <w:tab w:leader="none" w:pos="1396"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w:t>
      </w:r>
      <w:r>
        <w:rPr>
          <w:rFonts w:ascii="Times New Roman" w:cs="Times New Roman" w:eastAsia="Times New Roman" w:hAnsi="Times New Roman"/>
          <w:sz w:val="13"/>
          <w:szCs w:val="13"/>
          <w:color w:val="auto"/>
        </w:rPr>
        <w:t xml:space="preserve">. The Company shall have received a certificate, dated as of the Closing Date and executed by the Chief Executive Officer or Chief Financial Officer of Parent, confirming that the conditions set forth in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5.3(c)</w:t>
      </w:r>
      <w:r>
        <w:rPr>
          <w:rFonts w:ascii="Times New Roman" w:cs="Times New Roman" w:eastAsia="Times New Roman" w:hAnsi="Times New Roman"/>
          <w:sz w:val="13"/>
          <w:szCs w:val="13"/>
          <w:color w:val="auto"/>
        </w:rPr>
        <w:t xml:space="preserve"> have been duly satisfied.</w:t>
      </w:r>
    </w:p>
    <w:p>
      <w:pPr>
        <w:spacing w:after="0" w:line="120" w:lineRule="exact"/>
        <w:rPr>
          <w:rFonts w:ascii="Times New Roman" w:cs="Times New Roman" w:eastAsia="Times New Roman" w:hAnsi="Times New Roman"/>
          <w:sz w:val="13"/>
          <w:szCs w:val="13"/>
          <w:color w:val="auto"/>
        </w:rPr>
      </w:pPr>
    </w:p>
    <w:p>
      <w:pPr>
        <w:ind w:left="1360" w:hanging="428"/>
        <w:spacing w:after="0"/>
        <w:tabs>
          <w:tab w:leader="none" w:pos="136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Tax Opinions</w:t>
      </w:r>
      <w:r>
        <w:rPr>
          <w:rFonts w:ascii="Times New Roman" w:cs="Times New Roman" w:eastAsia="Times New Roman" w:hAnsi="Times New Roman"/>
          <w:sz w:val="13"/>
          <w:szCs w:val="13"/>
          <w:color w:val="auto"/>
        </w:rPr>
        <w:t>. The Company shall have received (i) the Company Closing Tax Opinion, and (ii) a copy of the Parent Closing Tax Opinion.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w:t>
      </w:r>
    </w:p>
    <w:p>
      <w:pPr>
        <w:spacing w:after="0" w:line="150"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6.1</w:t>
      </w:r>
      <w:r>
        <w:rPr>
          <w:sz w:val="20"/>
          <w:szCs w:val="20"/>
          <w:color w:val="auto"/>
        </w:rPr>
        <w:tab/>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may be terminated and the Merger may be abandoned:</w:t>
      </w:r>
    </w:p>
    <w:p>
      <w:pPr>
        <w:spacing w:after="0" w:line="162" w:lineRule="exact"/>
        <w:rPr>
          <w:sz w:val="20"/>
          <w:szCs w:val="20"/>
          <w:color w:val="auto"/>
        </w:rPr>
      </w:pPr>
    </w:p>
    <w:p>
      <w:pPr>
        <w:ind w:left="1400" w:hanging="468"/>
        <w:spacing w:after="0"/>
        <w:tabs>
          <w:tab w:leader="none" w:pos="140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 at any time prior to the Effective Time;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jc w:val="both"/>
        <w:ind w:right="20" w:firstLine="932"/>
        <w:spacing w:after="0" w:line="253" w:lineRule="auto"/>
        <w:tabs>
          <w:tab w:leader="none" w:pos="1467"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or the Company if the Merger shall not have been consummated by 11:59 PM, Pacific Time, on June 25, 2027 (such date and time, as may be extended pursuant to this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u w:val="single" w:color="auto"/>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if, as of the End Date then in effect, any of the conditions to the Closing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(solely if the applicable Relevant Legal Restraint relates to any Antitrust Laws or FDI Laws) has not been satisfied or waived but all other conditions to Closing set forth in </w:t>
      </w:r>
      <w:r>
        <w:rPr>
          <w:rFonts w:ascii="Times New Roman" w:cs="Times New Roman" w:eastAsia="Times New Roman" w:hAnsi="Times New Roman"/>
          <w:sz w:val="13"/>
          <w:szCs w:val="13"/>
          <w:u w:val="single" w:color="auto"/>
          <w:color w:val="auto"/>
        </w:rPr>
        <w:t>Sections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5.3</w:t>
      </w:r>
      <w:r>
        <w:rPr>
          <w:rFonts w:ascii="Times New Roman" w:cs="Times New Roman" w:eastAsia="Times New Roman" w:hAnsi="Times New Roman"/>
          <w:sz w:val="13"/>
          <w:szCs w:val="13"/>
          <w:color w:val="auto"/>
        </w:rPr>
        <w:t xml:space="preserve"> 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the End Date shall not be automatically extended pursuant to the immediately preceding proviso more than three (3) times;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if the satisfaction or waiver of the last to be satisfied or waived of the conditions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a party shall not be permitted to terminate this Agreement pursuant to this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if the material breach by such party of any of such party’s obligations, covenants or agreements under this Agreement shall have been the primary cause of the failure of the Effective Time to have occurred on or before the End Date;</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59" w:lineRule="auto"/>
        <w:tabs>
          <w:tab w:leader="none" w:pos="1337"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or the Company at any time prior to the Effective Time if a Relevant Legal Restraint permanently preventing, enjoining or making illegal the consummation of the Merger shall have become final and non-appealable;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the party seeking to terminate the Agreement shall have used reasonable best efforts to prevent the entry of and to remove such Relevant Legal Restraint in accordance with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a party shall not be permitted to terminate this Agreement pursuant to this </w:t>
      </w:r>
      <w:r>
        <w:rPr>
          <w:rFonts w:ascii="Times New Roman" w:cs="Times New Roman" w:eastAsia="Times New Roman" w:hAnsi="Times New Roman"/>
          <w:sz w:val="13"/>
          <w:szCs w:val="13"/>
          <w:u w:val="single" w:color="auto"/>
          <w:color w:val="auto"/>
        </w:rPr>
        <w:t>Section 6.1(c)</w:t>
      </w:r>
      <w:r>
        <w:rPr>
          <w:rFonts w:ascii="Times New Roman" w:cs="Times New Roman" w:eastAsia="Times New Roman" w:hAnsi="Times New Roman"/>
          <w:sz w:val="13"/>
          <w:szCs w:val="13"/>
          <w:color w:val="auto"/>
        </w:rPr>
        <w:t xml:space="preserve"> if the material breach by such party of any of such party’s obligations, covenants or agreements under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shall have been the primary cause of the events specified in this </w:t>
      </w:r>
      <w:r>
        <w:rPr>
          <w:rFonts w:ascii="Times New Roman" w:cs="Times New Roman" w:eastAsia="Times New Roman" w:hAnsi="Times New Roman"/>
          <w:sz w:val="13"/>
          <w:szCs w:val="13"/>
          <w:u w:val="single" w:color="auto"/>
          <w:color w:val="auto"/>
        </w:rPr>
        <w:t>clause (c)</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right="20" w:firstLine="932"/>
        <w:spacing w:after="0" w:line="278" w:lineRule="auto"/>
        <w:tabs>
          <w:tab w:leader="none" w:pos="1474"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at any time prior to obtaining the Required Company Stockholder Vote if the Company Board shall have failed to include the Company Board Recommendation in the Proxy Statement/Prospectus or shall have made a Company Change in Recommendation;</w:t>
      </w:r>
    </w:p>
    <w:p>
      <w:pPr>
        <w:spacing w:after="0" w:line="120"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79"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at any time prior to obtaining the Required Company Stockholder Vote, in the event that (i) the Company Board shall have authorized the Company to enter into a definitive agreement relating to a Superior Proposal; (ii) concurrently with the termination of this Agreement, the Company enters into the definitive agreement relating to a Superior Proposal and pays Parent the Company Termination Fee payable to Parent pursuant to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and (iii) the Company has otherwise complied in all material respects with the provisions of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auto"/>
        </w:rPr>
      </w:pPr>
    </w:p>
    <w:p>
      <w:pPr>
        <w:ind w:right="20" w:firstLine="932"/>
        <w:spacing w:after="0" w:line="278" w:lineRule="auto"/>
        <w:tabs>
          <w:tab w:leader="none" w:pos="1374"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 (i) the Company Stockholder Meeting (including any adjournments and postponements thereof) shall have been held and completed and (ii) the Required Company Stockholder Vote shall not have been obtained;</w:t>
      </w:r>
    </w:p>
    <w:p>
      <w:pPr>
        <w:spacing w:after="0" w:line="120" w:lineRule="exact"/>
        <w:rPr>
          <w:rFonts w:ascii="Times New Roman" w:cs="Times New Roman" w:eastAsia="Times New Roman" w:hAnsi="Times New Roman"/>
          <w:sz w:val="13"/>
          <w:szCs w:val="13"/>
          <w:color w:val="auto"/>
        </w:rPr>
      </w:pPr>
    </w:p>
    <w:p>
      <w:pPr>
        <w:jc w:val="both"/>
        <w:ind w:firstLine="932"/>
        <w:spacing w:after="0" w:line="254" w:lineRule="auto"/>
        <w:tabs>
          <w:tab w:leader="none" w:pos="1386"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if: (i) any of the Company’s representations and warranties contained in this Agreement shall be inaccurate such that the condition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would not be satisfied; or (ii) any of the Company’s obligations, covenants and agreements contained in this Agreement shall have been breached such that the condition set forth in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would not be satisfied;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for purposes of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above, if an inaccuracy in any of the Company’s representations and warranties or a breach of a covenant of the Company is curable by the Company by the End Date and the Company is continuing to exercise reasonable best efforts to cure such inaccuracy or breach, then Parent may not terminate this Agreement under this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Parent shall not have the right to terminate this Agreement pursuant to this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if Parent is then in breach of any of its representations, warranties, obligations, covenants or agreements contained in this Agreement, which breach would give rise to the failure of a condition set forth in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or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5" w:name="page86"/>
    <w:bookmarkEnd w:id="85"/>
    <w:p>
      <w:pPr>
        <w:jc w:val="both"/>
        <w:ind w:firstLine="932"/>
        <w:spacing w:after="0" w:line="254" w:lineRule="auto"/>
        <w:tabs>
          <w:tab w:leader="none" w:pos="1386"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(i) any of Parent’s representations and warranties contained in this Agreement shall be inaccurate such that the condition set forth in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would not be satisfied; or (ii) any of Parent’s obligations, covenants and agreements contained in this Agreement shall have been breached such that the condition set forth in </w:t>
      </w:r>
      <w:r>
        <w:rPr>
          <w:rFonts w:ascii="Times New Roman" w:cs="Times New Roman" w:eastAsia="Times New Roman" w:hAnsi="Times New Roman"/>
          <w:sz w:val="13"/>
          <w:szCs w:val="13"/>
          <w:u w:val="single" w:color="auto"/>
          <w:color w:val="auto"/>
        </w:rPr>
        <w:t>Section 5.3(b)</w:t>
      </w:r>
      <w:r>
        <w:rPr>
          <w:rFonts w:ascii="Times New Roman" w:cs="Times New Roman" w:eastAsia="Times New Roman" w:hAnsi="Times New Roman"/>
          <w:sz w:val="13"/>
          <w:szCs w:val="13"/>
          <w:color w:val="auto"/>
        </w:rPr>
        <w:t xml:space="preserve"> would not be satisfied;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for purposes of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above, if an inaccuracy in any of Parent’s representations and warranties or a breach of a covenant of Parent is curable by Parent by the End Date and Parent is continuing to exercise reasonable best efforts to cure such inaccuracy or breach, then the Company may not terminate this Agreement under this </w:t>
      </w:r>
      <w:r>
        <w:rPr>
          <w:rFonts w:ascii="Times New Roman" w:cs="Times New Roman" w:eastAsia="Times New Roman" w:hAnsi="Times New Roman"/>
          <w:sz w:val="13"/>
          <w:szCs w:val="13"/>
          <w:u w:val="single" w:color="auto"/>
          <w:color w:val="auto"/>
        </w:rPr>
        <w:t>Section 6.1(h)</w:t>
      </w:r>
      <w:r>
        <w:rPr>
          <w:rFonts w:ascii="Times New Roman" w:cs="Times New Roman" w:eastAsia="Times New Roman" w:hAnsi="Times New Roman"/>
          <w:sz w:val="13"/>
          <w:szCs w:val="13"/>
          <w:color w:val="auto"/>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the Company shall not have the right to terminate this Agreement pursuant to this </w:t>
      </w:r>
      <w:r>
        <w:rPr>
          <w:rFonts w:ascii="Times New Roman" w:cs="Times New Roman" w:eastAsia="Times New Roman" w:hAnsi="Times New Roman"/>
          <w:sz w:val="13"/>
          <w:szCs w:val="13"/>
          <w:u w:val="single" w:color="auto"/>
          <w:color w:val="auto"/>
        </w:rPr>
        <w:t>Section 6.1(h)</w:t>
      </w:r>
      <w:r>
        <w:rPr>
          <w:rFonts w:ascii="Times New Roman" w:cs="Times New Roman" w:eastAsia="Times New Roman" w:hAnsi="Times New Roman"/>
          <w:sz w:val="13"/>
          <w:szCs w:val="13"/>
          <w:color w:val="auto"/>
        </w:rPr>
        <w:t xml:space="preserve"> if the Company is then in breach of any of its representations, warranties, obligations, covenants or agreements contained in this Agreement, which breach would give rise to the failure of a condition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 xml:space="preserve">The party seeking to terminate this Agreement pursuant to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shall give written notice of such termination to the other parties in accordance with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 xml:space="preserve"> specifying the provision of this Agreement pursuant to which such termination is effected. Notwithstanding anything to the contrary herein, this Agreement may not be terminated after the Effective Time.</w:t>
      </w:r>
    </w:p>
    <w:p>
      <w:pPr>
        <w:spacing w:after="0" w:line="121" w:lineRule="exact"/>
        <w:rPr>
          <w:sz w:val="20"/>
          <w:szCs w:val="20"/>
          <w:color w:val="auto"/>
        </w:rPr>
      </w:pPr>
    </w:p>
    <w:p>
      <w:pPr>
        <w:jc w:val="both"/>
        <w:ind w:firstLine="467"/>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this Agreement shall be of no further force or effect with no liability to any Person on the part of any party to this Agreement (or any of its Representatives or Affiliates);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(a) the penultimate sentence of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w:t>
      </w:r>
      <w:r>
        <w:rPr>
          <w:rFonts w:ascii="Times New Roman" w:cs="Times New Roman" w:eastAsia="Times New Roman" w:hAnsi="Times New Roman"/>
          <w:sz w:val="13"/>
          <w:szCs w:val="13"/>
          <w:u w:val="single" w:color="auto"/>
          <w:color w:val="auto"/>
        </w:rPr>
        <w:t>intentional and material breach</w:t>
      </w:r>
      <w:r>
        <w:rPr>
          <w:rFonts w:ascii="Times New Roman" w:cs="Times New Roman" w:eastAsia="Times New Roman" w:hAnsi="Times New Roman"/>
          <w:sz w:val="13"/>
          <w:szCs w:val="13"/>
          <w:color w:val="auto"/>
        </w:rPr>
        <w:t>”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w:t>
      </w:r>
    </w:p>
    <w:p>
      <w:pPr>
        <w:spacing w:after="0" w:line="136"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6.3</w:t>
      </w:r>
      <w:r>
        <w:rPr>
          <w:sz w:val="20"/>
          <w:szCs w:val="20"/>
          <w:color w:val="auto"/>
        </w:rPr>
        <w:tab/>
      </w:r>
      <w:r>
        <w:rPr>
          <w:rFonts w:ascii="Times New Roman" w:cs="Times New Roman" w:eastAsia="Times New Roman" w:hAnsi="Times New Roman"/>
          <w:sz w:val="12"/>
          <w:szCs w:val="12"/>
          <w:u w:val="single" w:color="auto"/>
          <w:color w:val="auto"/>
        </w:rPr>
        <w:t>Termination Fees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64" w:lineRule="auto"/>
        <w:tabs>
          <w:tab w:leader="none" w:pos="142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the Company pursuant to </w:t>
      </w:r>
      <w:r>
        <w:rPr>
          <w:rFonts w:ascii="Times New Roman" w:cs="Times New Roman" w:eastAsia="Times New Roman" w:hAnsi="Times New Roman"/>
          <w:sz w:val="13"/>
          <w:szCs w:val="13"/>
          <w:u w:val="single" w:color="auto"/>
          <w:color w:val="auto"/>
        </w:rPr>
        <w:t>Section 6.1(e)</w:t>
      </w:r>
      <w:r>
        <w:rPr>
          <w:rFonts w:ascii="Times New Roman" w:cs="Times New Roman" w:eastAsia="Times New Roman" w:hAnsi="Times New Roman"/>
          <w:sz w:val="13"/>
          <w:szCs w:val="13"/>
          <w:color w:val="auto"/>
        </w:rPr>
        <w:t xml:space="preserve">, by Parent pursuant to </w:t>
      </w:r>
      <w:r>
        <w:rPr>
          <w:rFonts w:ascii="Times New Roman" w:cs="Times New Roman" w:eastAsia="Times New Roman" w:hAnsi="Times New Roman"/>
          <w:sz w:val="13"/>
          <w:szCs w:val="13"/>
          <w:u w:val="single" w:color="auto"/>
          <w:color w:val="auto"/>
        </w:rPr>
        <w:t>Section 6.1(d)</w:t>
      </w:r>
      <w:r>
        <w:rPr>
          <w:rFonts w:ascii="Times New Roman" w:cs="Times New Roman" w:eastAsia="Times New Roman" w:hAnsi="Times New Roman"/>
          <w:sz w:val="13"/>
          <w:szCs w:val="13"/>
          <w:color w:val="auto"/>
        </w:rPr>
        <w:t xml:space="preserve">, or by either Parent or the Company pursuant to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6.1(f)</w:t>
      </w:r>
      <w:r>
        <w:rPr>
          <w:rFonts w:ascii="Times New Roman" w:cs="Times New Roman" w:eastAsia="Times New Roman" w:hAnsi="Times New Roman"/>
          <w:sz w:val="13"/>
          <w:szCs w:val="13"/>
          <w:color w:val="auto"/>
        </w:rPr>
        <w:t xml:space="preserve"> at a time when Parent would have been entitled to terminate this Agreement pursuant to </w:t>
      </w:r>
      <w:r>
        <w:rPr>
          <w:rFonts w:ascii="Times New Roman" w:cs="Times New Roman" w:eastAsia="Times New Roman" w:hAnsi="Times New Roman"/>
          <w:sz w:val="13"/>
          <w:szCs w:val="13"/>
          <w:u w:val="single" w:color="auto"/>
          <w:color w:val="auto"/>
        </w:rPr>
        <w:t>Section 6.1(d)</w:t>
      </w:r>
      <w:r>
        <w:rPr>
          <w:rFonts w:ascii="Times New Roman" w:cs="Times New Roman" w:eastAsia="Times New Roman" w:hAnsi="Times New Roman"/>
          <w:sz w:val="13"/>
          <w:szCs w:val="13"/>
          <w:color w:val="auto"/>
        </w:rPr>
        <w:t xml:space="preserve">, then, within two (2) Business Days after the termination of this Agreement (or, in the case of a termination pursuant to </w:t>
      </w:r>
      <w:r>
        <w:rPr>
          <w:rFonts w:ascii="Times New Roman" w:cs="Times New Roman" w:eastAsia="Times New Roman" w:hAnsi="Times New Roman"/>
          <w:sz w:val="13"/>
          <w:szCs w:val="13"/>
          <w:u w:val="single" w:color="auto"/>
          <w:color w:val="auto"/>
        </w:rPr>
        <w:t>Section 6.1(e)</w:t>
      </w:r>
      <w:r>
        <w:rPr>
          <w:rFonts w:ascii="Times New Roman" w:cs="Times New Roman" w:eastAsia="Times New Roman" w:hAnsi="Times New Roman"/>
          <w:sz w:val="13"/>
          <w:szCs w:val="13"/>
          <w:color w:val="auto"/>
        </w:rPr>
        <w:t>, at or prior to termination), the Company shall cause to be paid to Parent the Company Termination Fee.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6" w:name="page87"/>
    <w:bookmarkEnd w:id="86"/>
    <w:p>
      <w:pPr>
        <w:jc w:val="both"/>
        <w:ind w:firstLine="932"/>
        <w:spacing w:after="0" w:line="253" w:lineRule="auto"/>
        <w:tabs>
          <w:tab w:leader="none" w:pos="1354"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Parent or the Company pursuant to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 xml:space="preserve">, or by Parent pursuant to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(or by the Company or Parent pursuant to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at a time when this Agreement could have been terminated pursuant to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(i) at or prior to the Company Stockholder Meeting (in the case of a termination pursuant to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 xml:space="preserve">), or at or prior to the time of the applicable breach by the Company (in the case of a termination pursuant to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any Person shall have publicly announced an intention to make an Acquisition Proposal, or an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 w:cs="Times New Roman" w:eastAsia="Times New Roman" w:hAnsi="Times New Roman"/>
          <w:sz w:val="13"/>
          <w:szCs w:val="13"/>
          <w:u w:val="single" w:color="auto"/>
          <w:color w:val="auto"/>
        </w:rPr>
        <w:t>Section 6.1(f)</w:t>
      </w:r>
      <w:r>
        <w:rPr>
          <w:rFonts w:ascii="Times New Roman" w:cs="Times New Roman" w:eastAsia="Times New Roman" w:hAnsi="Times New Roman"/>
          <w:sz w:val="13"/>
          <w:szCs w:val="13"/>
          <w:color w:val="auto"/>
        </w:rPr>
        <w:t xml:space="preserve">, or the time of such breach, in the case of a termination pursuant to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(ii) on or prior to the date that is twelve (12) months following the termination of this Agreement, either (A) an Acquisition Transaction is consummated or (B) a definitive agreement relating to an Acquisition Transaction is entered into by the Company (it being understood that, for purposes of this </w:t>
      </w:r>
      <w:r>
        <w:rPr>
          <w:rFonts w:ascii="Times New Roman" w:cs="Times New Roman" w:eastAsia="Times New Roman" w:hAnsi="Times New Roman"/>
          <w:sz w:val="13"/>
          <w:szCs w:val="13"/>
          <w:u w:val="single" w:color="auto"/>
          <w:color w:val="auto"/>
        </w:rPr>
        <w:t>clause (B)</w:t>
      </w:r>
      <w:r>
        <w:rPr>
          <w:rFonts w:ascii="Times New Roman" w:cs="Times New Roman" w:eastAsia="Times New Roman" w:hAnsi="Times New Roman"/>
          <w:sz w:val="13"/>
          <w:szCs w:val="13"/>
          <w:color w:val="auto"/>
        </w:rPr>
        <w:t xml:space="preserve">, each reference to “twenty percent (20%)” in the definition of “Acquisition Transaction”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shall be deemed to be a reference to “fifty percent (50%)”), then, on the date of the earlier of the consummation of such Acquisition Transaction or entering into a definitive agreement relating to an Acquisition Transaction, the Company shall cause to be paid to Parent the Company Termination Fee.</w:t>
      </w:r>
    </w:p>
    <w:p>
      <w:pPr>
        <w:spacing w:after="0" w:line="137" w:lineRule="exact"/>
        <w:rPr>
          <w:rFonts w:ascii="Times New Roman" w:cs="Times New Roman" w:eastAsia="Times New Roman" w:hAnsi="Times New Roman"/>
          <w:sz w:val="13"/>
          <w:szCs w:val="13"/>
          <w:color w:val="auto"/>
        </w:rPr>
      </w:pPr>
    </w:p>
    <w:p>
      <w:pPr>
        <w:jc w:val="both"/>
        <w:ind w:firstLine="932"/>
        <w:spacing w:after="0" w:line="253" w:lineRule="auto"/>
        <w:tabs>
          <w:tab w:leader="none" w:pos="147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(i) by Parent or the Company pursuant to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6.1(c)</w:t>
      </w:r>
      <w:r>
        <w:rPr>
          <w:rFonts w:ascii="Times New Roman" w:cs="Times New Roman" w:eastAsia="Times New Roman" w:hAnsi="Times New Roman"/>
          <w:sz w:val="13"/>
          <w:szCs w:val="13"/>
          <w:color w:val="auto"/>
        </w:rPr>
        <w:t xml:space="preserve"> (but, with respect to </w:t>
      </w:r>
      <w:r>
        <w:rPr>
          <w:rFonts w:ascii="Times New Roman" w:cs="Times New Roman" w:eastAsia="Times New Roman" w:hAnsi="Times New Roman"/>
          <w:sz w:val="13"/>
          <w:szCs w:val="13"/>
          <w:u w:val="single" w:color="auto"/>
          <w:color w:val="auto"/>
        </w:rPr>
        <w:t>Section 6.1(c)</w:t>
      </w:r>
      <w:r>
        <w:rPr>
          <w:rFonts w:ascii="Times New Roman" w:cs="Times New Roman" w:eastAsia="Times New Roman" w:hAnsi="Times New Roman"/>
          <w:sz w:val="13"/>
          <w:szCs w:val="13"/>
          <w:color w:val="auto"/>
        </w:rPr>
        <w:t xml:space="preserve">, if relating to the matters set forth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5.1(c)</w:t>
      </w:r>
      <w:r>
        <w:rPr>
          <w:rFonts w:ascii="Times New Roman" w:cs="Times New Roman" w:eastAsia="Times New Roman" w:hAnsi="Times New Roman"/>
          <w:sz w:val="13"/>
          <w:szCs w:val="13"/>
          <w:color w:val="auto"/>
        </w:rPr>
        <w:t xml:space="preserve">), and as of the time of such termination, the only conditions to Closing set forth in </w:t>
      </w:r>
      <w:r>
        <w:rPr>
          <w:rFonts w:ascii="Times New Roman" w:cs="Times New Roman" w:eastAsia="Times New Roman" w:hAnsi="Times New Roman"/>
          <w:sz w:val="13"/>
          <w:szCs w:val="13"/>
          <w:u w:val="single" w:color="auto"/>
          <w:color w:val="auto"/>
        </w:rPr>
        <w:t>Sections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5.3</w:t>
      </w:r>
      <w:r>
        <w:rPr>
          <w:rFonts w:ascii="Times New Roman" w:cs="Times New Roman" w:eastAsia="Times New Roman" w:hAnsi="Times New Roman"/>
          <w:sz w:val="13"/>
          <w:szCs w:val="13"/>
          <w:color w:val="auto"/>
        </w:rPr>
        <w:t xml:space="preserve"> 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if relating primarily to the matters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or (ii) by the Company pursuant to </w:t>
      </w:r>
      <w:r>
        <w:rPr>
          <w:rFonts w:ascii="Times New Roman" w:cs="Times New Roman" w:eastAsia="Times New Roman" w:hAnsi="Times New Roman"/>
          <w:sz w:val="13"/>
          <w:szCs w:val="13"/>
          <w:u w:val="single" w:color="auto"/>
          <w:color w:val="auto"/>
        </w:rPr>
        <w:t>Section 6.1(h)(ii)</w:t>
      </w:r>
      <w:r>
        <w:rPr>
          <w:rFonts w:ascii="Times New Roman" w:cs="Times New Roman" w:eastAsia="Times New Roman" w:hAnsi="Times New Roman"/>
          <w:sz w:val="13"/>
          <w:szCs w:val="13"/>
          <w:color w:val="auto"/>
        </w:rPr>
        <w:t xml:space="preserve"> due to Parent’s or Merger Sub’s material breach of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which results in any of the conditions to Closing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if such Closing condition failure relates to the matters set forth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5.1(c)</w:t>
      </w:r>
      <w:r>
        <w:rPr>
          <w:rFonts w:ascii="Times New Roman" w:cs="Times New Roman" w:eastAsia="Times New Roman" w:hAnsi="Times New Roman"/>
          <w:sz w:val="13"/>
          <w:szCs w:val="13"/>
          <w:color w:val="auto"/>
        </w:rPr>
        <w:t xml:space="preserve">) being incapable of being satisfied by the End Date, then, within two (2) Business Days following such termination, Parent shall cause to be paid to the Company the Regulatory Termination Fee; provided, that, the Regulatory Termination Fee shall not be payable pursuant to this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 xml:space="preserve"> if the Company shall have materially breached any of its obligations under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primarily relating to the matters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if relating primarily to the matters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and such breach shall have been the primary cause of the failure of the conditions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5.1(e)</w:t>
      </w:r>
      <w:r>
        <w:rPr>
          <w:rFonts w:ascii="Times New Roman" w:cs="Times New Roman" w:eastAsia="Times New Roman" w:hAnsi="Times New Roman"/>
          <w:sz w:val="13"/>
          <w:szCs w:val="13"/>
          <w:color w:val="auto"/>
        </w:rPr>
        <w:t xml:space="preserve">, if such Closing condition failure relates to the matters set forth in </w:t>
      </w:r>
      <w:r>
        <w:rPr>
          <w:rFonts w:ascii="Times New Roman" w:cs="Times New Roman" w:eastAsia="Times New Roman" w:hAnsi="Times New Roman"/>
          <w:sz w:val="13"/>
          <w:szCs w:val="13"/>
          <w:u w:val="single" w:color="auto"/>
          <w:color w:val="auto"/>
        </w:rPr>
        <w:t>Section 5.1(c)</w:t>
      </w:r>
      <w:r>
        <w:rPr>
          <w:rFonts w:ascii="Times New Roman" w:cs="Times New Roman" w:eastAsia="Times New Roman" w:hAnsi="Times New Roman"/>
          <w:sz w:val="13"/>
          <w:szCs w:val="13"/>
          <w:color w:val="auto"/>
        </w:rPr>
        <w:t>) to be satisfied by the End Date.</w:t>
      </w:r>
    </w:p>
    <w:p>
      <w:pPr>
        <w:spacing w:after="0" w:line="137" w:lineRule="exact"/>
        <w:rPr>
          <w:rFonts w:ascii="Times New Roman" w:cs="Times New Roman" w:eastAsia="Times New Roman" w:hAnsi="Times New Roman"/>
          <w:sz w:val="13"/>
          <w:szCs w:val="13"/>
          <w:color w:val="auto"/>
        </w:rPr>
      </w:pPr>
    </w:p>
    <w:p>
      <w:pPr>
        <w:jc w:val="both"/>
        <w:ind w:right="20" w:firstLine="932"/>
        <w:spacing w:after="0" w:line="252" w:lineRule="auto"/>
        <w:tabs>
          <w:tab w:leader="none" w:pos="1373"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Company Termination Fee due and payable by the Company under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payment of the Company Termination Fee will not relieve the Company from liability for any fraud or any intentional and material breach of this Agreement. Nothing in this </w:t>
      </w:r>
      <w:r>
        <w:rPr>
          <w:rFonts w:ascii="Times New Roman" w:cs="Times New Roman" w:eastAsia="Times New Roman" w:hAnsi="Times New Roman"/>
          <w:sz w:val="13"/>
          <w:szCs w:val="13"/>
          <w:u w:val="single" w:color="auto"/>
          <w:color w:val="auto"/>
        </w:rPr>
        <w:t>Section 6.3(d)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 xml:space="preserve"> shall limit the rights of Parent, Merger Sub or the Company under </w:t>
      </w:r>
      <w:r>
        <w:rPr>
          <w:rFonts w:ascii="Times New Roman" w:cs="Times New Roman" w:eastAsia="Times New Roman" w:hAnsi="Times New Roman"/>
          <w:sz w:val="13"/>
          <w:szCs w:val="13"/>
          <w:u w:val="single" w:color="auto"/>
          <w:color w:val="auto"/>
        </w:rPr>
        <w:t>Section 7.11</w:t>
      </w:r>
      <w:r>
        <w:rPr>
          <w:rFonts w:ascii="Times New Roman" w:cs="Times New Roman" w:eastAsia="Times New Roman" w:hAnsi="Times New Roman"/>
          <w:sz w:val="13"/>
          <w:szCs w:val="13"/>
          <w:color w:val="auto"/>
        </w:rPr>
        <w:t xml:space="preserve"> (or otherwise with respect to injunctive or similar relief), in each case prior to the termination of this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7" w:name="page88"/>
    <w:bookmarkEnd w:id="87"/>
    <w:p>
      <w:pPr>
        <w:jc w:val="both"/>
        <w:ind w:firstLine="932"/>
        <w:spacing w:after="0" w:line="253" w:lineRule="auto"/>
        <w:tabs>
          <w:tab w:leader="none" w:pos="1395"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Regulatory Termination Fee due and payable by Parent under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payment of the Regulatory Termination Fee will not relieve Parent from liability for any fraud or any intentional and material breach of this Agreement.</w:t>
      </w:r>
    </w:p>
    <w:p>
      <w:pPr>
        <w:spacing w:after="0" w:line="136" w:lineRule="exact"/>
        <w:rPr>
          <w:rFonts w:ascii="Times New Roman" w:cs="Times New Roman" w:eastAsia="Times New Roman" w:hAnsi="Times New Roman"/>
          <w:sz w:val="13"/>
          <w:szCs w:val="13"/>
          <w:color w:val="auto"/>
        </w:rPr>
      </w:pPr>
    </w:p>
    <w:p>
      <w:pPr>
        <w:jc w:val="both"/>
        <w:ind w:right="20" w:firstLine="932"/>
        <w:spacing w:after="0" w:line="257" w:lineRule="auto"/>
        <w:tabs>
          <w:tab w:leader="none" w:pos="1426"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w:t>
      </w:r>
    </w:p>
    <w:p>
      <w:pPr>
        <w:spacing w:after="0" w:line="133" w:lineRule="exact"/>
        <w:rPr>
          <w:rFonts w:ascii="Times New Roman" w:cs="Times New Roman" w:eastAsia="Times New Roman" w:hAnsi="Times New Roman"/>
          <w:sz w:val="13"/>
          <w:szCs w:val="13"/>
          <w:color w:val="auto"/>
        </w:rPr>
      </w:pPr>
    </w:p>
    <w:p>
      <w:pPr>
        <w:ind w:right="20" w:firstLine="932"/>
        <w:spacing w:after="0" w:line="278" w:lineRule="auto"/>
        <w:tabs>
          <w:tab w:leader="none" w:pos="1364"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acknowledges that the agreements contained in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are an integral part of the transactions contemplated by this Agreement, and that without these agreements the parties would not enter into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MISCELLANEOUS PROVISIONS</w:t>
      </w:r>
    </w:p>
    <w:p>
      <w:pPr>
        <w:spacing w:after="0" w:line="150"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after the Required Company Stockholder Vote has been received, no amendment shall be made which by applicable Legal Requirement or regulation of Nasdaq requires further approval of the stockholders of the Company without the further approval of such stockholders.</w:t>
      </w:r>
    </w:p>
    <w:p>
      <w:pPr>
        <w:spacing w:after="0" w:line="129"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7.2</w:t>
      </w:r>
      <w:r>
        <w:rPr>
          <w:sz w:val="20"/>
          <w:szCs w:val="20"/>
          <w:color w:val="auto"/>
        </w:rPr>
        <w:tab/>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8" w:name="page89"/>
    <w:bookmarkEnd w:id="88"/>
    <w:p>
      <w:pPr>
        <w:ind w:firstLine="932"/>
        <w:spacing w:after="0" w:line="322" w:lineRule="auto"/>
        <w:tabs>
          <w:tab w:leader="none" w:pos="133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spacing w:after="0" w:line="96" w:lineRule="exact"/>
        <w:rPr>
          <w:rFonts w:ascii="Times New Roman" w:cs="Times New Roman" w:eastAsia="Times New Roman" w:hAnsi="Times New Roman"/>
          <w:sz w:val="12"/>
          <w:szCs w:val="12"/>
          <w:color w:val="auto"/>
        </w:rPr>
      </w:pPr>
    </w:p>
    <w:p>
      <w:pPr>
        <w:jc w:val="both"/>
        <w:ind w:firstLine="932"/>
        <w:spacing w:after="0" w:line="264" w:lineRule="auto"/>
        <w:tabs>
          <w:tab w:leader="none" w:pos="1415"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29"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No Survival of Representations and Warranties</w:t>
      </w:r>
      <w:r>
        <w:rPr>
          <w:rFonts w:ascii="Times New Roman" w:cs="Times New Roman" w:eastAsia="Times New Roman" w:hAnsi="Times New Roman"/>
          <w:sz w:val="13"/>
          <w:szCs w:val="13"/>
          <w:color w:val="auto"/>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shall not limit any covenant or agreement contained in this Agreement that by its terms is to be performed in whole or in part after the Effective Time.</w:t>
      </w:r>
    </w:p>
    <w:p>
      <w:pPr>
        <w:spacing w:after="0" w:line="129"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3"/>
          <w:szCs w:val="13"/>
          <w:color w:val="auto"/>
        </w:rPr>
        <w:t>7.4</w:t>
      </w:r>
      <w:r>
        <w:rPr>
          <w:sz w:val="20"/>
          <w:szCs w:val="20"/>
          <w:color w:val="auto"/>
        </w:rPr>
        <w:tab/>
      </w:r>
      <w:r>
        <w:rPr>
          <w:rFonts w:ascii="Times New Roman" w:cs="Times New Roman" w:eastAsia="Times New Roman" w:hAnsi="Times New Roman"/>
          <w:sz w:val="12"/>
          <w:szCs w:val="12"/>
          <w:u w:val="single" w:color="auto"/>
          <w:color w:val="auto"/>
        </w:rPr>
        <w:t>Entire Agreement; Non-Reliance; Third-Party Beneficiaries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ind w:firstLine="932"/>
        <w:spacing w:after="0" w:line="278" w:lineRule="auto"/>
        <w:tabs>
          <w:tab w:leader="none" w:pos="1333"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w:t>
      </w:r>
    </w:p>
    <w:p>
      <w:pPr>
        <w:spacing w:after="0" w:line="120" w:lineRule="exact"/>
        <w:rPr>
          <w:rFonts w:ascii="Times New Roman" w:cs="Times New Roman" w:eastAsia="Times New Roman" w:hAnsi="Times New Roman"/>
          <w:sz w:val="13"/>
          <w:szCs w:val="13"/>
          <w:color w:val="auto"/>
        </w:rPr>
      </w:pPr>
    </w:p>
    <w:p>
      <w:pPr>
        <w:jc w:val="both"/>
        <w:ind w:firstLine="932"/>
        <w:spacing w:after="0" w:line="251" w:lineRule="auto"/>
        <w:tabs>
          <w:tab w:leader="none" w:pos="1412"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the generality of </w:t>
      </w:r>
      <w:r>
        <w:rPr>
          <w:rFonts w:ascii="Times New Roman" w:cs="Times New Roman" w:eastAsia="Times New Roman" w:hAnsi="Times New Roman"/>
          <w:sz w:val="13"/>
          <w:szCs w:val="13"/>
          <w:u w:val="single" w:color="auto"/>
          <w:color w:val="auto"/>
        </w:rPr>
        <w:t>Section 7.4(a)</w:t>
      </w:r>
      <w:r>
        <w:rPr>
          <w:rFonts w:ascii="Times New Roman" w:cs="Times New Roman" w:eastAsia="Times New Roman" w:hAnsi="Times New Roman"/>
          <w:sz w:val="13"/>
          <w:szCs w:val="13"/>
          <w:color w:val="auto"/>
        </w:rPr>
        <w:t xml:space="preserve">, except for the representations and warranties expressly contained in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and the certificate delivered pursuant to </w:t>
      </w:r>
      <w:r>
        <w:rPr>
          <w:rFonts w:ascii="Times New Roman" w:cs="Times New Roman" w:eastAsia="Times New Roman" w:hAnsi="Times New Roman"/>
          <w:sz w:val="13"/>
          <w:szCs w:val="13"/>
          <w:u w:val="single" w:color="auto"/>
          <w:color w:val="auto"/>
        </w:rPr>
        <w:t>Section 5.2(d)</w:t>
      </w:r>
      <w:r>
        <w:rPr>
          <w:rFonts w:ascii="Times New Roman" w:cs="Times New Roman" w:eastAsia="Times New Roman" w:hAnsi="Times New Roman"/>
          <w:sz w:val="13"/>
          <w:szCs w:val="13"/>
          <w:color w:val="auto"/>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Parent Subsidiary or any of their respective Representatives is relying on, and none of the foregoing has relied on, in connection with each of Parent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of this Agreement and the certificate delivered pursuant to </w:t>
      </w:r>
      <w:r>
        <w:rPr>
          <w:rFonts w:ascii="Times New Roman" w:cs="Times New Roman" w:eastAsia="Times New Roman" w:hAnsi="Times New Roman"/>
          <w:sz w:val="13"/>
          <w:szCs w:val="13"/>
          <w:u w:val="single" w:color="auto"/>
          <w:color w:val="auto"/>
        </w:rPr>
        <w:t>Section 5.2(d)</w:t>
      </w:r>
      <w:r>
        <w:rPr>
          <w:rFonts w:ascii="Times New Roman" w:cs="Times New Roman" w:eastAsia="Times New Roman" w:hAnsi="Times New Roman"/>
          <w:sz w:val="13"/>
          <w:szCs w:val="13"/>
          <w:color w:val="auto"/>
        </w:rPr>
        <w:t xml:space="preserve">, and that no Representative of the Company or any other Person has made or is making any such representations or warranties except for the representations and warranties expressly set forth in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of this Agreement and the certificate delivered pursuant to </w:t>
      </w:r>
      <w:r>
        <w:rPr>
          <w:rFonts w:ascii="Times New Roman" w:cs="Times New Roman" w:eastAsia="Times New Roman" w:hAnsi="Times New Roman"/>
          <w:sz w:val="13"/>
          <w:szCs w:val="13"/>
          <w:u w:val="single" w:color="auto"/>
          <w:color w:val="auto"/>
        </w:rPr>
        <w:t>Section 5.2(d)</w:t>
      </w:r>
      <w:r>
        <w:rPr>
          <w:rFonts w:ascii="Times New Roman" w:cs="Times New Roman" w:eastAsia="Times New Roman" w:hAnsi="Times New Roman"/>
          <w:sz w:val="13"/>
          <w:szCs w:val="13"/>
          <w:color w:val="auto"/>
        </w:rPr>
        <w:t>;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or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9" w:name="page90"/>
    <w:bookmarkEnd w:id="89"/>
    <w:p>
      <w:pPr>
        <w:jc w:val="both"/>
        <w:ind w:right="20" w:firstLine="932"/>
        <w:spacing w:after="0" w:line="251" w:lineRule="auto"/>
        <w:tabs>
          <w:tab w:leader="none" w:pos="1347"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the generality of </w:t>
      </w:r>
      <w:r>
        <w:rPr>
          <w:rFonts w:ascii="Times New Roman" w:cs="Times New Roman" w:eastAsia="Times New Roman" w:hAnsi="Times New Roman"/>
          <w:sz w:val="13"/>
          <w:szCs w:val="13"/>
          <w:u w:val="single" w:color="auto"/>
          <w:color w:val="auto"/>
        </w:rPr>
        <w:t>Section 7.4(a),</w:t>
      </w:r>
      <w:r>
        <w:rPr>
          <w:rFonts w:ascii="Times New Roman" w:cs="Times New Roman" w:eastAsia="Times New Roman" w:hAnsi="Times New Roman"/>
          <w:sz w:val="13"/>
          <w:szCs w:val="13"/>
          <w:color w:val="auto"/>
        </w:rPr>
        <w:t xml:space="preserve"> except for the representations and warranties expressly contained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the certificate delivered pursuant to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of this Agreement and the certificate delivered pursuant to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xml:space="preserve">, and that no Representative of Parent or any other Person has made or is making any such representations or warranties except for the representations and warranties expressly set forth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of this Agreement and the certificate delivered pursuant to </w:t>
      </w:r>
      <w:r>
        <w:rPr>
          <w:rFonts w:ascii="Times New Roman" w:cs="Times New Roman" w:eastAsia="Times New Roman" w:hAnsi="Times New Roman"/>
          <w:sz w:val="13"/>
          <w:szCs w:val="13"/>
          <w:u w:val="single" w:color="auto"/>
          <w:color w:val="auto"/>
        </w:rPr>
        <w:t>Section 5.3(d)</w:t>
      </w:r>
      <w:r>
        <w:rPr>
          <w:rFonts w:ascii="Times New Roman" w:cs="Times New Roman" w:eastAsia="Times New Roman" w:hAnsi="Times New Roman"/>
          <w:sz w:val="13"/>
          <w:szCs w:val="13"/>
          <w:color w:val="auto"/>
        </w:rPr>
        <w:t>; and (ii) without limiting the foregoing, the Company acknowledges and agrees that (x) none of Parent or Merger Sub has made and is not making any representations or warranties whatsoever regarding, (y) none of Parent, Merger Sub nor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w:t>
      </w:r>
    </w:p>
    <w:p>
      <w:pPr>
        <w:spacing w:after="0" w:line="144" w:lineRule="exact"/>
        <w:rPr>
          <w:rFonts w:ascii="Times New Roman" w:cs="Times New Roman" w:eastAsia="Times New Roman" w:hAnsi="Times New Roman"/>
          <w:sz w:val="13"/>
          <w:szCs w:val="13"/>
          <w:color w:val="auto"/>
        </w:rPr>
      </w:pPr>
    </w:p>
    <w:p>
      <w:pPr>
        <w:jc w:val="both"/>
        <w:ind w:firstLine="932"/>
        <w:spacing w:after="0" w:line="252" w:lineRule="auto"/>
        <w:tabs>
          <w:tab w:leader="none" w:pos="1396"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0" w:name="page91"/>
    <w:bookmarkEnd w:id="90"/>
    <w:p>
      <w:pPr>
        <w:ind w:left="1400" w:hanging="468"/>
        <w:spacing w:after="0"/>
        <w:tabs>
          <w:tab w:leader="none" w:pos="140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nothing in this </w:t>
      </w:r>
      <w:r>
        <w:rPr>
          <w:rFonts w:ascii="Times New Roman" w:cs="Times New Roman" w:eastAsia="Times New Roman" w:hAnsi="Times New Roman"/>
          <w:sz w:val="13"/>
          <w:szCs w:val="13"/>
          <w:u w:val="single" w:color="auto"/>
          <w:color w:val="auto"/>
        </w:rPr>
        <w:t>Section 7.4</w:t>
      </w:r>
      <w:r>
        <w:rPr>
          <w:rFonts w:ascii="Times New Roman" w:cs="Times New Roman" w:eastAsia="Times New Roman" w:hAnsi="Times New Roman"/>
          <w:sz w:val="13"/>
          <w:szCs w:val="13"/>
          <w:color w:val="auto"/>
        </w:rPr>
        <w:t xml:space="preserve"> shall restrain, limit, restrict or prohibit any claim based on fraud.</w:t>
      </w:r>
    </w:p>
    <w:p>
      <w:pPr>
        <w:spacing w:after="0" w:line="161"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w:t>
      </w: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firstLine="932"/>
        <w:spacing w:after="0" w:line="254" w:lineRule="auto"/>
        <w:tabs>
          <w:tab w:leader="none" w:pos="13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made under, and shall be construed and enforced in accordance with, the laws of the State of Delaware applicable to agreements made and to be performed solely therein (including the procedural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37" w:lineRule="exact"/>
        <w:rPr>
          <w:rFonts w:ascii="Times New Roman" w:cs="Times New Roman" w:eastAsia="Times New Roman" w:hAnsi="Times New Roman"/>
          <w:sz w:val="13"/>
          <w:szCs w:val="13"/>
          <w:color w:val="auto"/>
        </w:rPr>
      </w:pPr>
    </w:p>
    <w:p>
      <w:pPr>
        <w:jc w:val="both"/>
        <w:ind w:firstLine="932"/>
        <w:spacing w:after="0" w:line="259" w:lineRule="auto"/>
        <w:tabs>
          <w:tab w:leader="none" w:pos="1373"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3"/>
          <w:szCs w:val="13"/>
          <w:u w:val="single" w:color="auto"/>
          <w:color w:val="auto"/>
        </w:rPr>
        <w:t>Section 7.5</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firstLine="467"/>
        <w:spacing w:after="0" w:line="278" w:lineRule="auto"/>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Payment of Expenses</w:t>
      </w:r>
      <w:r>
        <w:rPr>
          <w:rFonts w:ascii="Times New Roman" w:cs="Times New Roman" w:eastAsia="Times New Roman" w:hAnsi="Times New Roman"/>
          <w:sz w:val="13"/>
          <w:szCs w:val="13"/>
          <w:color w:val="auto"/>
        </w:rPr>
        <w:t xml:space="preserve">. Whether or not the Merger is consummated, each party hereto shall pay its own expenses incident to preparing for, entering into and carrying out this Agreement and the transactions contemplated hereby;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Parent shall pay all filing fees under the HSR Act and under any other applicable Antitrust Laws.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1" w:name="page92"/>
    <w:bookmarkEnd w:id="91"/>
    <w:p>
      <w:pPr>
        <w:jc w:val="both"/>
        <w:ind w:firstLine="467"/>
        <w:spacing w:after="0" w:line="253"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Assignability; Parties in Interest</w:t>
      </w:r>
      <w:r>
        <w:rPr>
          <w:rFonts w:ascii="Times New Roman" w:cs="Times New Roman" w:eastAsia="Times New Roman" w:hAnsi="Times New Roman"/>
          <w:sz w:val="13"/>
          <w:szCs w:val="13"/>
          <w:color w:val="auto"/>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Except for (i) the provisions of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 xml:space="preserve"> (which, from and after the Effective Time shall be for the benefit of the Indemnified Parties and the other Persons identified therein), (iii) </w:t>
      </w:r>
      <w:r>
        <w:rPr>
          <w:rFonts w:ascii="Times New Roman" w:cs="Times New Roman" w:eastAsia="Times New Roman" w:hAnsi="Times New Roman"/>
          <w:sz w:val="13"/>
          <w:szCs w:val="13"/>
          <w:u w:val="single" w:color="auto"/>
          <w:color w:val="auto"/>
        </w:rPr>
        <w:t>Section 7.4(d)</w:t>
      </w:r>
      <w:r>
        <w:rPr>
          <w:rFonts w:ascii="Times New Roman" w:cs="Times New Roman" w:eastAsia="Times New Roman" w:hAnsi="Times New Roman"/>
          <w:sz w:val="13"/>
          <w:szCs w:val="13"/>
          <w:color w:val="auto"/>
        </w:rPr>
        <w:t xml:space="preserve"> (which, prior to the Effective Time, shall be for the benefit of Persons who are holders of shares of Company Common Stock immediately prior to the Effective Time and holders of Company RSUs, Company PSUs and Company MSUs to the extent provided therein), and (iv) </w:t>
      </w:r>
      <w:r>
        <w:rPr>
          <w:rFonts w:ascii="Times New Roman" w:cs="Times New Roman" w:eastAsia="Times New Roman" w:hAnsi="Times New Roman"/>
          <w:sz w:val="13"/>
          <w:szCs w:val="13"/>
          <w:u w:val="single" w:color="auto"/>
          <w:color w:val="auto"/>
        </w:rPr>
        <w:t>Section 4.9(c)</w:t>
      </w:r>
      <w:r>
        <w:rPr>
          <w:rFonts w:ascii="Times New Roman" w:cs="Times New Roman" w:eastAsia="Times New Roman" w:hAnsi="Times New Roman"/>
          <w:sz w:val="13"/>
          <w:szCs w:val="13"/>
          <w:color w:val="auto"/>
        </w:rPr>
        <w:t xml:space="preserve"> (which shall be for the benefit of the Continuing Employees who are parties to Change of Control Agreements, and their respective heirs, executors, administrators, legal representatives, successors and assigns, to the extent provided therein), nothing in this Agreement (including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express or implied, is intended to or shall confer upon any Person, other than the parties hereto, any right, benefit or remedy of any nature.</w:t>
      </w:r>
    </w:p>
    <w:p>
      <w:pPr>
        <w:spacing w:after="0" w:line="140" w:lineRule="exact"/>
        <w:rPr>
          <w:sz w:val="20"/>
          <w:szCs w:val="20"/>
          <w:color w:val="auto"/>
        </w:rPr>
      </w:pPr>
    </w:p>
    <w:p>
      <w:pPr>
        <w:jc w:val="both"/>
        <w:ind w:firstLine="467"/>
        <w:spacing w:after="0" w:line="257" w:lineRule="auto"/>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xml:space="preserve">, no “bounce back” or similar message of non-delivery is received with respect thereto (but excluding any “out of office” or similar automatic response)),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such notices, requests, demands and other communications are delivered to the address set forth below, or to such other address as any party shall provide by like notice to the other parties to this Agreement: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Parent or Merger Sub:</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ON Semiconductor Corporation</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5701 N. Pima Road</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Scottsdale, Arizona 85250</w:t>
      </w:r>
    </w:p>
    <w:tbl>
      <w:tblPr>
        <w:tblLayout w:type="fixed"/>
        <w:tblInd w:w="1140" w:type="dxa"/>
        <w:tblCellMar>
          <w:top w:w="0" w:type="dxa"/>
          <w:left w:w="0" w:type="dxa"/>
          <w:bottom w:w="0" w:type="dxa"/>
          <w:right w:w="0" w:type="dxa"/>
        </w:tblCellMar>
      </w:tblPr>
      <w:tr>
        <w:trPr>
          <w:trHeight w:val="149"/>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Attention:</w:t>
            </w:r>
          </w:p>
        </w:tc>
        <w:tc>
          <w:tcPr>
            <w:tcW w:w="2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Chief Legal Officer</w:t>
            </w:r>
          </w:p>
        </w:tc>
        <w:tc>
          <w:tcPr>
            <w:tcW w:w="0" w:type="dxa"/>
            <w:vAlign w:val="bottom"/>
          </w:tcPr>
          <w:p>
            <w:pPr>
              <w:spacing w:after="0"/>
              <w:rPr>
                <w:sz w:val="1"/>
                <w:szCs w:val="1"/>
                <w:color w:val="auto"/>
              </w:rPr>
            </w:pPr>
          </w:p>
        </w:tc>
      </w:tr>
      <w:tr>
        <w:trPr>
          <w:trHeight w:val="156"/>
        </w:trPr>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Email:</w:t>
            </w:r>
          </w:p>
        </w:tc>
        <w:tc>
          <w:tcPr>
            <w:tcW w:w="236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9"/>
              </w:rPr>
              <w:t>As set forth in Section 7.8 of the Parent</w:t>
            </w:r>
          </w:p>
        </w:tc>
        <w:tc>
          <w:tcPr>
            <w:tcW w:w="0" w:type="dxa"/>
            <w:vAlign w:val="bottom"/>
          </w:tcPr>
          <w:p>
            <w:pPr>
              <w:spacing w:after="0"/>
              <w:rPr>
                <w:sz w:val="1"/>
                <w:szCs w:val="1"/>
                <w:color w:val="auto"/>
              </w:rPr>
            </w:pPr>
          </w:p>
        </w:tc>
      </w:tr>
      <w:tr>
        <w:trPr>
          <w:trHeight w:val="90"/>
        </w:trPr>
        <w:tc>
          <w:tcPr>
            <w:tcW w:w="820" w:type="dxa"/>
            <w:vAlign w:val="bottom"/>
            <w:vMerge w:val="continue"/>
          </w:tcPr>
          <w:p>
            <w:pPr>
              <w:spacing w:after="0"/>
              <w:rPr>
                <w:sz w:val="7"/>
                <w:szCs w:val="7"/>
                <w:color w:val="auto"/>
              </w:rPr>
            </w:pPr>
          </w:p>
        </w:tc>
        <w:tc>
          <w:tcPr>
            <w:tcW w:w="23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Disclosure Schedule</w:t>
            </w:r>
          </w:p>
        </w:tc>
        <w:tc>
          <w:tcPr>
            <w:tcW w:w="0" w:type="dxa"/>
            <w:vAlign w:val="bottom"/>
          </w:tcPr>
          <w:p>
            <w:pPr>
              <w:spacing w:after="0"/>
              <w:rPr>
                <w:sz w:val="1"/>
                <w:szCs w:val="1"/>
                <w:color w:val="auto"/>
              </w:rPr>
            </w:pPr>
          </w:p>
        </w:tc>
      </w:tr>
      <w:tr>
        <w:trPr>
          <w:trHeight w:val="78"/>
        </w:trPr>
        <w:tc>
          <w:tcPr>
            <w:tcW w:w="82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Skadden, Arps, Slate, Meagher &amp; Flom LLP</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525 University Avenue, Suite 1400</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Palo Alto, CA 94301</w:t>
      </w:r>
    </w:p>
    <w:tbl>
      <w:tblPr>
        <w:tblLayout w:type="fixed"/>
        <w:tblInd w:w="1140" w:type="dxa"/>
        <w:tblCellMar>
          <w:top w:w="0" w:type="dxa"/>
          <w:left w:w="0" w:type="dxa"/>
          <w:bottom w:w="0" w:type="dxa"/>
          <w:right w:w="0" w:type="dxa"/>
        </w:tblCellMar>
      </w:tblP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Attention:</w:t>
            </w:r>
          </w:p>
        </w:tc>
        <w:tc>
          <w:tcPr>
            <w:tcW w:w="22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Michael J. Mies</w:t>
            </w:r>
          </w:p>
        </w:tc>
        <w:tc>
          <w:tcPr>
            <w:tcW w:w="0" w:type="dxa"/>
            <w:vAlign w:val="bottom"/>
          </w:tcPr>
          <w:p>
            <w:pPr>
              <w:spacing w:after="0"/>
              <w:rPr>
                <w:sz w:val="1"/>
                <w:szCs w:val="1"/>
                <w:color w:val="auto"/>
              </w:rPr>
            </w:pPr>
          </w:p>
        </w:tc>
      </w:tr>
      <w:tr>
        <w:trPr>
          <w:trHeight w:val="90"/>
        </w:trPr>
        <w:tc>
          <w:tcPr>
            <w:tcW w:w="820" w:type="dxa"/>
            <w:vAlign w:val="bottom"/>
            <w:vMerge w:val="continue"/>
          </w:tcPr>
          <w:p>
            <w:pPr>
              <w:spacing w:after="0"/>
              <w:rPr>
                <w:sz w:val="7"/>
                <w:szCs w:val="7"/>
                <w:color w:val="auto"/>
              </w:rPr>
            </w:pPr>
          </w:p>
        </w:tc>
        <w:tc>
          <w:tcPr>
            <w:tcW w:w="22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Christopher P. Hammond</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Email:</w:t>
            </w:r>
          </w:p>
        </w:tc>
        <w:tc>
          <w:tcPr>
            <w:tcW w:w="22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michael.mies@skadden.com</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8"/>
              </w:rPr>
              <w:t>christopher.hammond@skadden.com</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2" w:name="page93"/>
    <w:bookmarkEnd w:id="92"/>
    <w:p>
      <w:pPr>
        <w:ind w:left="9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Synaptics Incorporated</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1109 McKay Drive</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San Jose, CA 95131</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Attention:</w:t>
            </w: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General Counsel</w:t>
            </w:r>
          </w:p>
        </w:tc>
        <w:tc>
          <w:tcPr>
            <w:tcW w:w="0" w:type="dxa"/>
            <w:vAlign w:val="bottom"/>
          </w:tcPr>
          <w:p>
            <w:pPr>
              <w:spacing w:after="0"/>
              <w:rPr>
                <w:sz w:val="1"/>
                <w:szCs w:val="1"/>
                <w:color w:val="auto"/>
              </w:rPr>
            </w:pPr>
          </w:p>
        </w:tc>
      </w:tr>
      <w:tr>
        <w:trPr>
          <w:trHeight w:val="156"/>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Email:</w:t>
            </w: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As set forth in Section 7.8 of the Company</w:t>
            </w:r>
          </w:p>
        </w:tc>
        <w:tc>
          <w:tcPr>
            <w:tcW w:w="0" w:type="dxa"/>
            <w:vAlign w:val="bottom"/>
          </w:tcPr>
          <w:p>
            <w:pPr>
              <w:spacing w:after="0"/>
              <w:rPr>
                <w:sz w:val="1"/>
                <w:szCs w:val="1"/>
                <w:color w:val="auto"/>
              </w:rPr>
            </w:pPr>
          </w:p>
        </w:tc>
      </w:tr>
      <w:tr>
        <w:trPr>
          <w:trHeight w:val="90"/>
        </w:trPr>
        <w:tc>
          <w:tcPr>
            <w:tcW w:w="1080" w:type="dxa"/>
            <w:vAlign w:val="bottom"/>
            <w:vMerge w:val="continue"/>
          </w:tcPr>
          <w:p>
            <w:pPr>
              <w:spacing w:after="0"/>
              <w:rPr>
                <w:sz w:val="7"/>
                <w:szCs w:val="7"/>
                <w:color w:val="auto"/>
              </w:rPr>
            </w:pPr>
          </w:p>
        </w:tc>
        <w:tc>
          <w:tcPr>
            <w:tcW w:w="22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Disclosure Schedule</w:t>
            </w:r>
          </w:p>
        </w:tc>
        <w:tc>
          <w:tcPr>
            <w:tcW w:w="0" w:type="dxa"/>
            <w:vAlign w:val="bottom"/>
          </w:tcPr>
          <w:p>
            <w:pPr>
              <w:spacing w:after="0"/>
              <w:rPr>
                <w:sz w:val="1"/>
                <w:szCs w:val="1"/>
                <w:color w:val="auto"/>
              </w:rPr>
            </w:pPr>
          </w:p>
        </w:tc>
      </w:tr>
      <w:tr>
        <w:trPr>
          <w:trHeight w:val="78"/>
        </w:trPr>
        <w:tc>
          <w:tcPr>
            <w:tcW w:w="108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Baker &amp; McKenzie LLP</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600 Hansen Way</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Palo Alto, CA 94304</w:t>
      </w:r>
    </w:p>
    <w:p>
      <w:pPr>
        <w:spacing w:after="0" w:line="6" w:lineRule="exact"/>
        <w:rPr>
          <w:sz w:val="20"/>
          <w:szCs w:val="20"/>
          <w:color w:val="auto"/>
        </w:rPr>
      </w:pPr>
    </w:p>
    <w:p>
      <w:pPr>
        <w:ind w:left="1140"/>
        <w:spacing w:after="0"/>
        <w:tabs>
          <w:tab w:leader="none" w:pos="224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Leif King; Derek Liu; Aarthi Belani; Piotr Korzynski</w:t>
      </w:r>
    </w:p>
    <w:p>
      <w:pPr>
        <w:spacing w:after="0" w:line="6" w:lineRule="exact"/>
        <w:rPr>
          <w:sz w:val="20"/>
          <w:szCs w:val="20"/>
          <w:color w:val="auto"/>
        </w:rPr>
      </w:pPr>
    </w:p>
    <w:p>
      <w:pPr>
        <w:ind w:left="1140"/>
        <w:spacing w:after="0"/>
        <w:tabs>
          <w:tab w:leader="none" w:pos="224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3"/>
          <w:szCs w:val="13"/>
          <w:color w:val="auto"/>
        </w:rPr>
        <w:t>leif.king@bakermckenzie.com</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color w:val="auto"/>
        </w:rPr>
        <w:t>derek.liu@bakermckenzie.com</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color w:val="auto"/>
        </w:rPr>
        <w:t>aarthi.belani@bakermckenzie.com</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color w:val="auto"/>
        </w:rPr>
        <w:t>piotr.korzynski@bakermckenzie.com</w:t>
      </w:r>
    </w:p>
    <w:p>
      <w:pPr>
        <w:spacing w:after="0" w:line="150" w:lineRule="exact"/>
        <w:rPr>
          <w:sz w:val="20"/>
          <w:szCs w:val="20"/>
          <w:color w:val="auto"/>
        </w:rPr>
      </w:pPr>
    </w:p>
    <w:p>
      <w:pPr>
        <w:jc w:val="both"/>
        <w:ind w:firstLine="467"/>
        <w:spacing w:after="0" w:line="255" w:lineRule="auto"/>
        <w:rPr>
          <w:sz w:val="20"/>
          <w:szCs w:val="20"/>
          <w:color w:val="auto"/>
        </w:rPr>
      </w:pPr>
      <w:r>
        <w:rPr>
          <w:rFonts w:ascii="Times New Roman" w:cs="Times New Roman" w:eastAsia="Times New Roman" w:hAnsi="Times New Roman"/>
          <w:sz w:val="13"/>
          <w:szCs w:val="13"/>
          <w:color w:val="auto"/>
        </w:rPr>
        <w:t xml:space="preserve">7.9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36"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spacing w:after="0" w:line="129" w:lineRule="exact"/>
        <w:rPr>
          <w:sz w:val="20"/>
          <w:szCs w:val="20"/>
          <w:color w:val="auto"/>
        </w:rPr>
      </w:pPr>
    </w:p>
    <w:p>
      <w:pPr>
        <w:jc w:val="both"/>
        <w:ind w:firstLine="467"/>
        <w:spacing w:after="0" w:line="254" w:lineRule="auto"/>
        <w:rPr>
          <w:sz w:val="20"/>
          <w:szCs w:val="20"/>
          <w:color w:val="auto"/>
        </w:rPr>
      </w:pPr>
      <w:r>
        <w:rPr>
          <w:rFonts w:ascii="Times New Roman" w:cs="Times New Roman" w:eastAsia="Times New Roman" w:hAnsi="Times New Roman"/>
          <w:sz w:val="13"/>
          <w:szCs w:val="13"/>
          <w:color w:val="auto"/>
        </w:rPr>
        <w:t xml:space="preserve">7.11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3"/>
          <w:szCs w:val="13"/>
          <w:u w:val="single" w:color="auto"/>
          <w:color w:val="auto"/>
        </w:rPr>
        <w:t>Section 7.11</w:t>
      </w:r>
      <w:r>
        <w:rPr>
          <w:rFonts w:ascii="Times New Roman" w:cs="Times New Roman" w:eastAsia="Times New Roman" w:hAnsi="Times New Roman"/>
          <w:sz w:val="13"/>
          <w:szCs w:val="13"/>
          <w:color w:val="auto"/>
        </w:rPr>
        <w:t>, and each party hereto irrevocably waives any right it may have to require the obtaining, furnishing or posting of any such bond or similar instrument.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3" w:name="page94"/>
    <w:bookmarkEnd w:id="93"/>
    <w:p>
      <w:pPr>
        <w:ind w:left="460"/>
        <w:spacing w:after="0"/>
        <w:tabs>
          <w:tab w:leader="none" w:pos="940" w:val="left"/>
        </w:tabs>
        <w:rPr>
          <w:sz w:val="20"/>
          <w:szCs w:val="20"/>
          <w:color w:val="auto"/>
        </w:rPr>
      </w:pPr>
      <w:r>
        <w:rPr>
          <w:rFonts w:ascii="Times New Roman" w:cs="Times New Roman" w:eastAsia="Times New Roman" w:hAnsi="Times New Roman"/>
          <w:sz w:val="13"/>
          <w:szCs w:val="13"/>
          <w:color w:val="auto"/>
        </w:rPr>
        <w:t>7.12</w:t>
      </w:r>
      <w:r>
        <w:rPr>
          <w:sz w:val="20"/>
          <w:szCs w:val="20"/>
          <w:color w:val="auto"/>
        </w:rPr>
        <w:tab/>
      </w:r>
      <w:r>
        <w:rPr>
          <w:rFonts w:ascii="Times New Roman" w:cs="Times New Roman" w:eastAsia="Times New Roman" w:hAnsi="Times New Roman"/>
          <w:sz w:val="12"/>
          <w:szCs w:val="12"/>
          <w:u w:val="single" w:color="auto"/>
          <w:color w:val="auto"/>
        </w:rPr>
        <w:t>Disclosure Schedules</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80" w:lineRule="auto"/>
        <w:tabs>
          <w:tab w:leader="none" w:pos="1389"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Disclosure Schedule has been arranged, for purposes of convenience only, in separate sections and subsections corresponding to the Sections and subsections of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and, as applicable,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(each section of which qualifies the correspondingly numbered representation and warranty or covenant to the extent specified therein;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spacing w:after="0" w:line="123" w:lineRule="exact"/>
        <w:rPr>
          <w:rFonts w:ascii="Times New Roman" w:cs="Times New Roman" w:eastAsia="Times New Roman" w:hAnsi="Times New Roman"/>
          <w:sz w:val="12"/>
          <w:szCs w:val="12"/>
          <w:color w:val="auto"/>
        </w:rPr>
      </w:pPr>
    </w:p>
    <w:p>
      <w:pPr>
        <w:jc w:val="both"/>
        <w:ind w:right="20" w:firstLine="932"/>
        <w:spacing w:after="0" w:line="255" w:lineRule="auto"/>
        <w:tabs>
          <w:tab w:leader="none" w:pos="1364"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Parent Disclosure Schedule has been arranged, for purposes of convenience only, in separate sections and subsections corresponding to the Sections and subsections of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as applicable,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(each section of which qualifies the correspondingly numbered representation and warranty or covenant to the extent specified therein;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spacing w:after="0" w:line="136"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3"/>
          <w:szCs w:val="13"/>
          <w:color w:val="auto"/>
        </w:rPr>
        <w:t>7.13</w:t>
      </w:r>
      <w:r>
        <w:rPr>
          <w:sz w:val="20"/>
          <w:szCs w:val="20"/>
          <w:color w:val="auto"/>
        </w:rPr>
        <w:tab/>
      </w:r>
      <w:r>
        <w:rPr>
          <w:rFonts w:ascii="Times New Roman" w:cs="Times New Roman" w:eastAsia="Times New Roman" w:hAnsi="Times New Roman"/>
          <w:sz w:val="12"/>
          <w:szCs w:val="12"/>
          <w:u w:val="single" w:color="auto"/>
          <w:color w:val="auto"/>
        </w:rPr>
        <w:t>Construction</w:t>
      </w:r>
      <w:r>
        <w:rPr>
          <w:rFonts w:ascii="Times New Roman" w:cs="Times New Roman" w:eastAsia="Times New Roman" w:hAnsi="Times New Roman"/>
          <w:sz w:val="12"/>
          <w:szCs w:val="12"/>
          <w:color w:val="auto"/>
        </w:rPr>
        <w:t>.</w:t>
      </w:r>
    </w:p>
    <w:p>
      <w:pPr>
        <w:spacing w:after="0" w:line="162" w:lineRule="exact"/>
        <w:rPr>
          <w:sz w:val="20"/>
          <w:szCs w:val="20"/>
          <w:color w:val="auto"/>
        </w:rPr>
      </w:pPr>
    </w:p>
    <w:p>
      <w:pPr>
        <w:jc w:val="both"/>
        <w:ind w:right="20" w:firstLine="932"/>
        <w:spacing w:after="0" w:line="264" w:lineRule="auto"/>
        <w:tabs>
          <w:tab w:leader="none" w:pos="146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29"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agree that any rule of construction to the effect that ambiguities are to be resolved against the drafting party shall not be applied in the construction or interpretation of this</w:t>
      </w:r>
    </w:p>
    <w:p>
      <w:pPr>
        <w:spacing w:after="0" w:line="1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w:t>
      </w:r>
    </w:p>
    <w:p>
      <w:pPr>
        <w:spacing w:after="0" w:line="149" w:lineRule="exact"/>
        <w:rPr>
          <w:rFonts w:ascii="Times New Roman" w:cs="Times New Roman" w:eastAsia="Times New Roman" w:hAnsi="Times New Roman"/>
          <w:sz w:val="13"/>
          <w:szCs w:val="13"/>
          <w:color w:val="auto"/>
        </w:rPr>
      </w:pPr>
    </w:p>
    <w:p>
      <w:pPr>
        <w:jc w:val="both"/>
        <w:ind w:right="20" w:firstLine="932"/>
        <w:spacing w:after="0" w:line="264" w:lineRule="auto"/>
        <w:tabs>
          <w:tab w:leader="none" w:pos="135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29" w:lineRule="exact"/>
        <w:rPr>
          <w:rFonts w:ascii="Times New Roman" w:cs="Times New Roman" w:eastAsia="Times New Roman" w:hAnsi="Times New Roman"/>
          <w:sz w:val="13"/>
          <w:szCs w:val="13"/>
          <w:color w:val="auto"/>
        </w:rPr>
      </w:pPr>
    </w:p>
    <w:p>
      <w:pPr>
        <w:ind w:left="1400" w:hanging="468"/>
        <w:spacing w:after="0"/>
        <w:tabs>
          <w:tab w:leader="none" w:pos="14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any reference to a Legal Requirement shall include any rules and regulations promulgated thereunder.</w:t>
      </w:r>
    </w:p>
    <w:p>
      <w:pPr>
        <w:spacing w:after="0" w:line="161" w:lineRule="exact"/>
        <w:rPr>
          <w:rFonts w:ascii="Times New Roman" w:cs="Times New Roman" w:eastAsia="Times New Roman" w:hAnsi="Times New Roman"/>
          <w:sz w:val="13"/>
          <w:szCs w:val="13"/>
          <w:color w:val="auto"/>
        </w:rPr>
      </w:pPr>
    </w:p>
    <w:p>
      <w:pPr>
        <w:ind w:firstLine="932"/>
        <w:spacing w:after="0" w:line="278" w:lineRule="auto"/>
        <w:tabs>
          <w:tab w:leader="none" w:pos="1509"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indicated, all references in this Agreement to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Exhibits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Annexes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Schedules</w:t>
      </w:r>
      <w:r>
        <w:rPr>
          <w:rFonts w:ascii="Times New Roman" w:cs="Times New Roman" w:eastAsia="Times New Roman" w:hAnsi="Times New Roman"/>
          <w:sz w:val="13"/>
          <w:szCs w:val="13"/>
          <w:color w:val="auto"/>
        </w:rPr>
        <w:t>” are intended to refer to Sections of this Agreement and Exhibits, Annexes and Schedules to this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4" w:name="page95"/>
    <w:bookmarkEnd w:id="94"/>
    <w:p>
      <w:pPr>
        <w:ind w:left="1382" w:hanging="448"/>
        <w:spacing w:after="0"/>
        <w:tabs>
          <w:tab w:leader="none" w:pos="1382"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in this Agreement to “$” are intended to refer to United States dollars.</w:t>
      </w:r>
    </w:p>
    <w:p>
      <w:pPr>
        <w:spacing w:after="0" w:line="161" w:lineRule="exact"/>
        <w:rPr>
          <w:rFonts w:ascii="Times New Roman" w:cs="Times New Roman" w:eastAsia="Times New Roman" w:hAnsi="Times New Roman"/>
          <w:sz w:val="13"/>
          <w:szCs w:val="13"/>
          <w:color w:val="auto"/>
        </w:rPr>
      </w:pPr>
    </w:p>
    <w:p>
      <w:pPr>
        <w:jc w:val="both"/>
        <w:ind w:left="2" w:firstLine="932"/>
        <w:spacing w:after="0" w:line="259" w:lineRule="auto"/>
        <w:tabs>
          <w:tab w:leader="none" w:pos="1437"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statement in the Agreement to the effect that any information, document or other material has been “made available” by the Company shall mean that such information, document or material was, at least twenty-four (24) hours prior to the date of this Agreement: (a) uploaded to the virtual data room maintained by the Company in connection with the transactions contemplated by the Agreement,</w:t>
      </w:r>
    </w:p>
    <w:p>
      <w:pPr>
        <w:jc w:val="both"/>
        <w:ind w:left="2" w:right="20" w:hanging="2"/>
        <w:spacing w:after="0" w:line="252" w:lineRule="auto"/>
        <w:tabs>
          <w:tab w:leader="none" w:pos="192"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 Representatives).</w:t>
      </w:r>
    </w:p>
    <w:p>
      <w:pPr>
        <w:spacing w:after="0" w:line="137" w:lineRule="exact"/>
        <w:rPr>
          <w:rFonts w:ascii="Times New Roman" w:cs="Times New Roman" w:eastAsia="Times New Roman" w:hAnsi="Times New Roman"/>
          <w:sz w:val="13"/>
          <w:szCs w:val="13"/>
          <w:color w:val="auto"/>
        </w:rPr>
      </w:pPr>
    </w:p>
    <w:p>
      <w:pPr>
        <w:ind w:left="2" w:right="20" w:firstLine="932"/>
        <w:spacing w:after="0" w:line="278" w:lineRule="auto"/>
        <w:tabs>
          <w:tab w:leader="none" w:pos="1408" w:val="left"/>
        </w:tabs>
        <w:numPr>
          <w:ilvl w:val="1"/>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pacing w:after="0" w:line="28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executed as of the date first above written.</w:t>
      </w:r>
    </w:p>
    <w:p>
      <w:pPr>
        <w:spacing w:after="0" w:line="16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ON SEMICONDUCTOR CORPORATION</w:t>
      </w:r>
    </w:p>
    <w:p>
      <w:pPr>
        <w:spacing w:after="0" w:line="164" w:lineRule="exact"/>
        <w:rPr>
          <w:sz w:val="20"/>
          <w:szCs w:val="20"/>
          <w:color w:val="auto"/>
        </w:rPr>
      </w:pPr>
    </w:p>
    <w:tbl>
      <w:tblPr>
        <w:tblLayout w:type="fixed"/>
        <w:tblInd w:w="5180" w:type="dxa"/>
        <w:tblCellMar>
          <w:top w:w="0" w:type="dxa"/>
          <w:left w:w="0" w:type="dxa"/>
          <w:bottom w:w="0" w:type="dxa"/>
          <w:right w:w="0" w:type="dxa"/>
        </w:tblCellMar>
      </w:tblP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Hassane El-Khoury</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Hassane El-Khoury</w:t>
            </w:r>
          </w:p>
        </w:tc>
      </w:t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311"/>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SONIC ACQUISITION CORP.</w:t>
            </w:r>
          </w:p>
        </w:tc>
      </w:tr>
      <w:tr>
        <w:trPr>
          <w:trHeight w:val="312"/>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Paul Dutton</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Paul Dutton</w:t>
            </w:r>
          </w:p>
        </w:tc>
      </w:t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Senior Vice President, Legal and Secretary</w:t>
            </w:r>
          </w:p>
        </w:tc>
      </w:tr>
    </w:tbl>
    <w:p>
      <w:pPr>
        <w:spacing w:after="0" w:line="1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[Signature Page to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92075</wp:posOffset>
            </wp:positionV>
            <wp:extent cx="7170420" cy="12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executed as of the date first above written.</w:t>
      </w:r>
    </w:p>
    <w:p>
      <w:pPr>
        <w:spacing w:after="0" w:line="16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SYNAPTICS INCORPORATED</w:t>
      </w:r>
    </w:p>
    <w:p>
      <w:pPr>
        <w:spacing w:after="0" w:line="164" w:lineRule="exact"/>
        <w:rPr>
          <w:sz w:val="20"/>
          <w:szCs w:val="20"/>
          <w:color w:val="auto"/>
        </w:rPr>
      </w:pPr>
    </w:p>
    <w:tbl>
      <w:tblPr>
        <w:tblLayout w:type="fixed"/>
        <w:tblInd w:w="5180" w:type="dxa"/>
        <w:tblCellMar>
          <w:top w:w="0" w:type="dxa"/>
          <w:left w:w="0" w:type="dxa"/>
          <w:bottom w:w="0" w:type="dxa"/>
          <w:right w:w="0" w:type="dxa"/>
        </w:tblCellMar>
      </w:tblP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Rahul Patel</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Name:</w:t>
            </w:r>
          </w:p>
        </w:tc>
        <w:tc>
          <w:tcPr>
            <w:tcW w:w="50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Rahul Patel</w:t>
            </w:r>
          </w:p>
        </w:tc>
      </w:t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1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[Signature Page to Agreement and 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92075</wp:posOffset>
            </wp:positionV>
            <wp:extent cx="7170420" cy="12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0840"/>
          </w:cols>
          <w:pgMar w:left="760" w:top="127" w:right="299" w:bottom="1440" w:gutter="0" w:footer="0" w:header="0"/>
        </w:sectPr>
      </w:pPr>
    </w:p>
    <w:bookmarkStart w:id="97" w:name="page98"/>
    <w:bookmarkEnd w:id="97"/>
    <w:p>
      <w:pPr>
        <w:ind w:left="5320"/>
        <w:spacing w:after="0"/>
        <w:rPr>
          <w:sz w:val="20"/>
          <w:szCs w:val="20"/>
          <w:color w:val="auto"/>
        </w:rPr>
      </w:pPr>
      <w:r>
        <w:rPr>
          <w:rFonts w:ascii="Times New Roman" w:cs="Times New Roman" w:eastAsia="Times New Roman" w:hAnsi="Times New Roman"/>
          <w:sz w:val="13"/>
          <w:szCs w:val="13"/>
          <w:u w:val="single" w:color="auto"/>
          <w:color w:val="auto"/>
        </w:rPr>
        <w:t>EXHIBIT A</w:t>
      </w:r>
    </w:p>
    <w:p>
      <w:pPr>
        <w:spacing w:after="0" w:line="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xml:space="preserve">For purposes of the Agreement (including this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62"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Acquisition Proposal</w:t>
      </w:r>
      <w:r>
        <w:rPr>
          <w:rFonts w:ascii="Times New Roman" w:cs="Times New Roman" w:eastAsia="Times New Roman" w:hAnsi="Times New Roman"/>
          <w:sz w:val="13"/>
          <w:szCs w:val="13"/>
          <w:color w:val="auto"/>
        </w:rPr>
        <w:t>” shall mean any offer, indication of interest or proposal (other than an offer or proposal made or submitted by or on behalf of Parent or any of its Subsidiaries) contemplating, involving or otherwise relating to any Acquisition Transaction.</w:t>
      </w:r>
    </w:p>
    <w:p>
      <w:pPr>
        <w:spacing w:after="0" w:line="121" w:lineRule="exact"/>
        <w:rPr>
          <w:sz w:val="20"/>
          <w:szCs w:val="20"/>
          <w:color w:val="auto"/>
        </w:rPr>
      </w:pPr>
    </w:p>
    <w:p>
      <w:pPr>
        <w:jc w:val="both"/>
        <w:ind w:firstLine="467"/>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Acquisition Transaction</w:t>
      </w:r>
      <w:r>
        <w:rPr>
          <w:rFonts w:ascii="Times New Roman" w:cs="Times New Roman" w:eastAsia="Times New Roman" w:hAnsi="Times New Roman"/>
          <w:sz w:val="13"/>
          <w:szCs w:val="13"/>
          <w:color w:val="auto"/>
        </w:rPr>
        <w:t>”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shall mean, with respect to any Person, any other Person that directly or indirectly controls, is directly or indirectly controlled by or is directly or indirectly under common control with such first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Person.</w:t>
      </w:r>
    </w:p>
    <w:p>
      <w:pPr>
        <w:spacing w:after="0" w:line="150"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Anti-Corruption Laws</w:t>
      </w:r>
      <w:r>
        <w:rPr>
          <w:rFonts w:ascii="Times New Roman" w:cs="Times New Roman" w:eastAsia="Times New Roman" w:hAnsi="Times New Roman"/>
          <w:sz w:val="13"/>
          <w:szCs w:val="13"/>
          <w:color w:val="auto"/>
        </w:rPr>
        <w:t>” shall mean the U.S. Foreign Corrupt Practices Act of 1977, as amended, the UK Bribery Act of 2010 or its predecessor laws, or any other Legal Requirements concerning corrupt payments applicable to the Company or any Company Subsidiary.</w:t>
      </w:r>
    </w:p>
    <w:p>
      <w:pPr>
        <w:spacing w:after="0" w:line="121"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Anti-Money Laundering Laws</w:t>
      </w:r>
      <w:r>
        <w:rPr>
          <w:rFonts w:ascii="Times New Roman" w:cs="Times New Roman" w:eastAsia="Times New Roman" w:hAnsi="Times New Roman"/>
          <w:sz w:val="13"/>
          <w:szCs w:val="13"/>
          <w:color w:val="auto"/>
        </w:rPr>
        <w:t>”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w:t>
      </w:r>
    </w:p>
    <w:p>
      <w:pPr>
        <w:spacing w:after="0" w:line="121" w:lineRule="exact"/>
        <w:rPr>
          <w:sz w:val="20"/>
          <w:szCs w:val="20"/>
          <w:color w:val="auto"/>
        </w:rPr>
      </w:pPr>
    </w:p>
    <w:p>
      <w:pPr>
        <w:jc w:val="both"/>
        <w:ind w:right="20" w:firstLine="467"/>
        <w:spacing w:after="0" w:line="32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Antitrust Laws</w:t>
      </w:r>
      <w:r>
        <w:rPr>
          <w:rFonts w:ascii="Times New Roman" w:cs="Times New Roman" w:eastAsia="Times New Roman" w:hAnsi="Times New Roman"/>
          <w:sz w:val="12"/>
          <w:szCs w:val="12"/>
          <w:color w:val="auto"/>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8" w:name="page99"/>
    <w:bookmarkEnd w:id="98"/>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Average Parent Stock Price</w:t>
      </w:r>
      <w:r>
        <w:rPr>
          <w:rFonts w:ascii="Times New Roman" w:cs="Times New Roman" w:eastAsia="Times New Roman" w:hAnsi="Times New Roman"/>
          <w:sz w:val="13"/>
          <w:szCs w:val="13"/>
          <w:color w:val="auto"/>
        </w:rPr>
        <w:t>”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mean any day other than a Saturday, a Sunday or other day on which banking institutions in New York, New York, are authorized or required by Legal Requirements to be closed.</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of Control Agreements</w:t>
      </w:r>
      <w:r>
        <w:rPr>
          <w:rFonts w:ascii="Times New Roman" w:cs="Times New Roman" w:eastAsia="Times New Roman" w:hAnsi="Times New Roman"/>
          <w:sz w:val="13"/>
          <w:szCs w:val="13"/>
          <w:color w:val="auto"/>
        </w:rPr>
        <w:t>” shall mean each of those certain Change of Control Agreements entered into between the Company and its officers, as set forth in the Company SEC Documents, and the employment agreement between the Company and its Chief Executive Officer.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Clean Team Agreement</w:t>
      </w:r>
      <w:r>
        <w:rPr>
          <w:rFonts w:ascii="Times New Roman" w:cs="Times New Roman" w:eastAsia="Times New Roman" w:hAnsi="Times New Roman"/>
          <w:sz w:val="13"/>
          <w:szCs w:val="13"/>
          <w:color w:val="auto"/>
        </w:rPr>
        <w:t>” shall mean the Clean Team Agreement, dated June 6, 2026, by and between the Company and Semiconductor Components Industries, LLC.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United States Internal Revenue Code of 1986,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10-K</w:t>
      </w:r>
      <w:r>
        <w:rPr>
          <w:rFonts w:ascii="Times New Roman" w:cs="Times New Roman" w:eastAsia="Times New Roman" w:hAnsi="Times New Roman"/>
          <w:sz w:val="13"/>
          <w:szCs w:val="13"/>
          <w:color w:val="auto"/>
        </w:rPr>
        <w:t>” shall mean any prior Annual Report of the Company on Form 10-K filed with the SEC.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Board</w:t>
      </w:r>
      <w:r>
        <w:rPr>
          <w:rFonts w:ascii="Times New Roman" w:cs="Times New Roman" w:eastAsia="Times New Roman" w:hAnsi="Times New Roman"/>
          <w:sz w:val="13"/>
          <w:szCs w:val="13"/>
          <w:color w:val="auto"/>
        </w:rPr>
        <w:t>” shall mean the board of directors of the Company.</w:t>
      </w:r>
    </w:p>
    <w:p>
      <w:pPr>
        <w:spacing w:after="0" w:line="162" w:lineRule="exact"/>
        <w:rPr>
          <w:sz w:val="20"/>
          <w:szCs w:val="20"/>
          <w:color w:val="auto"/>
        </w:rPr>
      </w:pPr>
    </w:p>
    <w:p>
      <w:pPr>
        <w:jc w:val="both"/>
        <w:ind w:firstLine="467"/>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Closing Tax Opinion</w:t>
      </w:r>
      <w:r>
        <w:rPr>
          <w:rFonts w:ascii="Times New Roman" w:cs="Times New Roman" w:eastAsia="Times New Roman" w:hAnsi="Times New Roman"/>
          <w:sz w:val="13"/>
          <w:szCs w:val="13"/>
          <w:color w:val="auto"/>
        </w:rPr>
        <w:t>” shall mean a written opinion from Baker &amp; McKenzie LLP (“</w:t>
      </w:r>
      <w:r>
        <w:rPr>
          <w:rFonts w:ascii="Times New Roman" w:cs="Times New Roman" w:eastAsia="Times New Roman" w:hAnsi="Times New Roman"/>
          <w:sz w:val="13"/>
          <w:szCs w:val="13"/>
          <w:u w:val="single" w:color="auto"/>
          <w:color w:val="auto"/>
        </w:rPr>
        <w:t>B&amp;M</w:t>
      </w:r>
      <w:r>
        <w:rPr>
          <w:rFonts w:ascii="Times New Roman" w:cs="Times New Roman" w:eastAsia="Times New Roman" w:hAnsi="Times New Roman"/>
          <w:sz w:val="13"/>
          <w:szCs w:val="13"/>
          <w:color w:val="auto"/>
        </w:rPr>
        <w:t xml:space="preserve">”) (or another nationally recognized tax advisor or counsel if B&amp;M is unable or unwilling to issue such written opinion), dated as of the Closing Date, based on the facts, representations, assumptions and exclusions set forth or described in such opinion, and substantially in the form set forth in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Company Disclosure Schedule, to the effect that the Merger will qualify for the Intended Tax Treatment. In rendering such opinion, B&amp;M (or another nationally recognized tax advisor or counsel, as applicable) shall be entitled to rely upon customary assumptions, representations, warranties and covenants reasonably satisfactory to it, including representations, warranties and covenants set forth in certificates of officers of Parent, Merger Sub and the Company, in substantially the forms set forth in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Parent Disclosure Schedule and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Company Disclosure Schedule.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Common Stock</w:t>
      </w:r>
      <w:r>
        <w:rPr>
          <w:rFonts w:ascii="Times New Roman" w:cs="Times New Roman" w:eastAsia="Times New Roman" w:hAnsi="Times New Roman"/>
          <w:sz w:val="13"/>
          <w:szCs w:val="13"/>
          <w:color w:val="auto"/>
        </w:rPr>
        <w:t>” shall mean the common stock, par value $0.001 per share, of the Company.</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Convertible Note Hedge Obligations</w:t>
      </w:r>
      <w:r>
        <w:rPr>
          <w:rFonts w:ascii="Times New Roman" w:cs="Times New Roman" w:eastAsia="Times New Roman" w:hAnsi="Times New Roman"/>
          <w:sz w:val="13"/>
          <w:szCs w:val="13"/>
          <w:color w:val="auto"/>
        </w:rPr>
        <w:t>”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Convertible Notes</w:t>
      </w:r>
      <w:r>
        <w:rPr>
          <w:rFonts w:ascii="Times New Roman" w:cs="Times New Roman" w:eastAsia="Times New Roman" w:hAnsi="Times New Roman"/>
          <w:sz w:val="13"/>
          <w:szCs w:val="13"/>
          <w:color w:val="auto"/>
        </w:rPr>
        <w:t>” shall mean the 0.75% Convertible Senior Notes due 2031 issued by the Company under the Company Convertible Notes Indenture.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9" w:name="page100"/>
    <w:bookmarkEnd w:id="99"/>
    <w:p>
      <w:pPr>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Convertible Notes Indenture</w:t>
      </w:r>
      <w:r>
        <w:rPr>
          <w:rFonts w:ascii="Times New Roman" w:cs="Times New Roman" w:eastAsia="Times New Roman" w:hAnsi="Times New Roman"/>
          <w:sz w:val="13"/>
          <w:szCs w:val="13"/>
          <w:color w:val="auto"/>
        </w:rPr>
        <w:t>” shall mean that certain Indenture, dated as of November 19, 2024, between the Company and U.S. Bank Trust Company, National Association, as trustee, including each amendment, modification or supplement thereto.</w:t>
      </w:r>
    </w:p>
    <w:p>
      <w:pPr>
        <w:spacing w:after="0" w:line="121" w:lineRule="exact"/>
        <w:rPr>
          <w:sz w:val="20"/>
          <w:szCs w:val="20"/>
          <w:color w:val="auto"/>
        </w:rPr>
      </w:pPr>
    </w:p>
    <w:p>
      <w:pPr>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Credit Agreement</w:t>
      </w:r>
      <w:r>
        <w:rPr>
          <w:rFonts w:ascii="Times New Roman" w:cs="Times New Roman" w:eastAsia="Times New Roman" w:hAnsi="Times New Roman"/>
          <w:sz w:val="13"/>
          <w:szCs w:val="13"/>
          <w:color w:val="auto"/>
        </w:rPr>
        <w:t>”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w:t>
      </w:r>
    </w:p>
    <w:p>
      <w:pPr>
        <w:spacing w:after="0" w:line="121" w:lineRule="exact"/>
        <w:rPr>
          <w:sz w:val="20"/>
          <w:szCs w:val="20"/>
          <w:color w:val="auto"/>
        </w:rPr>
      </w:pPr>
    </w:p>
    <w:p>
      <w:pPr>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Equity Agreements</w:t>
      </w:r>
      <w:r>
        <w:rPr>
          <w:rFonts w:ascii="Times New Roman" w:cs="Times New Roman" w:eastAsia="Times New Roman" w:hAnsi="Times New Roman"/>
          <w:sz w:val="13"/>
          <w:szCs w:val="13"/>
          <w:color w:val="auto"/>
        </w:rPr>
        <w:t>” shall mean the Company Inducement Plans, the Company Incentive Plan (in each case, together with all grant agreements evidencing Company RSUs, Company MSUs and Company PSUs) and the Company ESPP.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Equity Awards</w:t>
      </w:r>
      <w:r>
        <w:rPr>
          <w:rFonts w:ascii="Times New Roman" w:cs="Times New Roman" w:eastAsia="Times New Roman" w:hAnsi="Times New Roman"/>
          <w:sz w:val="13"/>
          <w:szCs w:val="13"/>
          <w:color w:val="auto"/>
        </w:rPr>
        <w:t>” shall mean the Company RSUs, Company MSUs, and Company PSUs.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ESPP</w:t>
      </w:r>
      <w:r>
        <w:rPr>
          <w:rFonts w:ascii="Times New Roman" w:cs="Times New Roman" w:eastAsia="Times New Roman" w:hAnsi="Times New Roman"/>
          <w:sz w:val="13"/>
          <w:szCs w:val="13"/>
          <w:color w:val="auto"/>
        </w:rPr>
        <w:t>” shall mean the Company’s Amended and Restated 2019 Employee Stock Purchase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Incentive Plan</w:t>
      </w:r>
      <w:r>
        <w:rPr>
          <w:rFonts w:ascii="Times New Roman" w:cs="Times New Roman" w:eastAsia="Times New Roman" w:hAnsi="Times New Roman"/>
          <w:sz w:val="13"/>
          <w:szCs w:val="13"/>
          <w:color w:val="auto"/>
        </w:rPr>
        <w:t>” shall mean the Company’s Amended and Restated 2019 Equity and Incentive Compensation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Indentures</w:t>
      </w:r>
      <w:r>
        <w:rPr>
          <w:rFonts w:ascii="Times New Roman" w:cs="Times New Roman" w:eastAsia="Times New Roman" w:hAnsi="Times New Roman"/>
          <w:sz w:val="13"/>
          <w:szCs w:val="13"/>
          <w:color w:val="auto"/>
        </w:rPr>
        <w:t>” shall mean the Company Convertible Notes Indenture and the Company Senior Notes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Inducement Plans</w:t>
      </w:r>
      <w:r>
        <w:rPr>
          <w:rFonts w:ascii="Times New Roman" w:cs="Times New Roman" w:eastAsia="Times New Roman" w:hAnsi="Times New Roman"/>
          <w:sz w:val="13"/>
          <w:szCs w:val="13"/>
          <w:color w:val="auto"/>
        </w:rPr>
        <w:t>” shall mean the Company’s 2019 and 2025 Inducement Equity Plans,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IP</w:t>
      </w:r>
      <w:r>
        <w:rPr>
          <w:rFonts w:ascii="Times New Roman" w:cs="Times New Roman" w:eastAsia="Times New Roman" w:hAnsi="Times New Roman"/>
          <w:sz w:val="13"/>
          <w:szCs w:val="13"/>
          <w:color w:val="auto"/>
        </w:rPr>
        <w:t>” shall mean all Intellectual Property Rights owned, or purported to be owned, by the Company or any Company Subsidiary.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0" w:name="page101"/>
    <w:bookmarkEnd w:id="100"/>
    <w:p>
      <w:pPr>
        <w:jc w:val="both"/>
        <w:ind w:left="2" w:right="20" w:firstLine="467"/>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Material Adverse Effect</w:t>
      </w:r>
      <w:r>
        <w:rPr>
          <w:rFonts w:ascii="Times New Roman" w:cs="Times New Roman" w:eastAsia="Times New Roman" w:hAnsi="Times New Roman"/>
          <w:sz w:val="13"/>
          <w:szCs w:val="13"/>
          <w:color w:val="auto"/>
        </w:rPr>
        <w:t>” shall mean any state of facts, circumstance, condition, event, change, development, occurrence, result, effect, action or omission (each, an “</w:t>
      </w:r>
      <w:r>
        <w:rPr>
          <w:rFonts w:ascii="Times New Roman" w:cs="Times New Roman" w:eastAsia="Times New Roman" w:hAnsi="Times New Roman"/>
          <w:sz w:val="13"/>
          <w:szCs w:val="13"/>
          <w:u w:val="single" w:color="auto"/>
          <w:color w:val="auto"/>
        </w:rPr>
        <w:t>Effect</w:t>
      </w:r>
      <w:r>
        <w:rPr>
          <w:rFonts w:ascii="Times New Roman" w:cs="Times New Roman" w:eastAsia="Times New Roman" w:hAnsi="Times New Roman"/>
          <w:sz w:val="13"/>
          <w:szCs w:val="13"/>
          <w:color w:val="auto"/>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with respect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only, no Effect to the extent resulting from or arising out of any of the following shall be deemed to constitute, or be taken into account in determining the existence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the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exceptions in this </w:t>
      </w:r>
      <w:r>
        <w:rPr>
          <w:rFonts w:ascii="Times New Roman" w:cs="Times New Roman" w:eastAsia="Times New Roman" w:hAnsi="Times New Roman"/>
          <w:sz w:val="13"/>
          <w:szCs w:val="13"/>
          <w:u w:val="single" w:color="auto"/>
          <w:color w:val="auto"/>
        </w:rPr>
        <w:t>clause</w:t>
      </w:r>
    </w:p>
    <w:p>
      <w:pPr>
        <w:spacing w:after="0" w:line="10" w:lineRule="exact"/>
        <w:rPr>
          <w:sz w:val="20"/>
          <w:szCs w:val="20"/>
          <w:color w:val="auto"/>
        </w:rPr>
      </w:pPr>
    </w:p>
    <w:p>
      <w:pPr>
        <w:jc w:val="both"/>
        <w:ind w:left="2" w:right="20" w:hanging="2"/>
        <w:spacing w:after="0" w:line="251" w:lineRule="auto"/>
        <w:tabs>
          <w:tab w:leader="none" w:pos="218" w:val="left"/>
        </w:tabs>
        <w:numPr>
          <w:ilvl w:val="0"/>
          <w:numId w:val="133"/>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will not apply with respect to the representations and warranties contained in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or to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any Effect described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(G)</w:t>
      </w:r>
      <w:r>
        <w:rPr>
          <w:rFonts w:ascii="Times New Roman" w:cs="Times New Roman" w:eastAsia="Times New Roman" w:hAnsi="Times New Roman"/>
          <w:sz w:val="13"/>
          <w:szCs w:val="13"/>
          <w:color w:val="auto"/>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w:t>
      </w:r>
    </w:p>
    <w:p>
      <w:pPr>
        <w:spacing w:after="0" w:line="139" w:lineRule="exact"/>
        <w:rPr>
          <w:sz w:val="20"/>
          <w:szCs w:val="20"/>
          <w:color w:val="auto"/>
        </w:rPr>
      </w:pPr>
    </w:p>
    <w:p>
      <w:pPr>
        <w:jc w:val="both"/>
        <w:ind w:left="2"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MSUs</w:t>
      </w:r>
      <w:r>
        <w:rPr>
          <w:rFonts w:ascii="Times New Roman" w:cs="Times New Roman" w:eastAsia="Times New Roman" w:hAnsi="Times New Roman"/>
          <w:sz w:val="13"/>
          <w:szCs w:val="13"/>
          <w:color w:val="auto"/>
        </w:rPr>
        <w:t>” shall mean market stock units representing the right to vest in and be issued shares of Company Common Stock by the Company that are subject to vesting restrictions based on the Company’s relative market performance and continuing service.</w:t>
      </w:r>
    </w:p>
    <w:p>
      <w:pPr>
        <w:spacing w:after="0" w:line="121" w:lineRule="exact"/>
        <w:rPr>
          <w:sz w:val="20"/>
          <w:szCs w:val="20"/>
          <w:color w:val="auto"/>
        </w:rPr>
      </w:pPr>
    </w:p>
    <w:p>
      <w:pPr>
        <w:jc w:val="both"/>
        <w:ind w:left="2" w:firstLine="467"/>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Permitted Encumbrances</w:t>
      </w:r>
      <w:r>
        <w:rPr>
          <w:rFonts w:ascii="Times New Roman" w:cs="Times New Roman" w:eastAsia="Times New Roman" w:hAnsi="Times New Roman"/>
          <w:sz w:val="13"/>
          <w:szCs w:val="13"/>
          <w:color w:val="auto"/>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Leased Real Property, Liens affecting the interest of the owner of the real property that is the subject of such applicable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spacing w:after="0" w:line="2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101" w:name="page102"/>
    <w:bookmarkEnd w:id="101"/>
    <w:p>
      <w:pPr>
        <w:jc w:val="both"/>
        <w:ind w:firstLine="467"/>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Plan</w:t>
      </w:r>
      <w:r>
        <w:rPr>
          <w:rFonts w:ascii="Times New Roman" w:cs="Times New Roman" w:eastAsia="Times New Roman" w:hAnsi="Times New Roman"/>
          <w:sz w:val="13"/>
          <w:szCs w:val="13"/>
          <w:color w:val="auto"/>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that</w:t>
      </w:r>
      <w:r>
        <w:rPr>
          <w:rFonts w:ascii="Times New Roman" w:cs="Times New Roman" w:eastAsia="Times New Roman" w:hAnsi="Times New Roman"/>
          <w:sz w:val="13"/>
          <w:szCs w:val="13"/>
          <w:color w:val="auto"/>
        </w:rPr>
        <w:t>, any governmental plan or program requiring the mandatory payment of social insurance taxes or similar contributions to a governmental fund with respect to the wages of an employee will not be considered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Plan”.</w:t>
      </w:r>
    </w:p>
    <w:p>
      <w:pPr>
        <w:spacing w:after="0" w:line="140"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Products</w:t>
      </w:r>
      <w:r>
        <w:rPr>
          <w:rFonts w:ascii="Times New Roman" w:cs="Times New Roman" w:eastAsia="Times New Roman" w:hAnsi="Times New Roman"/>
          <w:sz w:val="13"/>
          <w:szCs w:val="13"/>
          <w:color w:val="auto"/>
        </w:rPr>
        <w:t>” shall mean any and all products and services that are or have been since January 1, 2024 marketed, offered, sold, licensed, provided, distributed or supported by the Company or any Company Subsidiary.</w:t>
      </w:r>
    </w:p>
    <w:p>
      <w:pPr>
        <w:spacing w:after="0" w:line="121"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PSUs</w:t>
      </w:r>
      <w:r>
        <w:rPr>
          <w:rFonts w:ascii="Times New Roman" w:cs="Times New Roman" w:eastAsia="Times New Roman" w:hAnsi="Times New Roman"/>
          <w:sz w:val="13"/>
          <w:szCs w:val="13"/>
          <w:color w:val="auto"/>
        </w:rPr>
        <w:t>” shall mean performance stock units representing the right to vest in and be issued shares of Company Common Stock by the Company that are subject to vesting restrictions based on the Company’s performance and continuing service.</w:t>
      </w:r>
    </w:p>
    <w:p>
      <w:pPr>
        <w:spacing w:after="0" w:line="121"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RSUs</w:t>
      </w:r>
      <w:r>
        <w:rPr>
          <w:rFonts w:ascii="Times New Roman" w:cs="Times New Roman" w:eastAsia="Times New Roman" w:hAnsi="Times New Roman"/>
          <w:sz w:val="13"/>
          <w:szCs w:val="13"/>
          <w:color w:val="auto"/>
        </w:rPr>
        <w:t>” shall mean restricted stock units representing the right to vest in and be issued shares of Company Common Stock by the Company that are subject to vesting restrictions based on continuing service.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Senior Notes</w:t>
      </w:r>
      <w:r>
        <w:rPr>
          <w:rFonts w:ascii="Times New Roman" w:cs="Times New Roman" w:eastAsia="Times New Roman" w:hAnsi="Times New Roman"/>
          <w:sz w:val="13"/>
          <w:szCs w:val="13"/>
          <w:color w:val="auto"/>
        </w:rPr>
        <w:t>” shall mean the 4.000% Senior Notes due 2029 issued by the Company under the Company Senior Notes Indenture.</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Senior Notes Indenture</w:t>
      </w:r>
      <w:r>
        <w:rPr>
          <w:rFonts w:ascii="Times New Roman" w:cs="Times New Roman" w:eastAsia="Times New Roman" w:hAnsi="Times New Roman"/>
          <w:sz w:val="13"/>
          <w:szCs w:val="13"/>
          <w:color w:val="auto"/>
        </w:rPr>
        <w:t>” shall means that certain Indenture, dated as of March 11, 2021, among the Company, Company Subsidiary guarantors party thereto and Wells Fargo Bank, National Association, as trustee, including each amendment, modification or supplement thereto.</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Subsidiary</w:t>
      </w:r>
      <w:r>
        <w:rPr>
          <w:rFonts w:ascii="Times New Roman" w:cs="Times New Roman" w:eastAsia="Times New Roman" w:hAnsi="Times New Roman"/>
          <w:sz w:val="13"/>
          <w:szCs w:val="13"/>
          <w:color w:val="auto"/>
        </w:rPr>
        <w:t>” shall mean any direct or indirect Subsidiary of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Termination Fee</w:t>
      </w:r>
      <w:r>
        <w:rPr>
          <w:rFonts w:ascii="Times New Roman" w:cs="Times New Roman" w:eastAsia="Times New Roman" w:hAnsi="Times New Roman"/>
          <w:sz w:val="13"/>
          <w:szCs w:val="13"/>
          <w:color w:val="auto"/>
        </w:rPr>
        <w:t>” shall mean an amount in cash equal to Two Hundred Thirty-Five Million dollars ($235,000,000).</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shall mean any contract, subcontract, note, bond, mortgage, indenture, lease, license, sublicense, guaranty, security agreement, franchise or other legally binding instrument, commitment, agreement or obligation, whether oral or in writing.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shall mean the Delaware General Corporation Law, as amended.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2" w:name="page103"/>
    <w:bookmarkEnd w:id="102"/>
    <w:p>
      <w:pPr>
        <w:jc w:val="both"/>
        <w:ind w:right="20" w:firstLine="467"/>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Enforceability Limitations</w:t>
      </w:r>
      <w:r>
        <w:rPr>
          <w:rFonts w:ascii="Times New Roman" w:cs="Times New Roman" w:eastAsia="Times New Roman" w:hAnsi="Times New Roman"/>
          <w:sz w:val="13"/>
          <w:szCs w:val="13"/>
          <w:color w:val="auto"/>
        </w:rPr>
        <w:t>”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spacing w:after="0" w:line="133"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Entity</w:t>
      </w:r>
      <w:r>
        <w:rPr>
          <w:rFonts w:ascii="Times New Roman" w:cs="Times New Roman" w:eastAsia="Times New Roman" w:hAnsi="Times New Roman"/>
          <w:sz w:val="13"/>
          <w:szCs w:val="13"/>
          <w:color w:val="auto"/>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shall mean the Employee Retirement Income Security Act of 1974,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 Affiliate</w:t>
      </w:r>
      <w:r>
        <w:rPr>
          <w:rFonts w:ascii="Times New Roman" w:cs="Times New Roman" w:eastAsia="Times New Roman" w:hAnsi="Times New Roman"/>
          <w:sz w:val="13"/>
          <w:szCs w:val="13"/>
          <w:color w:val="auto"/>
        </w:rPr>
        <w:t>” shall mean each entity that. together with the Company, is treated as a single employer within the meaning of Section 4001(b)(1) of ERISA or Section 414(b), (c), (m) or (o) of the Code.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shall mean 1.350.</w:t>
      </w:r>
    </w:p>
    <w:p>
      <w:pPr>
        <w:spacing w:after="0" w:line="162" w:lineRule="exact"/>
        <w:rPr>
          <w:sz w:val="20"/>
          <w:szCs w:val="20"/>
          <w:color w:val="auto"/>
        </w:rPr>
      </w:pPr>
    </w:p>
    <w:p>
      <w:pPr>
        <w:jc w:val="both"/>
        <w:ind w:right="20" w:firstLine="467"/>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Export Control Laws</w:t>
      </w:r>
      <w:r>
        <w:rPr>
          <w:rFonts w:ascii="Times New Roman" w:cs="Times New Roman" w:eastAsia="Times New Roman" w:hAnsi="Times New Roman"/>
          <w:sz w:val="13"/>
          <w:szCs w:val="13"/>
          <w:color w:val="auto"/>
        </w:rPr>
        <w:t>”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33"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FDI Laws</w:t>
      </w:r>
      <w:r>
        <w:rPr>
          <w:rFonts w:ascii="Times New Roman" w:cs="Times New Roman" w:eastAsia="Times New Roman" w:hAnsi="Times New Roman"/>
          <w:sz w:val="13"/>
          <w:szCs w:val="13"/>
          <w:color w:val="auto"/>
        </w:rPr>
        <w:t>” shall mean any Legal Requirements designed or intended to prohibit, restrict or regulate on national security or public order grounds actions by foreigners or non-domiciled persons to acquire interests in domestic equities, securities, entities, assets, land or interests.</w:t>
      </w:r>
    </w:p>
    <w:p>
      <w:pPr>
        <w:spacing w:after="0" w:line="121"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Form S-4 Registration Statement</w:t>
      </w:r>
      <w:r>
        <w:rPr>
          <w:rFonts w:ascii="Times New Roman" w:cs="Times New Roman" w:eastAsia="Times New Roman" w:hAnsi="Times New Roman"/>
          <w:sz w:val="13"/>
          <w:szCs w:val="13"/>
          <w:color w:val="auto"/>
        </w:rPr>
        <w:t>” shall mean the registration statement on Form S-4 to be filed with the SEC by Parent in connection with the Parent Share Issuance (including, if elected by Parent, the issuance of Parent Common Stock in respect of Company Converted RSUs, Company Converted PSUs and Company Converted MSUs), as such registration statement may be amended prior to the time it is declared effective by the SEC.</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shall mean United States generally accepted accounting principles.</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Authorization</w:t>
      </w:r>
      <w:r>
        <w:rPr>
          <w:rFonts w:ascii="Times New Roman" w:cs="Times New Roman" w:eastAsia="Times New Roman" w:hAnsi="Times New Roman"/>
          <w:sz w:val="13"/>
          <w:szCs w:val="13"/>
          <w:color w:val="auto"/>
        </w:rPr>
        <w:t>”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3" w:name="page104"/>
    <w:bookmarkEnd w:id="103"/>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Entity</w:t>
      </w:r>
      <w:r>
        <w:rPr>
          <w:rFonts w:ascii="Times New Roman" w:cs="Times New Roman" w:eastAsia="Times New Roman" w:hAnsi="Times New Roman"/>
          <w:sz w:val="13"/>
          <w:szCs w:val="13"/>
          <w:color w:val="auto"/>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HSR Act</w:t>
      </w:r>
      <w:r>
        <w:rPr>
          <w:rFonts w:ascii="Times New Roman" w:cs="Times New Roman" w:eastAsia="Times New Roman" w:hAnsi="Times New Roman"/>
          <w:sz w:val="13"/>
          <w:szCs w:val="13"/>
          <w:color w:val="auto"/>
        </w:rPr>
        <w:t>” shall mean the Hart-Scott-Rodino Antitrust Improvements Act of 1976, as amended.</w:t>
      </w:r>
    </w:p>
    <w:p>
      <w:pPr>
        <w:spacing w:after="0" w:line="162" w:lineRule="exact"/>
        <w:rPr>
          <w:sz w:val="20"/>
          <w:szCs w:val="20"/>
          <w:color w:val="auto"/>
        </w:rPr>
      </w:pPr>
    </w:p>
    <w:p>
      <w:pPr>
        <w:jc w:val="both"/>
        <w:ind w:firstLine="467"/>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 Rights</w:t>
      </w:r>
      <w:r>
        <w:rPr>
          <w:rFonts w:ascii="Times New Roman" w:cs="Times New Roman" w:eastAsia="Times New Roman" w:hAnsi="Times New Roman"/>
          <w:sz w:val="13"/>
          <w:szCs w:val="13"/>
          <w:color w:val="auto"/>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 w:cs="Times New Roman" w:eastAsia="Times New Roman" w:hAnsi="Times New Roman"/>
          <w:sz w:val="13"/>
          <w:szCs w:val="13"/>
          <w:u w:val="single" w:color="auto"/>
          <w:color w:val="auto"/>
        </w:rPr>
        <w:t>Patents</w:t>
      </w:r>
      <w:r>
        <w:rPr>
          <w:rFonts w:ascii="Times New Roman" w:cs="Times New Roman" w:eastAsia="Times New Roman" w:hAnsi="Times New Roman"/>
          <w:sz w:val="13"/>
          <w:szCs w:val="13"/>
          <w:color w:val="auto"/>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 w:cs="Times New Roman" w:eastAsia="Times New Roman" w:hAnsi="Times New Roman"/>
          <w:sz w:val="13"/>
          <w:szCs w:val="13"/>
          <w:u w:val="single" w:color="auto"/>
          <w:color w:val="auto"/>
        </w:rPr>
        <w:t>Marks</w:t>
      </w:r>
      <w:r>
        <w:rPr>
          <w:rFonts w:ascii="Times New Roman" w:cs="Times New Roman" w:eastAsia="Times New Roman" w:hAnsi="Times New Roman"/>
          <w:sz w:val="13"/>
          <w:szCs w:val="13"/>
          <w:color w:val="auto"/>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 w:cs="Times New Roman" w:eastAsia="Times New Roman" w:hAnsi="Times New Roman"/>
          <w:sz w:val="13"/>
          <w:szCs w:val="13"/>
          <w:u w:val="single" w:color="auto"/>
          <w:color w:val="auto"/>
        </w:rPr>
        <w:t>Copyrights</w:t>
      </w:r>
      <w:r>
        <w:rPr>
          <w:rFonts w:ascii="Times New Roman" w:cs="Times New Roman" w:eastAsia="Times New Roman" w:hAnsi="Times New Roman"/>
          <w:sz w:val="13"/>
          <w:szCs w:val="13"/>
          <w:color w:val="auto"/>
        </w:rPr>
        <w:t>”); (v) mask work rights (as defined in the Semiconductor Chip Protection Act, 17 U.S.C. § § 901-914) and any other intellectual property right in semiconductor topology or mask works, and any registration therefore (“</w:t>
      </w:r>
      <w:r>
        <w:rPr>
          <w:rFonts w:ascii="Times New Roman" w:cs="Times New Roman" w:eastAsia="Times New Roman" w:hAnsi="Times New Roman"/>
          <w:sz w:val="13"/>
          <w:szCs w:val="13"/>
          <w:u w:val="single" w:color="auto"/>
          <w:color w:val="auto"/>
        </w:rPr>
        <w:t>Mask Work Rights</w:t>
      </w:r>
      <w:r>
        <w:rPr>
          <w:rFonts w:ascii="Times New Roman" w:cs="Times New Roman" w:eastAsia="Times New Roman" w:hAnsi="Times New Roman"/>
          <w:sz w:val="13"/>
          <w:szCs w:val="13"/>
          <w:color w:val="auto"/>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 w:cs="Times New Roman" w:eastAsia="Times New Roman" w:hAnsi="Times New Roman"/>
          <w:sz w:val="13"/>
          <w:szCs w:val="13"/>
          <w:u w:val="single" w:color="auto"/>
          <w:color w:val="auto"/>
        </w:rPr>
        <w:t>Trade Secrets</w:t>
      </w:r>
      <w:r>
        <w:rPr>
          <w:rFonts w:ascii="Times New Roman" w:cs="Times New Roman" w:eastAsia="Times New Roman" w:hAnsi="Times New Roman"/>
          <w:sz w:val="13"/>
          <w:szCs w:val="13"/>
          <w:color w:val="auto"/>
        </w:rPr>
        <w:t>”);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therefore; and (viii) other similar or equivalent intellectual property rights anywhere in the world.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shall mean the United States Internal Revenue Service.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knowledge of Company</w:t>
      </w:r>
      <w:r>
        <w:rPr>
          <w:rFonts w:ascii="Times New Roman" w:cs="Times New Roman" w:eastAsia="Times New Roman" w:hAnsi="Times New Roman"/>
          <w:sz w:val="13"/>
          <w:szCs w:val="13"/>
          <w:color w:val="auto"/>
        </w:rPr>
        <w:t>” shall mean the actual knowledge, after reasonable inquiry, of the individuals listed in the “Definitions” Annex of the Company Disclosure Schedule as of the date of this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knowledge of Parent</w:t>
      </w:r>
      <w:r>
        <w:rPr>
          <w:rFonts w:ascii="Times New Roman" w:cs="Times New Roman" w:eastAsia="Times New Roman" w:hAnsi="Times New Roman"/>
          <w:sz w:val="13"/>
          <w:szCs w:val="13"/>
          <w:color w:val="auto"/>
        </w:rPr>
        <w:t>” shall mean the actual knowledge, after reasonable inquiry, of the individuals listed in the “Definitions” Annex of the Parent Disclosure Schedule as of the date of this Agreement.</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Legal Proceeding</w:t>
      </w:r>
      <w:r>
        <w:rPr>
          <w:rFonts w:ascii="Times New Roman" w:cs="Times New Roman" w:eastAsia="Times New Roman" w:hAnsi="Times New Roman"/>
          <w:sz w:val="13"/>
          <w:szCs w:val="13"/>
          <w:color w:val="auto"/>
        </w:rPr>
        <w:t>” shall mean any legal or administrative proceeding, lawsuit, arbitration, mediation, court action, or other proceeding before any court or public or private body or tribunal or other Governmental Entity.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Legal Requirement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Law</w:t>
      </w:r>
      <w:r>
        <w:rPr>
          <w:rFonts w:ascii="Times New Roman" w:cs="Times New Roman" w:eastAsia="Times New Roman" w:hAnsi="Times New Roman"/>
          <w:sz w:val="13"/>
          <w:szCs w:val="13"/>
          <w:color w:val="auto"/>
        </w:rPr>
        <w:t>” shall mean any law, statute, rule or regulation adopted or promulgated by any Governmental Entity.</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Lien</w:t>
      </w:r>
      <w:r>
        <w:rPr>
          <w:rFonts w:ascii="Times New Roman" w:cs="Times New Roman" w:eastAsia="Times New Roman" w:hAnsi="Times New Roman"/>
          <w:sz w:val="13"/>
          <w:szCs w:val="13"/>
          <w:color w:val="auto"/>
        </w:rPr>
        <w:t>”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Most Recent Company 10-K</w:t>
      </w:r>
      <w:r>
        <w:rPr>
          <w:rFonts w:ascii="Times New Roman" w:cs="Times New Roman" w:eastAsia="Times New Roman" w:hAnsi="Times New Roman"/>
          <w:sz w:val="13"/>
          <w:szCs w:val="13"/>
          <w:color w:val="auto"/>
        </w:rPr>
        <w:t>” shall mean the Company 10-K for the year ended June 28, 2025 (filed with the SEC on August 21, 2025).</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Most Recent Company Balance Sheet</w:t>
      </w:r>
      <w:r>
        <w:rPr>
          <w:rFonts w:ascii="Times New Roman" w:cs="Times New Roman" w:eastAsia="Times New Roman" w:hAnsi="Times New Roman"/>
          <w:sz w:val="13"/>
          <w:szCs w:val="13"/>
          <w:color w:val="auto"/>
        </w:rPr>
        <w:t>” shall mean the balance sheet of the Company as of March 28,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Most Recent Parent 10-K</w:t>
      </w:r>
      <w:r>
        <w:rPr>
          <w:rFonts w:ascii="Times New Roman" w:cs="Times New Roman" w:eastAsia="Times New Roman" w:hAnsi="Times New Roman"/>
          <w:sz w:val="13"/>
          <w:szCs w:val="13"/>
          <w:color w:val="auto"/>
        </w:rPr>
        <w:t>” shall mean Parent’s Annual Report on Form 10-K for the year ended December 31, 2025 (filed with the SEC on February 9,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Most Recent Parent Balance Sheet</w:t>
      </w:r>
      <w:r>
        <w:rPr>
          <w:rFonts w:ascii="Times New Roman" w:cs="Times New Roman" w:eastAsia="Times New Roman" w:hAnsi="Times New Roman"/>
          <w:sz w:val="13"/>
          <w:szCs w:val="13"/>
          <w:color w:val="auto"/>
        </w:rPr>
        <w:t>” shall mean the balance sheet of Parent as of April 3, 2026.</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Non-Disclosure Agreement</w:t>
      </w:r>
      <w:r>
        <w:rPr>
          <w:rFonts w:ascii="Times New Roman" w:cs="Times New Roman" w:eastAsia="Times New Roman" w:hAnsi="Times New Roman"/>
          <w:sz w:val="13"/>
          <w:szCs w:val="13"/>
          <w:color w:val="auto"/>
        </w:rPr>
        <w:t>” shall mean that certain mutual non-disclosure agreement, dated as of April 13, 2026, by and between the Company and Semiconductor Components Industries, LLC, a wholly-owned subsidiary of Parent.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Non-Vested MSU</w:t>
      </w:r>
      <w:r>
        <w:rPr>
          <w:rFonts w:ascii="Times New Roman" w:cs="Times New Roman" w:eastAsia="Times New Roman" w:hAnsi="Times New Roman"/>
          <w:sz w:val="13"/>
          <w:szCs w:val="13"/>
          <w:color w:val="auto"/>
        </w:rPr>
        <w:t>” shall have the meaning given such term under the relevant granting Company Equity Agreement of each Company MSU.</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OFAC</w:t>
      </w:r>
      <w:r>
        <w:rPr>
          <w:rFonts w:ascii="Times New Roman" w:cs="Times New Roman" w:eastAsia="Times New Roman" w:hAnsi="Times New Roman"/>
          <w:sz w:val="13"/>
          <w:szCs w:val="13"/>
          <w:color w:val="auto"/>
        </w:rPr>
        <w:t>” shall mean the U.S. Department of the Treasury, Office of Foreign Assets Control.</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Open Source</w:t>
      </w:r>
      <w:r>
        <w:rPr>
          <w:rFonts w:ascii="Times New Roman" w:cs="Times New Roman" w:eastAsia="Times New Roman" w:hAnsi="Times New Roman"/>
          <w:sz w:val="13"/>
          <w:szCs w:val="13"/>
          <w:color w:val="auto"/>
        </w:rPr>
        <w:t>” shall mean any Software that is distributed as “free software,” “open source software” or under a similar licensing or distribution model (an “</w:t>
      </w:r>
      <w:r>
        <w:rPr>
          <w:rFonts w:ascii="Times New Roman" w:cs="Times New Roman" w:eastAsia="Times New Roman" w:hAnsi="Times New Roman"/>
          <w:sz w:val="13"/>
          <w:szCs w:val="13"/>
          <w:u w:val="single" w:color="auto"/>
          <w:color w:val="auto"/>
        </w:rPr>
        <w:t>Open Source License</w:t>
      </w:r>
      <w:r>
        <w:rPr>
          <w:rFonts w:ascii="Times New Roman" w:cs="Times New Roman" w:eastAsia="Times New Roman" w:hAnsi="Times New Roman"/>
          <w:sz w:val="13"/>
          <w:szCs w:val="13"/>
          <w:color w:val="auto"/>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shall mean any order, decision, judgment, writ, injunction, stipulation, award, or decree, issued by any Governmental Entity.</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Outbound Investment Rules</w:t>
      </w:r>
      <w:r>
        <w:rPr>
          <w:rFonts w:ascii="Times New Roman" w:cs="Times New Roman" w:eastAsia="Times New Roman" w:hAnsi="Times New Roman"/>
          <w:sz w:val="13"/>
          <w:szCs w:val="13"/>
          <w:color w:val="auto"/>
        </w:rPr>
        <w:t>” shall mean Part 850 of Title 31 of the Code of Federal Regulations.</w:t>
      </w:r>
    </w:p>
    <w:p>
      <w:pPr>
        <w:spacing w:after="0" w:line="162"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2027 Convertible Notes</w:t>
      </w:r>
      <w:r>
        <w:rPr>
          <w:rFonts w:ascii="Times New Roman" w:cs="Times New Roman" w:eastAsia="Times New Roman" w:hAnsi="Times New Roman"/>
          <w:sz w:val="13"/>
          <w:szCs w:val="13"/>
          <w:color w:val="auto"/>
        </w:rPr>
        <w:t>” shall mean the 0% Convertible Senior Notes due 2027 issued by the Parent under the Indenture, dated as of May 14, 2021 between the Parent and Wells Fargo Bank, National Association, as trustee.</w:t>
      </w:r>
    </w:p>
    <w:p>
      <w:pPr>
        <w:spacing w:after="0" w:line="121"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2029 Convertible Notes</w:t>
      </w:r>
      <w:r>
        <w:rPr>
          <w:rFonts w:ascii="Times New Roman" w:cs="Times New Roman" w:eastAsia="Times New Roman" w:hAnsi="Times New Roman"/>
          <w:sz w:val="13"/>
          <w:szCs w:val="13"/>
          <w:color w:val="auto"/>
        </w:rPr>
        <w:t>” shall mean the 0.50% Convertible Senior Notes due 2029 issued by the Parent under the Indenture, dated as of February 28, 2023, between the Parent and Computershare Trust Company, National Association, as trustee.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5" w:name="page106"/>
    <w:bookmarkEnd w:id="105"/>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2031 Convertible Notes</w:t>
      </w:r>
      <w:r>
        <w:rPr>
          <w:rFonts w:ascii="Times New Roman" w:cs="Times New Roman" w:eastAsia="Times New Roman" w:hAnsi="Times New Roman"/>
          <w:sz w:val="13"/>
          <w:szCs w:val="13"/>
          <w:color w:val="auto"/>
        </w:rPr>
        <w:t>” shall mean the 0% Convertible Senior Notes due 2031 issued by the Parent under the Indenture, dated as of May 11, 2026, between the Parent and Computershare Trust Company, National Association, as trustee.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Board</w:t>
      </w:r>
      <w:r>
        <w:rPr>
          <w:rFonts w:ascii="Times New Roman" w:cs="Times New Roman" w:eastAsia="Times New Roman" w:hAnsi="Times New Roman"/>
          <w:sz w:val="13"/>
          <w:szCs w:val="13"/>
          <w:color w:val="auto"/>
        </w:rPr>
        <w:t>” shall mean the board of directors of Parent.</w:t>
      </w:r>
    </w:p>
    <w:p>
      <w:pPr>
        <w:spacing w:after="0" w:line="162" w:lineRule="exact"/>
        <w:rPr>
          <w:sz w:val="20"/>
          <w:szCs w:val="20"/>
          <w:color w:val="auto"/>
        </w:rPr>
      </w:pPr>
    </w:p>
    <w:p>
      <w:pPr>
        <w:jc w:val="both"/>
        <w:ind w:right="20" w:firstLine="467"/>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Closing Tax Opinion</w:t>
      </w:r>
      <w:r>
        <w:rPr>
          <w:rFonts w:ascii="Times New Roman" w:cs="Times New Roman" w:eastAsia="Times New Roman" w:hAnsi="Times New Roman"/>
          <w:sz w:val="13"/>
          <w:szCs w:val="13"/>
          <w:color w:val="auto"/>
        </w:rPr>
        <w:t>” shall mean a written opinion from Skadden, Arps, Slate, Meagher &amp; Flom LLP (“</w:t>
      </w:r>
      <w:r>
        <w:rPr>
          <w:rFonts w:ascii="Times New Roman" w:cs="Times New Roman" w:eastAsia="Times New Roman" w:hAnsi="Times New Roman"/>
          <w:sz w:val="13"/>
          <w:szCs w:val="13"/>
          <w:u w:val="single" w:color="auto"/>
          <w:color w:val="auto"/>
        </w:rPr>
        <w:t>Skadden</w:t>
      </w:r>
      <w:r>
        <w:rPr>
          <w:rFonts w:ascii="Times New Roman" w:cs="Times New Roman" w:eastAsia="Times New Roman" w:hAnsi="Times New Roman"/>
          <w:sz w:val="13"/>
          <w:szCs w:val="13"/>
          <w:color w:val="auto"/>
        </w:rPr>
        <w:t xml:space="preserve">”) (or another nationally recognized tax advisor or counsel if Skadden is unable or unwilling to issue such written opinion), dated as of the Closing Date, based on the facts, representations, assumptions and exclusions set forth or described in such opinion, and substantially in the form set forth in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Parent Disclosure Schedule, to the effect that the Merger will qualify for the Intended Tax Treatment. In rendering such opinion, Skadden (or another nationally recognized tax advisor or counsel, as applicable) shall be entitled to rely upon customary assumptions, representations, warranties and covenants reasonably satisfactory to it, including representations, warranties and covenants set forth in certificates of officers of Parent, Merger Sub and the Company, in substantially the forms set forth in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Parent Disclosure Schedule and </w:t>
      </w:r>
      <w:r>
        <w:rPr>
          <w:rFonts w:ascii="Times New Roman" w:cs="Times New Roman" w:eastAsia="Times New Roman" w:hAnsi="Times New Roman"/>
          <w:sz w:val="13"/>
          <w:szCs w:val="13"/>
          <w:u w:val="single" w:color="auto"/>
          <w:color w:val="auto"/>
        </w:rPr>
        <w:t>Section 4.10(c)</w:t>
      </w:r>
      <w:r>
        <w:rPr>
          <w:rFonts w:ascii="Times New Roman" w:cs="Times New Roman" w:eastAsia="Times New Roman" w:hAnsi="Times New Roman"/>
          <w:sz w:val="13"/>
          <w:szCs w:val="13"/>
          <w:color w:val="auto"/>
        </w:rPr>
        <w:t xml:space="preserve"> of the Company Disclosure Schedule.</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Common Stock</w:t>
      </w:r>
      <w:r>
        <w:rPr>
          <w:rFonts w:ascii="Times New Roman" w:cs="Times New Roman" w:eastAsia="Times New Roman" w:hAnsi="Times New Roman"/>
          <w:sz w:val="13"/>
          <w:szCs w:val="13"/>
          <w:color w:val="auto"/>
        </w:rPr>
        <w:t>” shall mean the common stock, par value $0.01 per share, of Parent.</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Convertible Note Hedges</w:t>
      </w:r>
      <w:r>
        <w:rPr>
          <w:rFonts w:ascii="Times New Roman" w:cs="Times New Roman" w:eastAsia="Times New Roman" w:hAnsi="Times New Roman"/>
          <w:sz w:val="13"/>
          <w:szCs w:val="13"/>
          <w:color w:val="auto"/>
        </w:rPr>
        <w:t>” shall mean, collectively, (i) the privately negotiated convertible note hedge transactions, dated May 11, 2021 and May 17, 2021, entered into in connection with the Parent 2027 Convertible Notes, (ii) the privately negotiated convertible note hedge transactions, dated February 23, 2023, entered into in connection with the Parent 2029 Convertible Notes and (iii) the privately negotiated convertible note hedge transactions, dated May 6, 2026 and May 8, 2026, entered into in connection with the Parent 2031 Convertible Notes.</w:t>
      </w:r>
    </w:p>
    <w:p>
      <w:pPr>
        <w:spacing w:after="0" w:line="129" w:lineRule="exact"/>
        <w:rPr>
          <w:sz w:val="20"/>
          <w:szCs w:val="20"/>
          <w:color w:val="auto"/>
        </w:rPr>
      </w:pPr>
    </w:p>
    <w:p>
      <w:pPr>
        <w:jc w:val="both"/>
        <w:ind w:right="20"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Convertible Note Warrants</w:t>
      </w:r>
      <w:r>
        <w:rPr>
          <w:rFonts w:ascii="Times New Roman" w:cs="Times New Roman" w:eastAsia="Times New Roman" w:hAnsi="Times New Roman"/>
          <w:sz w:val="13"/>
          <w:szCs w:val="13"/>
          <w:color w:val="auto"/>
        </w:rPr>
        <w:t>” shall mean, collectively, (i) the privately negotiated warrant transactions, dated May 11, 2021 and May 17, 2021, entered into in connection with the Parent 2027 Convertible Notes, (ii) the privately negotiated warrant transactions, dated February 23, 2023, entered into in connection with Parent 2029 Convertible Notes and (iii) the privately negotiated warrant transactions, dated May 6, 2026 and May 8, 2026, entered into in connection with Parent 2031 Convertible Notes.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Convertible Notes</w:t>
      </w:r>
      <w:r>
        <w:rPr>
          <w:rFonts w:ascii="Times New Roman" w:cs="Times New Roman" w:eastAsia="Times New Roman" w:hAnsi="Times New Roman"/>
          <w:sz w:val="13"/>
          <w:szCs w:val="13"/>
          <w:color w:val="auto"/>
        </w:rPr>
        <w:t>” shall mean, collectively, (i) the Parent 2027 Convertible Notes, (ii) the Parent 2029 Convertible Notes and (iii) the Parent 2031 Convertible Notes.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Employee</w:t>
      </w:r>
      <w:r>
        <w:rPr>
          <w:rFonts w:ascii="Times New Roman" w:cs="Times New Roman" w:eastAsia="Times New Roman" w:hAnsi="Times New Roman"/>
          <w:sz w:val="13"/>
          <w:szCs w:val="13"/>
          <w:color w:val="auto"/>
        </w:rPr>
        <w:t>” shall mean any officer or any other employee (full-time or part-time) of Parent or any of its Subsidiaries.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Equity Agreements</w:t>
      </w:r>
      <w:r>
        <w:rPr>
          <w:rFonts w:ascii="Times New Roman" w:cs="Times New Roman" w:eastAsia="Times New Roman" w:hAnsi="Times New Roman"/>
          <w:sz w:val="13"/>
          <w:szCs w:val="13"/>
          <w:color w:val="auto"/>
        </w:rPr>
        <w:t>” shall mean the Parent Equity Plan (together with all grant agreements evidencing Parent RSUs or Parent Options) and the Parent ESPP.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Equity Plan</w:t>
      </w:r>
      <w:r>
        <w:rPr>
          <w:rFonts w:ascii="Times New Roman" w:cs="Times New Roman" w:eastAsia="Times New Roman" w:hAnsi="Times New Roman"/>
          <w:sz w:val="13"/>
          <w:szCs w:val="13"/>
          <w:color w:val="auto"/>
        </w:rPr>
        <w:t>” shall mean Parent’s Amended and Restated Stock Incentive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ESPP</w:t>
      </w:r>
      <w:r>
        <w:rPr>
          <w:rFonts w:ascii="Times New Roman" w:cs="Times New Roman" w:eastAsia="Times New Roman" w:hAnsi="Times New Roman"/>
          <w:sz w:val="13"/>
          <w:szCs w:val="13"/>
          <w:color w:val="auto"/>
        </w:rPr>
        <w:t>” shall mean Parent’s 2000 Employee Stock Purchase Plan, as amended and restated.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IP</w:t>
      </w:r>
      <w:r>
        <w:rPr>
          <w:rFonts w:ascii="Times New Roman" w:cs="Times New Roman" w:eastAsia="Times New Roman" w:hAnsi="Times New Roman"/>
          <w:sz w:val="13"/>
          <w:szCs w:val="13"/>
          <w:color w:val="auto"/>
        </w:rPr>
        <w:t>” shall mean all Intellectual Property Rights owned, or purported to be owned, by Parent or any Parent Subsidiary.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6" w:name="page107"/>
    <w:bookmarkEnd w:id="106"/>
    <w:p>
      <w:pPr>
        <w:jc w:val="both"/>
        <w:ind w:left="2" w:firstLine="467"/>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Material Adverse Effect</w:t>
      </w:r>
      <w:r>
        <w:rPr>
          <w:rFonts w:ascii="Times New Roman" w:cs="Times New Roman" w:eastAsia="Times New Roman" w:hAnsi="Times New Roman"/>
          <w:sz w:val="13"/>
          <w:szCs w:val="13"/>
          <w:color w:val="auto"/>
        </w:rPr>
        <w:t xml:space="preserve">” shall mean any Effect that (i) has had a material adverse effect on the business, condition (financial or otherwise), assets and liabilities (taken together) or results of operations of Parent and the Parent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with respect to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only, no Effect to the extent resulting from or arising out of any of the following shall be deemed to constitute, or be taken into account in determining the existence of, a Parent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Parent or any of its Subsidiaries operate; (C) any change, decline or increase in the market price or trading volume of, or suspension of trading in, Parent’s equity securities or other securities or indebtedness (it being understood that the underlying causes thereof may be taken into account if not otherwise excluded by another clause of this definition); (D) any failure by Parent or any of the Parent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the Company or any of its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exceptions in this </w:t>
      </w:r>
      <w:r>
        <w:rPr>
          <w:rFonts w:ascii="Times New Roman" w:cs="Times New Roman" w:eastAsia="Times New Roman" w:hAnsi="Times New Roman"/>
          <w:sz w:val="13"/>
          <w:szCs w:val="13"/>
          <w:u w:val="single" w:color="auto"/>
          <w:color w:val="auto"/>
        </w:rPr>
        <w:t>clause (H)</w:t>
      </w:r>
      <w:r>
        <w:rPr>
          <w:rFonts w:ascii="Times New Roman" w:cs="Times New Roman" w:eastAsia="Times New Roman" w:hAnsi="Times New Roman"/>
          <w:sz w:val="13"/>
          <w:szCs w:val="13"/>
          <w:color w:val="auto"/>
        </w:rPr>
        <w:t xml:space="preserve"> will not apply with respect to the representations and warranties contained in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or to </w:t>
      </w:r>
      <w:r>
        <w:rPr>
          <w:rFonts w:ascii="Times New Roman" w:cs="Times New Roman" w:eastAsia="Times New Roman" w:hAnsi="Times New Roman"/>
          <w:sz w:val="13"/>
          <w:szCs w:val="13"/>
          <w:u w:val="single" w:color="auto"/>
          <w:color w:val="auto"/>
        </w:rPr>
        <w:t>Section 5.3(a)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6.1(h)</w:t>
      </w:r>
      <w:r>
        <w:rPr>
          <w:rFonts w:ascii="Times New Roman" w:cs="Times New Roman" w:eastAsia="Times New Roman" w:hAnsi="Times New Roman"/>
          <w:sz w:val="13"/>
          <w:szCs w:val="13"/>
          <w:color w:val="auto"/>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Parent or any of its Subsidiaries that is expressly required by this Agreement, or expressly prohibited by this Agreement, or taken at the written request, direction, consent or approval of the Company; or</w:t>
      </w:r>
    </w:p>
    <w:p>
      <w:pPr>
        <w:spacing w:after="0" w:line="10" w:lineRule="exact"/>
        <w:rPr>
          <w:sz w:val="20"/>
          <w:szCs w:val="20"/>
          <w:color w:val="auto"/>
        </w:rPr>
      </w:pPr>
    </w:p>
    <w:p>
      <w:pPr>
        <w:jc w:val="both"/>
        <w:ind w:left="2" w:right="20" w:hanging="2"/>
        <w:spacing w:after="0" w:line="254" w:lineRule="auto"/>
        <w:tabs>
          <w:tab w:leader="none" w:pos="221"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breach, violation or non performance of this Agreement by the Company or any of its Affiliates;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xml:space="preserve">, that any Effect described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(G)</w:t>
      </w:r>
      <w:r>
        <w:rPr>
          <w:rFonts w:ascii="Times New Roman" w:cs="Times New Roman" w:eastAsia="Times New Roman" w:hAnsi="Times New Roman"/>
          <w:sz w:val="13"/>
          <w:szCs w:val="13"/>
          <w:color w:val="auto"/>
        </w:rPr>
        <w:t xml:space="preserve"> may be taken into account in determining whether a Parent Material Adverse Effect has occurred if, and solely to the extent that, such Effect has a disproportionate adverse impact on Parent and Parent’s Subsidiaries, taken as a whole, as compared to other companies of comparable size operating in the same industries, geographies and markets (and, in such case, only to the extent of such disproportionate adverse impact).</w:t>
      </w:r>
    </w:p>
    <w:p>
      <w:pPr>
        <w:spacing w:after="0" w:line="136"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Options</w:t>
      </w:r>
      <w:r>
        <w:rPr>
          <w:rFonts w:ascii="Times New Roman" w:cs="Times New Roman" w:eastAsia="Times New Roman" w:hAnsi="Times New Roman"/>
          <w:sz w:val="13"/>
          <w:szCs w:val="13"/>
          <w:color w:val="auto"/>
        </w:rPr>
        <w:t>” shall mean options to purchase shares of Parent Common Stock from Parent.</w:t>
      </w:r>
    </w:p>
    <w:p>
      <w:pPr>
        <w:spacing w:after="0" w:line="28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107" w:name="page108"/>
    <w:bookmarkEnd w:id="107"/>
    <w:p>
      <w:pPr>
        <w:jc w:val="both"/>
        <w:ind w:left="2" w:firstLine="467"/>
        <w:spacing w:after="0" w:line="27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Parent Permitted Encumbrances</w:t>
      </w:r>
      <w:r>
        <w:rPr>
          <w:rFonts w:ascii="Times New Roman" w:cs="Times New Roman" w:eastAsia="Times New Roman" w:hAnsi="Times New Roman"/>
          <w:sz w:val="12"/>
          <w:szCs w:val="12"/>
          <w:color w:val="auto"/>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Leased Real Property, Liens affecting the interest of the owner of the real property that is the subject of such applicable Leased Real Property; (h) Liens arising under any Parent indentures or the Parent’s existing credit facility (or any replacement or refinancing thereof in accordance with this Agreement); and</w:t>
      </w:r>
    </w:p>
    <w:p>
      <w:pPr>
        <w:spacing w:after="0" w:line="1" w:lineRule="exact"/>
        <w:rPr>
          <w:sz w:val="20"/>
          <w:szCs w:val="20"/>
          <w:color w:val="auto"/>
        </w:rPr>
      </w:pPr>
    </w:p>
    <w:p>
      <w:pPr>
        <w:ind w:left="2" w:right="20" w:hanging="2"/>
        <w:spacing w:after="0" w:line="259" w:lineRule="auto"/>
        <w:tabs>
          <w:tab w:leader="none" w:pos="167"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spacing w:after="0" w:line="132" w:lineRule="exact"/>
        <w:rPr>
          <w:sz w:val="20"/>
          <w:szCs w:val="20"/>
          <w:color w:val="auto"/>
        </w:rPr>
      </w:pPr>
    </w:p>
    <w:p>
      <w:pPr>
        <w:jc w:val="both"/>
        <w:ind w:left="2" w:right="20" w:firstLine="467"/>
        <w:spacing w:after="0" w:line="25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Plan</w:t>
      </w:r>
      <w:r>
        <w:rPr>
          <w:rFonts w:ascii="Times New Roman" w:cs="Times New Roman" w:eastAsia="Times New Roman" w:hAnsi="Times New Roman"/>
          <w:sz w:val="13"/>
          <w:szCs w:val="13"/>
          <w:color w:val="auto"/>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governmental plan or program requiring the mandatory payment of social insurance taxes or similar contributions to a governmental fund with respect to the wages of an employee will not be considered a “Parent Plan”.</w:t>
      </w:r>
    </w:p>
    <w:p>
      <w:pPr>
        <w:spacing w:after="0" w:line="138" w:lineRule="exact"/>
        <w:rPr>
          <w:sz w:val="20"/>
          <w:szCs w:val="20"/>
          <w:color w:val="auto"/>
        </w:rPr>
      </w:pPr>
    </w:p>
    <w:p>
      <w:pPr>
        <w:jc w:val="both"/>
        <w:ind w:left="2"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Products</w:t>
      </w:r>
      <w:r>
        <w:rPr>
          <w:rFonts w:ascii="Times New Roman" w:cs="Times New Roman" w:eastAsia="Times New Roman" w:hAnsi="Times New Roman"/>
          <w:sz w:val="13"/>
          <w:szCs w:val="13"/>
          <w:color w:val="auto"/>
        </w:rPr>
        <w:t>” shall mean any and all products and services that are or have been since January 1, 2024 marketed, offered, sold, licensed, provided, distributed or supported by Parent or any Parent Subsidiary.</w:t>
      </w:r>
    </w:p>
    <w:p>
      <w:pPr>
        <w:spacing w:after="0" w:line="121" w:lineRule="exact"/>
        <w:rPr>
          <w:sz w:val="20"/>
          <w:szCs w:val="20"/>
          <w:color w:val="auto"/>
        </w:rPr>
      </w:pPr>
    </w:p>
    <w:p>
      <w:pPr>
        <w:jc w:val="both"/>
        <w:ind w:left="2"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RSUs</w:t>
      </w:r>
      <w:r>
        <w:rPr>
          <w:rFonts w:ascii="Times New Roman" w:cs="Times New Roman" w:eastAsia="Times New Roman" w:hAnsi="Times New Roman"/>
          <w:sz w:val="13"/>
          <w:szCs w:val="13"/>
          <w:color w:val="auto"/>
        </w:rPr>
        <w:t>” shall mean restricted stock units representing the right to vest in and be issued shares of Parent Common Stock by Parent that are subject to vesting restrictions based on continuing service or based on performance.</w:t>
      </w:r>
    </w:p>
    <w:p>
      <w:pPr>
        <w:spacing w:after="0" w:line="121"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Subsidiary</w:t>
      </w:r>
      <w:r>
        <w:rPr>
          <w:rFonts w:ascii="Times New Roman" w:cs="Times New Roman" w:eastAsia="Times New Roman" w:hAnsi="Times New Roman"/>
          <w:sz w:val="13"/>
          <w:szCs w:val="13"/>
          <w:color w:val="auto"/>
        </w:rPr>
        <w:t>” shall mean any direct or indirect Subsidiary of Parent.</w:t>
      </w:r>
    </w:p>
    <w:p>
      <w:pPr>
        <w:spacing w:after="0" w:line="162"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any individual or Entity.</w:t>
      </w:r>
    </w:p>
    <w:p>
      <w:pPr>
        <w:spacing w:after="0" w:line="162" w:lineRule="exact"/>
        <w:rPr>
          <w:sz w:val="20"/>
          <w:szCs w:val="20"/>
          <w:color w:val="auto"/>
        </w:rPr>
      </w:pPr>
    </w:p>
    <w:p>
      <w:pPr>
        <w:jc w:val="both"/>
        <w:ind w:left="2" w:right="20" w:firstLine="467"/>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Personal Data</w:t>
      </w:r>
      <w:r>
        <w:rPr>
          <w:rFonts w:ascii="Times New Roman" w:cs="Times New Roman" w:eastAsia="Times New Roman" w:hAnsi="Times New Roman"/>
          <w:sz w:val="13"/>
          <w:szCs w:val="13"/>
          <w:color w:val="auto"/>
        </w:rPr>
        <w:t>” shall mean any information about an identifiable natural person that alone or in combination with other information identifies, or could be used to identify, a natural person, and includes a name, an identification number, location data, an online identifier or to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w:t>
      </w:r>
    </w:p>
    <w:p>
      <w:pPr>
        <w:spacing w:after="0" w:line="2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7" w:right="299" w:bottom="1440" w:gutter="0" w:footer="0" w:header="0"/>
        </w:sectPr>
      </w:pPr>
    </w:p>
    <w:bookmarkStart w:id="108" w:name="page109"/>
    <w:bookmarkEnd w:id="108"/>
    <w:p>
      <w:pPr>
        <w:jc w:val="both"/>
        <w:ind w:left="2"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Privacy Laws</w:t>
      </w:r>
      <w:r>
        <w:rPr>
          <w:rFonts w:ascii="Times New Roman" w:cs="Times New Roman" w:eastAsia="Times New Roman" w:hAnsi="Times New Roman"/>
          <w:sz w:val="13"/>
          <w:szCs w:val="13"/>
          <w:color w:val="auto"/>
        </w:rPr>
        <w:t>”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w:t>
      </w:r>
    </w:p>
    <w:p>
      <w:pPr>
        <w:spacing w:after="0" w:line="129"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Prohibited Payment</w:t>
      </w:r>
      <w:r>
        <w:rPr>
          <w:rFonts w:ascii="Times New Roman" w:cs="Times New Roman" w:eastAsia="Times New Roman" w:hAnsi="Times New Roman"/>
          <w:sz w:val="13"/>
          <w:szCs w:val="13"/>
          <w:color w:val="auto"/>
        </w:rPr>
        <w:t>” shall mean (a) the use of any corporate funds, directly or indirectly, for any unlawful contributions, gifts, entertainment, or other unlawful expenses relating to any political activity; or</w:t>
      </w:r>
    </w:p>
    <w:p>
      <w:pPr>
        <w:spacing w:after="0" w:line="18" w:lineRule="exact"/>
        <w:rPr>
          <w:sz w:val="20"/>
          <w:szCs w:val="20"/>
          <w:color w:val="auto"/>
        </w:rPr>
      </w:pPr>
    </w:p>
    <w:p>
      <w:pPr>
        <w:jc w:val="both"/>
        <w:ind w:left="2" w:hanging="2"/>
        <w:spacing w:after="0" w:line="254" w:lineRule="auto"/>
        <w:tabs>
          <w:tab w:leader="none" w:pos="188"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spacing w:after="0" w:line="136" w:lineRule="exact"/>
        <w:rPr>
          <w:sz w:val="20"/>
          <w:szCs w:val="20"/>
          <w:color w:val="auto"/>
        </w:rPr>
      </w:pPr>
    </w:p>
    <w:p>
      <w:pPr>
        <w:jc w:val="both"/>
        <w:ind w:left="2" w:firstLine="467"/>
        <w:spacing w:after="0" w:line="25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Prohibited Person</w:t>
      </w:r>
      <w:r>
        <w:rPr>
          <w:rFonts w:ascii="Times New Roman" w:cs="Times New Roman" w:eastAsia="Times New Roman" w:hAnsi="Times New Roman"/>
          <w:sz w:val="13"/>
          <w:szCs w:val="13"/>
          <w:color w:val="auto"/>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 w:cs="Times New Roman" w:eastAsia="Times New Roman" w:hAnsi="Times New Roman"/>
          <w:sz w:val="13"/>
          <w:szCs w:val="13"/>
          <w:u w:val="single" w:color="auto"/>
          <w:color w:val="auto"/>
        </w:rPr>
        <w:t>Sanctioned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Territories</w:t>
      </w:r>
      <w:r>
        <w:rPr>
          <w:rFonts w:ascii="Times New Roman" w:cs="Times New Roman" w:eastAsia="Times New Roman" w:hAnsi="Times New Roman"/>
          <w:sz w:val="13"/>
          <w:szCs w:val="13"/>
          <w:color w:val="auto"/>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 w:cs="Times New Roman" w:eastAsia="Times New Roman" w:hAnsi="Times New Roman"/>
          <w:sz w:val="13"/>
          <w:szCs w:val="13"/>
          <w:u w:val="single" w:color="auto"/>
          <w:color w:val="auto"/>
        </w:rPr>
        <w:t>Ch. V</w:t>
      </w:r>
      <w:r>
        <w:rPr>
          <w:rFonts w:ascii="Times New Roman" w:cs="Times New Roman" w:eastAsia="Times New Roman" w:hAnsi="Times New Roman"/>
          <w:sz w:val="13"/>
          <w:szCs w:val="13"/>
          <w:color w:val="auto"/>
        </w:rPr>
        <w:t>),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w:t>
      </w:r>
    </w:p>
    <w:p>
      <w:pPr>
        <w:spacing w:after="0" w:line="138"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Proxy Statement/Prospectus</w:t>
      </w:r>
      <w:r>
        <w:rPr>
          <w:rFonts w:ascii="Times New Roman" w:cs="Times New Roman" w:eastAsia="Times New Roman" w:hAnsi="Times New Roman"/>
          <w:sz w:val="13"/>
          <w:szCs w:val="13"/>
          <w:color w:val="auto"/>
        </w:rPr>
        <w:t>” shall mean the proxy statement/prospectus to be sent to the Company’s stockholders in connection with the Company Stockholder Meeting.</w:t>
      </w:r>
    </w:p>
    <w:p>
      <w:pPr>
        <w:spacing w:after="0" w:line="162" w:lineRule="exact"/>
        <w:rPr>
          <w:sz w:val="20"/>
          <w:szCs w:val="20"/>
          <w:color w:val="auto"/>
        </w:rPr>
      </w:pPr>
    </w:p>
    <w:p>
      <w:pPr>
        <w:jc w:val="both"/>
        <w:ind w:left="2" w:firstLine="467"/>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Registered IP</w:t>
      </w:r>
      <w:r>
        <w:rPr>
          <w:rFonts w:ascii="Times New Roman" w:cs="Times New Roman" w:eastAsia="Times New Roman" w:hAnsi="Times New Roman"/>
          <w:sz w:val="13"/>
          <w:szCs w:val="13"/>
          <w:color w:val="auto"/>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w:t>
      </w:r>
    </w:p>
    <w:p>
      <w:pPr>
        <w:spacing w:after="0" w:line="133" w:lineRule="exact"/>
        <w:rPr>
          <w:sz w:val="20"/>
          <w:szCs w:val="20"/>
          <w:color w:val="auto"/>
        </w:rPr>
      </w:pPr>
    </w:p>
    <w:p>
      <w:pPr>
        <w:ind w:left="46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Termination Fee</w:t>
      </w:r>
      <w:r>
        <w:rPr>
          <w:rFonts w:ascii="Times New Roman" w:cs="Times New Roman" w:eastAsia="Times New Roman" w:hAnsi="Times New Roman"/>
          <w:sz w:val="13"/>
          <w:szCs w:val="13"/>
          <w:color w:val="auto"/>
        </w:rPr>
        <w:t>” shall mean an amount in cash equal to Three Hundred Twenty Million dollars ($320,000,000).</w:t>
      </w:r>
    </w:p>
    <w:p>
      <w:pPr>
        <w:spacing w:after="0" w:line="162" w:lineRule="exact"/>
        <w:rPr>
          <w:sz w:val="20"/>
          <w:szCs w:val="20"/>
          <w:color w:val="auto"/>
        </w:rPr>
      </w:pPr>
    </w:p>
    <w:p>
      <w:pPr>
        <w:jc w:val="both"/>
        <w:ind w:left="2"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shall mean, with respect to a Person, all of the officers, directors, employees, consultants, legal representatives, agents, advisors, auditors, investment bankers, Affiliates and other representatives of such Person.</w:t>
      </w:r>
    </w:p>
    <w:p>
      <w:pPr>
        <w:spacing w:after="0" w:line="24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0"/>
          <w:szCs w:val="1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70420" cy="12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2"/>
          </w:cols>
          <w:pgMar w:left="298" w:top="127" w:right="319" w:bottom="1440" w:gutter="0" w:footer="0" w:header="0"/>
        </w:sectPr>
      </w:pPr>
    </w:p>
    <w:bookmarkStart w:id="109" w:name="page110"/>
    <w:bookmarkEnd w:id="109"/>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Sanctions Laws</w:t>
      </w:r>
      <w:r>
        <w:rPr>
          <w:rFonts w:ascii="Times New Roman" w:cs="Times New Roman" w:eastAsia="Times New Roman" w:hAnsi="Times New Roman"/>
          <w:sz w:val="13"/>
          <w:szCs w:val="13"/>
          <w:color w:val="auto"/>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shall mean the United States Securities and Exchange Commission.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162"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Software</w:t>
      </w:r>
      <w:r>
        <w:rPr>
          <w:rFonts w:ascii="Times New Roman" w:cs="Times New Roman" w:eastAsia="Times New Roman" w:hAnsi="Times New Roman"/>
          <w:sz w:val="13"/>
          <w:szCs w:val="13"/>
          <w:color w:val="auto"/>
        </w:rPr>
        <w:t>”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w:t>
      </w:r>
    </w:p>
    <w:p>
      <w:pPr>
        <w:spacing w:after="0" w:line="129" w:lineRule="exact"/>
        <w:rPr>
          <w:sz w:val="20"/>
          <w:szCs w:val="20"/>
          <w:color w:val="auto"/>
        </w:rPr>
      </w:pPr>
    </w:p>
    <w:p>
      <w:pPr>
        <w:jc w:val="both"/>
        <w:ind w:firstLine="467"/>
        <w:spacing w:after="0" w:line="264" w:lineRule="auto"/>
        <w:rPr>
          <w:sz w:val="20"/>
          <w:szCs w:val="20"/>
          <w:color w:val="auto"/>
        </w:rPr>
      </w:pPr>
      <w:r>
        <w:rPr>
          <w:rFonts w:ascii="Times New Roman" w:cs="Times New Roman" w:eastAsia="Times New Roman" w:hAnsi="Times New Roman"/>
          <w:sz w:val="13"/>
          <w:szCs w:val="13"/>
          <w:color w:val="auto"/>
        </w:rPr>
        <w:t>An Entity shall be deemed to be a “</w:t>
      </w:r>
      <w:r>
        <w:rPr>
          <w:rFonts w:ascii="Times New Roman" w:cs="Times New Roman" w:eastAsia="Times New Roman" w:hAnsi="Times New Roman"/>
          <w:sz w:val="13"/>
          <w:szCs w:val="13"/>
          <w:u w:val="single" w:color="auto"/>
          <w:color w:val="auto"/>
        </w:rPr>
        <w:t>Subsidiary</w:t>
      </w:r>
      <w:r>
        <w:rPr>
          <w:rFonts w:ascii="Times New Roman" w:cs="Times New Roman" w:eastAsia="Times New Roman" w:hAnsi="Times New Roman"/>
          <w:sz w:val="13"/>
          <w:szCs w:val="13"/>
          <w:color w:val="auto"/>
        </w:rPr>
        <w:t>”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w:t>
      </w:r>
    </w:p>
    <w:p>
      <w:pPr>
        <w:spacing w:after="0" w:line="129" w:lineRule="exact"/>
        <w:rPr>
          <w:sz w:val="20"/>
          <w:szCs w:val="20"/>
          <w:color w:val="auto"/>
        </w:rPr>
      </w:pPr>
    </w:p>
    <w:p>
      <w:pPr>
        <w:jc w:val="both"/>
        <w:ind w:firstLine="467"/>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Superior Proposal</w:t>
      </w:r>
      <w:r>
        <w:rPr>
          <w:rFonts w:ascii="Times New Roman" w:cs="Times New Roman" w:eastAsia="Times New Roman" w:hAnsi="Times New Roman"/>
          <w:sz w:val="13"/>
          <w:szCs w:val="13"/>
          <w:color w:val="auto"/>
        </w:rPr>
        <w:t xml:space="preserve">” shall mean any bona fide written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Acquisition Proposal, including the identity of the Person making such Acquisition Proposal and likelihood of obtaining financing for such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Acquisition Proposal pursuant to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Returns</w:t>
      </w:r>
      <w:r>
        <w:rPr>
          <w:rFonts w:ascii="Times New Roman" w:cs="Times New Roman" w:eastAsia="Times New Roman" w:hAnsi="Times New Roman"/>
          <w:sz w:val="13"/>
          <w:szCs w:val="13"/>
          <w:color w:val="auto"/>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spacing w:after="0" w:line="121" w:lineRule="exact"/>
        <w:rPr>
          <w:sz w:val="20"/>
          <w:szCs w:val="20"/>
          <w:color w:val="auto"/>
        </w:rPr>
      </w:pPr>
    </w:p>
    <w:p>
      <w:pPr>
        <w:jc w:val="both"/>
        <w:ind w:firstLine="467"/>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0" w:name="page111"/>
    <w:bookmarkEnd w:id="110"/>
    <w:p>
      <w:pPr>
        <w:jc w:val="both"/>
        <w:ind w:firstLine="467"/>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Technology</w:t>
      </w:r>
      <w:r>
        <w:rPr>
          <w:rFonts w:ascii="Times New Roman" w:cs="Times New Roman" w:eastAsia="Times New Roman" w:hAnsi="Times New Roman"/>
          <w:sz w:val="13"/>
          <w:szCs w:val="13"/>
          <w:color w:val="auto"/>
        </w:rPr>
        <w:t>”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w:t>
      </w:r>
    </w:p>
    <w:p>
      <w:pPr>
        <w:spacing w:after="0" w:line="140" w:lineRule="exact"/>
        <w:rPr>
          <w:sz w:val="20"/>
          <w:szCs w:val="20"/>
          <w:color w:val="auto"/>
        </w:rPr>
      </w:pPr>
    </w:p>
    <w:p>
      <w:pPr>
        <w:jc w:val="both"/>
        <w:ind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Top Customer</w:t>
      </w:r>
      <w:r>
        <w:rPr>
          <w:rFonts w:ascii="Times New Roman" w:cs="Times New Roman" w:eastAsia="Times New Roman" w:hAnsi="Times New Roman"/>
          <w:sz w:val="13"/>
          <w:szCs w:val="13"/>
          <w:color w:val="auto"/>
        </w:rPr>
        <w:t>” shall mean (i) a top twenty (20) customer of the Company and the Company Subsidiaries, taken as a whole, based on revenues during the twelve (12) months ended June 28, 2025, and (ii) a top twenty (20) customer of the Company and the Company Subsidiaries, taken as a whole, based on expected revenues during the twelve (12) months ended June 25, 2026.</w:t>
      </w:r>
    </w:p>
    <w:p>
      <w:pPr>
        <w:spacing w:after="0" w:line="121"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Top Distributor</w:t>
      </w:r>
      <w:r>
        <w:rPr>
          <w:rFonts w:ascii="Times New Roman" w:cs="Times New Roman" w:eastAsia="Times New Roman" w:hAnsi="Times New Roman"/>
          <w:sz w:val="13"/>
          <w:szCs w:val="13"/>
          <w:color w:val="auto"/>
        </w:rPr>
        <w:t>” shall mean (i) a top ten (10) distributor of the Company and the Company Subsidiaries, taken as a whole, based on revenues during the twelve (12) months ended June 28, 2025, and (ii) a top ten (10) Distributor of the Company and the Company Subsidiaries, taken as a whole, based on expected revenues during the twelve (12) months ended June 25, 2026.</w:t>
      </w:r>
    </w:p>
    <w:p>
      <w:pPr>
        <w:spacing w:after="0" w:line="121" w:lineRule="exact"/>
        <w:rPr>
          <w:sz w:val="20"/>
          <w:szCs w:val="20"/>
          <w:color w:val="auto"/>
        </w:rPr>
      </w:pPr>
    </w:p>
    <w:p>
      <w:pPr>
        <w:jc w:val="both"/>
        <w:ind w:right="20" w:firstLine="467"/>
        <w:spacing w:after="0" w:line="27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Top Supplier</w:t>
      </w:r>
      <w:r>
        <w:rPr>
          <w:rFonts w:ascii="Times New Roman" w:cs="Times New Roman" w:eastAsia="Times New Roman" w:hAnsi="Times New Roman"/>
          <w:sz w:val="13"/>
          <w:szCs w:val="13"/>
          <w:color w:val="auto"/>
        </w:rPr>
        <w:t>” shall mean (i) a top ten (10) supplier of the Company and the Company Subsidiaries, taken as a whole, based on expenditures during the twelve (12) months ended June 28, 2025, and (ii) a top ten (10) Supplier of the Company and the Company Subsidiaries, taken as a whole, based on expected expenditures during the twelve (12) months ended June 25, 2026.</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shall mean a day on which shares of Parent Common Stock are traded on Nasdaq.</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shall mean the regulations prescribed under the Code (including any temporary regulations, amended or successor provisions with respect to such regulations).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70420" cy="12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20" w:type="dxa"/>
            <w:vAlign w:val="bottom"/>
            <w:gridSpan w:val="3"/>
          </w:tcPr>
          <w:p>
            <w:pPr>
              <w:jc w:val="center"/>
              <w:ind w:right="1515"/>
              <w:spacing w:after="0"/>
              <w:rPr>
                <w:sz w:val="20"/>
                <w:szCs w:val="20"/>
                <w:color w:val="auto"/>
              </w:rPr>
            </w:pPr>
            <w:r>
              <w:rPr>
                <w:rFonts w:ascii="Times New Roman" w:cs="Times New Roman" w:eastAsia="Times New Roman" w:hAnsi="Times New Roman"/>
                <w:sz w:val="13"/>
                <w:szCs w:val="13"/>
                <w:b w:val="1"/>
                <w:bCs w:val="1"/>
                <w:color w:val="auto"/>
                <w:w w:val="99"/>
              </w:rPr>
              <w:t>ADDITIONAL DEFINED TERMS INDEX</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60" w:type="dxa"/>
            <w:vAlign w:val="bottom"/>
            <w:vMerge w:val="restart"/>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vMerge w:val="continue"/>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Cancelled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Capped Call Dealers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Final Exercise Date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Foreign Plan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Closing</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Fractional Share Cash Amount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Harmful Code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Indemnified Parties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401(k) Plan</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Intended Tax Treatment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Accelerated MSU</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intentional and material breach</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Accelerated MSU Payment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Intervening Event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Accelerated PSU</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IT Systems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Accelerated PSU Payment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Leased Real Property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Accelerated RSU</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Letter of Transmittal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Accelerated RSU Payment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Material Contract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Board Recommendation</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Maximum Amount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Book-Entry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CapEx Budget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Capitalization Date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Merger Sub</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Change in Recommendation</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Nasdaq</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Converted MSU</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Non-Budgeted Company Capital Expenditure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Converted PSU</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Converted RSU</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Parent 401(k) Plan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Disclosure Schedule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 Capitalization Date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ESPP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Parent Disclosure Schedule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Financial Advisor</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 Permits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Permits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Parent Registered IP</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Registered IP</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 Returns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Returns</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Parent SEC 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Company Stock Certificate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Parent Share Issuance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Meeting</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Payoff Letter</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Continuing Employee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Permitted Debt Modification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 Payoff Amount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Real Property Leases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Credit Facility Termination</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Regulatory Remedies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D&amp;O Policy</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Relevant Legal Restraint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Delaware Secretary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DTC</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Sanctioned Territories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Significant Company Subsidiary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End Date</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Significant Parent Subsidiary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Environmental Law</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Superior Proposal Notice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20" w:type="dxa"/>
            <w:vAlign w:val="bottom"/>
            <w:gridSpan w:val="2"/>
          </w:tcPr>
          <w:p>
            <w:pPr>
              <w:jc w:val="center"/>
              <w:ind w:right="3695"/>
              <w:spacing w:after="0"/>
              <w:rPr>
                <w:sz w:val="20"/>
                <w:szCs w:val="20"/>
                <w:color w:val="auto"/>
              </w:rPr>
            </w:pPr>
            <w:r>
              <w:rPr>
                <w:rFonts w:ascii="Times New Roman" w:cs="Times New Roman" w:eastAsia="Times New Roman" w:hAnsi="Times New Roman"/>
                <w:sz w:val="10"/>
                <w:szCs w:val="10"/>
                <w:color w:val="auto"/>
              </w:rPr>
              <w:t>A-15</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2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onsemi to Acquire Synaptics to Enable the Next Generation of Intelligent Systems for Physical AI</w:t>
      </w:r>
    </w:p>
    <w:p>
      <w:pPr>
        <w:spacing w:after="0" w:line="162" w:lineRule="exact"/>
        <w:rPr>
          <w:sz w:val="20"/>
          <w:szCs w:val="20"/>
          <w:color w:val="auto"/>
        </w:rPr>
      </w:pPr>
    </w:p>
    <w:p>
      <w:pPr>
        <w:ind w:left="462" w:hanging="229"/>
        <w:spacing w:after="0"/>
        <w:tabs>
          <w:tab w:leader="none" w:pos="462" w:val="left"/>
        </w:tabs>
        <w:numPr>
          <w:ilvl w:val="0"/>
          <w:numId w:val="1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Accelerates onsemi’s evolution, building on its strength in power and sensing to become a leading provider of intelligent systems — expanding from AI data centers into Physical AI</w:t>
      </w:r>
    </w:p>
    <w:p>
      <w:pPr>
        <w:spacing w:after="0" w:line="161" w:lineRule="exact"/>
        <w:rPr>
          <w:rFonts w:ascii="Times New Roman" w:cs="Times New Roman" w:eastAsia="Times New Roman" w:hAnsi="Times New Roman"/>
          <w:sz w:val="13"/>
          <w:szCs w:val="13"/>
          <w:i w:val="1"/>
          <w:iCs w:val="1"/>
          <w:color w:val="auto"/>
        </w:rPr>
      </w:pPr>
    </w:p>
    <w:p>
      <w:pPr>
        <w:ind w:left="462" w:hanging="229"/>
        <w:spacing w:after="0"/>
        <w:tabs>
          <w:tab w:leader="none" w:pos="462" w:val="left"/>
        </w:tabs>
        <w:numPr>
          <w:ilvl w:val="0"/>
          <w:numId w:val="1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Increases onsemi’s total addressable market by $30 billion to $243 billion by 2030</w:t>
      </w:r>
    </w:p>
    <w:p>
      <w:pPr>
        <w:spacing w:after="0" w:line="161" w:lineRule="exact"/>
        <w:rPr>
          <w:rFonts w:ascii="Times New Roman" w:cs="Times New Roman" w:eastAsia="Times New Roman" w:hAnsi="Times New Roman"/>
          <w:sz w:val="13"/>
          <w:szCs w:val="13"/>
          <w:i w:val="1"/>
          <w:iCs w:val="1"/>
          <w:color w:val="auto"/>
        </w:rPr>
      </w:pPr>
    </w:p>
    <w:p>
      <w:pPr>
        <w:ind w:left="462" w:hanging="229"/>
        <w:spacing w:after="0"/>
        <w:tabs>
          <w:tab w:leader="none" w:pos="462" w:val="left"/>
        </w:tabs>
        <w:numPr>
          <w:ilvl w:val="0"/>
          <w:numId w:val="1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Positions onsemi at the intersection of Power, Sense, Connected Compute and Control — the four pillars of Physical AI — which enable machines to sense, decide, act and adapt in the physical world</w:t>
      </w:r>
    </w:p>
    <w:p>
      <w:pPr>
        <w:spacing w:after="0" w:line="161" w:lineRule="exact"/>
        <w:rPr>
          <w:rFonts w:ascii="Times New Roman" w:cs="Times New Roman" w:eastAsia="Times New Roman" w:hAnsi="Times New Roman"/>
          <w:sz w:val="13"/>
          <w:szCs w:val="13"/>
          <w:i w:val="1"/>
          <w:iCs w:val="1"/>
          <w:color w:val="auto"/>
        </w:rPr>
      </w:pPr>
    </w:p>
    <w:p>
      <w:pPr>
        <w:ind w:left="462" w:hanging="229"/>
        <w:spacing w:after="0"/>
        <w:tabs>
          <w:tab w:leader="none" w:pos="462" w:val="left"/>
        </w:tabs>
        <w:numPr>
          <w:ilvl w:val="0"/>
          <w:numId w:val="1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Would combine complementary portfolios to drive significant customer value and deepen customer engagements</w:t>
      </w:r>
    </w:p>
    <w:p>
      <w:pPr>
        <w:spacing w:after="0" w:line="162" w:lineRule="exact"/>
        <w:rPr>
          <w:sz w:val="20"/>
          <w:szCs w:val="20"/>
          <w:color w:val="auto"/>
        </w:rPr>
      </w:pPr>
    </w:p>
    <w:p>
      <w:pPr>
        <w:ind w:left="2" w:right="40"/>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SCOTTSDALE, Ariz. &amp; SAN JOSE, Calif. – June 25, 2026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onsemi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ON)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Synaptics Incorporated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SYNA) today announced they have entered into a definitive agreement under which onsemi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has agreed to acquire Synaptics in an all-stock transaction, representing a total enterprise value of approximately $7 billion. The transaction value reflects a fixed exchange ratio of 1.350 shares of onsemi common stock for each Synaptics share and represents an approximately 19% premium to the volume weighted average closing prices of onsemi and Synaptics over the last 10 trading days.</w:t>
      </w:r>
    </w:p>
    <w:p>
      <w:pPr>
        <w:spacing w:after="0" w:line="129" w:lineRule="exact"/>
        <w:rPr>
          <w:sz w:val="20"/>
          <w:szCs w:val="20"/>
          <w:color w:val="auto"/>
        </w:rPr>
      </w:pPr>
    </w:p>
    <w:p>
      <w:pPr>
        <w:ind w:left="2" w:right="140"/>
        <w:spacing w:after="0" w:line="259" w:lineRule="auto"/>
        <w:rPr>
          <w:sz w:val="20"/>
          <w:szCs w:val="20"/>
          <w:color w:val="auto"/>
        </w:rPr>
      </w:pPr>
      <w:r>
        <w:rPr>
          <w:rFonts w:ascii="Times New Roman" w:cs="Times New Roman" w:eastAsia="Times New Roman" w:hAnsi="Times New Roman"/>
          <w:sz w:val="13"/>
          <w:szCs w:val="13"/>
          <w:color w:val="auto"/>
        </w:rPr>
        <w:t>The combination would accelerate onsemi’s evolution toward global leadership in intelligent systems. By adding Synaptics’ differentiated Edge AI compute franchise and strong portfolio of human-machine interface and wireless connectivity solutions, onsemi is expected to extend its capabilities beyond power and sensing to intelligent systems, delivering greater value to a broad range of end markets. Building on onsemi’s expertise in automotive, industrial and AI data center, the combined platform is intended to position onsemi at the center of Physical AI, with the potential to expand onsemi’s TAM by $30 billion to $243 billion by 2030.</w:t>
      </w:r>
    </w:p>
    <w:p>
      <w:pPr>
        <w:spacing w:after="0" w:line="133" w:lineRule="exact"/>
        <w:rPr>
          <w:sz w:val="20"/>
          <w:szCs w:val="20"/>
          <w:color w:val="auto"/>
        </w:rPr>
      </w:pPr>
    </w:p>
    <w:p>
      <w:pPr>
        <w:ind w:left="2" w:right="80"/>
        <w:spacing w:after="0" w:line="259" w:lineRule="auto"/>
        <w:rPr>
          <w:sz w:val="20"/>
          <w:szCs w:val="20"/>
          <w:color w:val="auto"/>
        </w:rPr>
      </w:pPr>
      <w:r>
        <w:rPr>
          <w:rFonts w:ascii="Times New Roman" w:cs="Times New Roman" w:eastAsia="Times New Roman" w:hAnsi="Times New Roman"/>
          <w:sz w:val="13"/>
          <w:szCs w:val="13"/>
          <w:color w:val="auto"/>
        </w:rPr>
        <w:t>“As artificial intelligence moves beyond the cloud and into the physical world, including automotive and industrial, the next phase of innovation will depend on systems that can sense, decide, act and adapt in real time,” said Hassane El-Khoury, President and CEO of onsemi. “This shift towards Physical AI will require Power, Sense, Connected Compute and Control to work together seamlessly. The addition of Synaptics helps position onsemi at the intersection of these four pillars, enabling us to capture a significantly larger AI opportunity that extends beyond AI data center and into edge applications. This transaction would add immediate connected compute capabilities, expand our software and ecosystem reach and position onsemi to deliver greater value as customers increasingly seek intelligent systems.”</w:t>
      </w:r>
    </w:p>
    <w:p>
      <w:pPr>
        <w:spacing w:after="0" w:line="133" w:lineRule="exact"/>
        <w:rPr>
          <w:sz w:val="20"/>
          <w:szCs w:val="20"/>
          <w:color w:val="auto"/>
        </w:rPr>
      </w:pPr>
    </w:p>
    <w:p>
      <w:pPr>
        <w:ind w:left="2" w:right="380"/>
        <w:spacing w:after="0" w:line="259" w:lineRule="auto"/>
        <w:rPr>
          <w:sz w:val="20"/>
          <w:szCs w:val="20"/>
          <w:color w:val="auto"/>
        </w:rPr>
      </w:pPr>
      <w:r>
        <w:rPr>
          <w:rFonts w:ascii="Times New Roman" w:cs="Times New Roman" w:eastAsia="Times New Roman" w:hAnsi="Times New Roman"/>
          <w:sz w:val="13"/>
          <w:szCs w:val="13"/>
          <w:color w:val="auto"/>
        </w:rPr>
        <w:t>“Today’s announcement marks an important step in accelerating Synaptics’ growth and leadership in Edge AI and Physical AI,” said Rahul Patel, Synaptics President and CEO. “Together with onsemi, we will combine Synaptics’ strengths in AI-native compute, connectivity, and human-machine interface with onsemi’s leadership in intelligent power and sensing to offer customers integrated solutions and development platforms across every layer of the Edge AI stack, deepening customer engagement and expanding across a greater total addressable market. The all-stock structure allows our shareholders to participate in the compelling growth and value creation opportunities ahead, and I look forward to working with the onsemi leadership team to help realize the full value of this combination.”</w:t>
      </w:r>
    </w:p>
    <w:p>
      <w:pPr>
        <w:spacing w:after="0" w:line="1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Compelling Strategic and Financial Rationale</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combination is expected to deliver substantial value:</w:t>
      </w:r>
    </w:p>
    <w:p>
      <w:pPr>
        <w:spacing w:after="0" w:line="160" w:lineRule="exact"/>
        <w:rPr>
          <w:sz w:val="20"/>
          <w:szCs w:val="20"/>
          <w:color w:val="auto"/>
        </w:rPr>
      </w:pPr>
    </w:p>
    <w:p>
      <w:pPr>
        <w:ind w:left="242" w:right="60" w:hanging="242"/>
        <w:spacing w:after="0" w:line="260" w:lineRule="auto"/>
        <w:tabs>
          <w:tab w:leader="none" w:pos="24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Enables capabilities from AI Infrastructure to Physical AI: </w:t>
      </w:r>
      <w:r>
        <w:rPr>
          <w:rFonts w:ascii="Times New Roman" w:cs="Times New Roman" w:eastAsia="Times New Roman" w:hAnsi="Times New Roman"/>
          <w:sz w:val="13"/>
          <w:szCs w:val="13"/>
          <w:color w:val="auto"/>
        </w:rPr>
        <w:t>onsemi is already well-positioned across the AI infrastructure ecosystem, from the energy grid to the data center core. This transaction is expected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extend that reach to the intelligent edge, enabling onsemi to address additional end markets while enhancing its capabilities to become a provider of integrated, system-level solutions across Power, Sense, Connected Compute and Control. This compelling combination would enable systems that can sense, decide, act and adapt in real time across Physical AI applications, including autonomous driving, robotics, and AR/VR.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70420" cy="12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5" w:right="299" w:bottom="1440" w:gutter="0" w:footer="0" w:header="0"/>
        </w:sectPr>
      </w:pPr>
    </w:p>
    <w:bookmarkStart w:id="113" w:name="page114"/>
    <w:bookmarkEnd w:id="113"/>
    <w:p>
      <w:pPr>
        <w:ind w:left="242" w:right="320" w:hanging="242"/>
        <w:spacing w:after="0" w:line="282" w:lineRule="auto"/>
        <w:tabs>
          <w:tab w:leader="none" w:pos="242"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Adds a proven, scalable Edge AI connected compute platform to onsemi: </w:t>
      </w:r>
      <w:r>
        <w:rPr>
          <w:rFonts w:ascii="Times New Roman" w:cs="Times New Roman" w:eastAsia="Times New Roman" w:hAnsi="Times New Roman"/>
          <w:sz w:val="13"/>
          <w:szCs w:val="13"/>
          <w:color w:val="auto"/>
        </w:rPr>
        <w:t>Synaptics’ Astra platform combines purpose-built AI processors and NPUs for multimodal intelligence with an industry-leading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wireless connectivity portfolio spanning Wi-Fi, Bluetooth and GPS and a full open-source software stack for rapid deployment.</w:t>
      </w:r>
    </w:p>
    <w:p>
      <w:pPr>
        <w:spacing w:after="0" w:line="115" w:lineRule="exact"/>
        <w:rPr>
          <w:rFonts w:ascii="Times New Roman" w:cs="Times New Roman" w:eastAsia="Times New Roman" w:hAnsi="Times New Roman"/>
          <w:sz w:val="13"/>
          <w:szCs w:val="13"/>
          <w:color w:val="auto"/>
        </w:rPr>
      </w:pPr>
    </w:p>
    <w:p>
      <w:pPr>
        <w:ind w:left="242" w:hanging="242"/>
        <w:spacing w:after="0" w:line="265" w:lineRule="auto"/>
        <w:tabs>
          <w:tab w:leader="none" w:pos="242"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Complementary portfolios designed to unlock significant revenue growth with scale: </w:t>
      </w:r>
      <w:r>
        <w:rPr>
          <w:rFonts w:ascii="Times New Roman" w:cs="Times New Roman" w:eastAsia="Times New Roman" w:hAnsi="Times New Roman"/>
          <w:sz w:val="13"/>
          <w:szCs w:val="13"/>
          <w:color w:val="auto"/>
        </w:rPr>
        <w:t>The combination of two highly complementary portfolios would allow onsemi to accelerate its innovation and product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roadmap to capture higher dollar content per platform while fostering deeper long-term customer engagement. This is anticipated to increase onsemi’s exposure to higher-value, differentiated system solutions with embedded IP and software, supporting improved mix, margin expansion and durable growth.</w:t>
      </w:r>
    </w:p>
    <w:p>
      <w:pPr>
        <w:spacing w:after="0" w:line="127" w:lineRule="exact"/>
        <w:rPr>
          <w:rFonts w:ascii="Times New Roman" w:cs="Times New Roman" w:eastAsia="Times New Roman" w:hAnsi="Times New Roman"/>
          <w:sz w:val="13"/>
          <w:szCs w:val="13"/>
          <w:color w:val="auto"/>
        </w:rPr>
      </w:pPr>
    </w:p>
    <w:p>
      <w:pPr>
        <w:ind w:left="242" w:right="320" w:hanging="242"/>
        <w:spacing w:after="0" w:line="282" w:lineRule="auto"/>
        <w:tabs>
          <w:tab w:leader="none" w:pos="242"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Attractive financial profile: </w:t>
      </w:r>
      <w:r>
        <w:rPr>
          <w:rFonts w:ascii="Times New Roman" w:cs="Times New Roman" w:eastAsia="Times New Roman" w:hAnsi="Times New Roman"/>
          <w:sz w:val="13"/>
          <w:szCs w:val="13"/>
          <w:color w:val="auto"/>
        </w:rPr>
        <w:t>The transaction is expected to be accretive to non-GAAP EPS within 18 months of closing, with an expected $200 million in annual synergies and gross margins consistent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onsemi’s long-term financial model. onsemi remains committed to maintaining its existing capital return policy during the pendency period.</w:t>
      </w:r>
    </w:p>
    <w:p>
      <w:pPr>
        <w:spacing w:after="0" w:line="1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164" w:lineRule="exact"/>
        <w:rPr>
          <w:sz w:val="20"/>
          <w:szCs w:val="20"/>
          <w:color w:val="auto"/>
        </w:rPr>
      </w:pPr>
    </w:p>
    <w:p>
      <w:pPr>
        <w:ind w:left="2" w:right="220"/>
        <w:spacing w:after="0" w:line="278" w:lineRule="auto"/>
        <w:rPr>
          <w:sz w:val="20"/>
          <w:szCs w:val="20"/>
          <w:color w:val="auto"/>
        </w:rPr>
      </w:pPr>
      <w:r>
        <w:rPr>
          <w:rFonts w:ascii="Times New Roman" w:cs="Times New Roman" w:eastAsia="Times New Roman" w:hAnsi="Times New Roman"/>
          <w:sz w:val="13"/>
          <w:szCs w:val="13"/>
          <w:color w:val="auto"/>
        </w:rPr>
        <w:t>Under the terms of the agreement, which has been unanimously approved by the Boards of Directors of both companies, Synaptics stockholders will receive 1.350 shares of onsemi common stock for each share of Synaptics common stock held at the time of closing, implying pro forma ownership of approximately 12% for Synaptics stockholders on a fully diluted basis.</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As part of the transaction, one member of the Synaptics Board of Directors is expected to join onsemi’s Board of Directors.</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The transaction is expected to close in mid-2027, subject to approval by Synaptics stockholders, the receipt of required regulatory approvals and other customary conditions.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onsemi and Synaptics Reiterate Previously Provided Financial Outlooks</w:t>
      </w:r>
    </w:p>
    <w:p>
      <w:pPr>
        <w:spacing w:after="0" w:line="164" w:lineRule="exact"/>
        <w:rPr>
          <w:sz w:val="20"/>
          <w:szCs w:val="20"/>
          <w:color w:val="auto"/>
        </w:rPr>
      </w:pPr>
    </w:p>
    <w:p>
      <w:pPr>
        <w:ind w:left="2" w:right="200"/>
        <w:spacing w:after="0" w:line="278" w:lineRule="auto"/>
        <w:rPr>
          <w:sz w:val="20"/>
          <w:szCs w:val="20"/>
          <w:color w:val="auto"/>
        </w:rPr>
      </w:pPr>
      <w:r>
        <w:rPr>
          <w:rFonts w:ascii="Times New Roman" w:cs="Times New Roman" w:eastAsia="Times New Roman" w:hAnsi="Times New Roman"/>
          <w:sz w:val="13"/>
          <w:szCs w:val="13"/>
          <w:color w:val="auto"/>
        </w:rPr>
        <w:t>As part of today’s announcement, onsemi is reiterating its financial outlook for the second fiscal quarter of 2026 provided on May 4, 2026. Synaptics is reiterating its financial outlook for the fiscal fourth quarter of 2026 provided on May 7, 2026.</w:t>
      </w:r>
    </w:p>
    <w:p>
      <w:pPr>
        <w:spacing w:after="0" w:line="1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Conference Call and Webcast Information</w:t>
      </w:r>
    </w:p>
    <w:p>
      <w:pPr>
        <w:spacing w:after="0" w:line="164" w:lineRule="exact"/>
        <w:rPr>
          <w:sz w:val="20"/>
          <w:szCs w:val="20"/>
          <w:color w:val="auto"/>
        </w:rPr>
      </w:pPr>
    </w:p>
    <w:p>
      <w:pPr>
        <w:ind w:left="2" w:right="100"/>
        <w:spacing w:after="0" w:line="264" w:lineRule="auto"/>
        <w:rPr>
          <w:sz w:val="20"/>
          <w:szCs w:val="20"/>
          <w:color w:val="auto"/>
        </w:rPr>
      </w:pPr>
      <w:r>
        <w:rPr>
          <w:rFonts w:ascii="Times New Roman" w:cs="Times New Roman" w:eastAsia="Times New Roman" w:hAnsi="Times New Roman"/>
          <w:sz w:val="13"/>
          <w:szCs w:val="13"/>
          <w:color w:val="auto"/>
        </w:rPr>
        <w:t>onsemi will host a conference call for the financial community at 5:00 p.m. Eastern Daylight Time (EDT) on June 25, 2026, to discuss the transaction announcement. A live webcast and related presentation materials will be available on onsemi’s IR site at http://www.onsemi.com. The webcast replay and presentation will be available following the call. Investors and interested parties can also access the conference call by pre-registering here.</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164" w:lineRule="exact"/>
        <w:rPr>
          <w:sz w:val="20"/>
          <w:szCs w:val="20"/>
          <w:color w:val="auto"/>
        </w:rPr>
      </w:pPr>
    </w:p>
    <w:p>
      <w:pPr>
        <w:ind w:left="2" w:right="160"/>
        <w:spacing w:after="0" w:line="278" w:lineRule="auto"/>
        <w:rPr>
          <w:sz w:val="20"/>
          <w:szCs w:val="20"/>
          <w:color w:val="auto"/>
        </w:rPr>
      </w:pPr>
      <w:r>
        <w:rPr>
          <w:rFonts w:ascii="Times New Roman" w:cs="Times New Roman" w:eastAsia="Times New Roman" w:hAnsi="Times New Roman"/>
          <w:sz w:val="13"/>
          <w:szCs w:val="13"/>
          <w:color w:val="auto"/>
        </w:rPr>
        <w:t>Morgan Stanley served as lead financial advisor to onsemi. J.P. Morgan Securities LLC also served as a financial advisor and Skadden, Arps, Slate, Meagher &amp; Flom LLP served as legal counsel to onsemi. Qatalyst Partners acted as exclusive financial advisor and Baker McKenzie served as legal counsel to Synaptics.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70420" cy="12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62"/>
          </w:cols>
          <w:pgMar w:left="298" w:top="125" w:right="339" w:bottom="1440" w:gutter="0" w:footer="0" w:header="0"/>
        </w:sectPr>
      </w:pPr>
    </w:p>
    <w:bookmarkStart w:id="114" w:name="page115"/>
    <w:bookmarkEnd w:id="114"/>
    <w:p>
      <w:pPr>
        <w:ind w:left="2"/>
        <w:spacing w:after="0"/>
        <w:rPr>
          <w:sz w:val="20"/>
          <w:szCs w:val="20"/>
          <w:color w:val="auto"/>
        </w:rPr>
      </w:pPr>
      <w:r>
        <w:rPr>
          <w:rFonts w:ascii="Times New Roman" w:cs="Times New Roman" w:eastAsia="Times New Roman" w:hAnsi="Times New Roman"/>
          <w:sz w:val="13"/>
          <w:szCs w:val="13"/>
          <w:b w:val="1"/>
          <w:bCs w:val="1"/>
          <w:color w:val="auto"/>
        </w:rPr>
        <w:t>About onsemi</w:t>
      </w:r>
    </w:p>
    <w:p>
      <w:pPr>
        <w:spacing w:after="0" w:line="164" w:lineRule="exact"/>
        <w:rPr>
          <w:sz w:val="20"/>
          <w:szCs w:val="20"/>
          <w:color w:val="auto"/>
        </w:rPr>
      </w:pPr>
    </w:p>
    <w:p>
      <w:pPr>
        <w:ind w:left="2" w:right="80"/>
        <w:spacing w:after="0" w:line="166" w:lineRule="exact"/>
        <w:rPr>
          <w:sz w:val="20"/>
          <w:szCs w:val="20"/>
          <w:color w:val="auto"/>
        </w:rPr>
      </w:pPr>
      <w:r>
        <w:rPr>
          <w:rFonts w:ascii="Times New Roman" w:cs="Times New Roman" w:eastAsia="Times New Roman" w:hAnsi="Times New Roman"/>
          <w:sz w:val="13"/>
          <w:szCs w:val="13"/>
          <w:color w:val="auto"/>
        </w:rPr>
        <w:t>onsemi (Nasdaq: ON) delivers intelligent power and sensing technologies that enable electrification, energy efficiency, safety, and automation across automotive, industrial, and AI data center end-markets. With a highly differentiated and innovative product portfolio, onsemi helps customers solve complex challenges to achieve higher efficiency, improved performance, and lower system cost, while supporting a safer, cleaner, and more energy</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efficient world. The company is part of the S&amp;P 500® index. Learn more at www.onsemi.com.</w:t>
      </w:r>
    </w:p>
    <w:p>
      <w:pPr>
        <w:spacing w:after="0" w:line="1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About Synaptics Incorporated</w:t>
      </w:r>
    </w:p>
    <w:p>
      <w:pPr>
        <w:spacing w:after="0" w:line="162"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3"/>
          <w:szCs w:val="13"/>
          <w:color w:val="auto"/>
        </w:rPr>
        <w:t xml:space="preserve">Synaptics (Nasdaq: </w:t>
      </w:r>
      <w:r>
        <w:rPr>
          <w:rFonts w:ascii="Times New Roman" w:cs="Times New Roman" w:eastAsia="Times New Roman" w:hAnsi="Times New Roman"/>
          <w:sz w:val="13"/>
          <w:szCs w:val="13"/>
          <w:b w:val="1"/>
          <w:bCs w:val="1"/>
          <w:color w:val="auto"/>
        </w:rPr>
        <w:t>SYNA</w:t>
      </w:r>
      <w:r>
        <w:rPr>
          <w:rFonts w:ascii="Times New Roman" w:cs="Times New Roman" w:eastAsia="Times New Roman" w:hAnsi="Times New Roman"/>
          <w:sz w:val="13"/>
          <w:szCs w:val="13"/>
          <w:color w:val="auto"/>
        </w:rPr>
        <w:t>)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p>
    <w:p>
      <w:pPr>
        <w:spacing w:after="0" w:line="1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Contact Information</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onsemi</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Parag Agarwal</w:t>
      </w:r>
    </w:p>
    <w:p>
      <w:pPr>
        <w:spacing w:after="0" w:line="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Vice President - Investor Relations &amp; Corporate Development</w:t>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onsemi</w:t>
      </w:r>
    </w:p>
    <w:p>
      <w:pPr>
        <w:spacing w:after="0" w:line="6" w:lineRule="exact"/>
        <w:rPr>
          <w:sz w:val="20"/>
          <w:szCs w:val="20"/>
          <w:color w:val="auto"/>
        </w:rPr>
      </w:pPr>
    </w:p>
    <w:p>
      <w:pPr>
        <w:ind w:left="2" w:right="10060" w:hanging="2"/>
        <w:spacing w:after="0" w:line="301" w:lineRule="auto"/>
        <w:tabs>
          <w:tab w:leader="none" w:pos="315"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244-3437 investor@onsemi.com</w:t>
      </w:r>
    </w:p>
    <w:p>
      <w:pPr>
        <w:spacing w:after="0" w:line="1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Krystal Heaton</w:t>
      </w:r>
    </w:p>
    <w:p>
      <w:pPr>
        <w:spacing w:after="0" w:line="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Director, Head of Public Relations</w:t>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onsemi</w:t>
      </w:r>
    </w:p>
    <w:p>
      <w:pPr>
        <w:spacing w:after="0" w:line="6" w:lineRule="exact"/>
        <w:rPr>
          <w:sz w:val="20"/>
          <w:szCs w:val="20"/>
          <w:color w:val="auto"/>
        </w:rPr>
      </w:pPr>
    </w:p>
    <w:p>
      <w:pPr>
        <w:ind w:left="2" w:right="9680" w:hanging="2"/>
        <w:spacing w:after="0" w:line="301" w:lineRule="auto"/>
        <w:tabs>
          <w:tab w:leader="none" w:pos="315"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242-6943 Krystal.Heaton@onsemi.com</w:t>
      </w:r>
    </w:p>
    <w:p>
      <w:pPr>
        <w:spacing w:after="0" w:line="1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Synaptics</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Munjal Shah</w:t>
      </w:r>
    </w:p>
    <w:p>
      <w:pPr>
        <w:spacing w:after="0" w:line="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Vice President – Investor Relations</w:t>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Synaptics</w:t>
      </w:r>
    </w:p>
    <w:p>
      <w:pPr>
        <w:spacing w:after="0" w:line="6" w:lineRule="exact"/>
        <w:rPr>
          <w:sz w:val="20"/>
          <w:szCs w:val="20"/>
          <w:color w:val="auto"/>
        </w:rPr>
      </w:pPr>
    </w:p>
    <w:p>
      <w:pPr>
        <w:ind w:left="2" w:right="9740" w:hanging="2"/>
        <w:spacing w:after="0" w:line="301" w:lineRule="auto"/>
        <w:tabs>
          <w:tab w:leader="none" w:pos="315"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518-7639 munjal.shah@synaptics.com</w:t>
      </w:r>
    </w:p>
    <w:p>
      <w:pPr>
        <w:spacing w:after="0" w:line="1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Neeta Shenoy</w:t>
      </w:r>
    </w:p>
    <w:p>
      <w:pPr>
        <w:spacing w:after="0" w:line="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Vice President, Marketing</w:t>
      </w:r>
    </w:p>
    <w:p>
      <w:pPr>
        <w:spacing w:after="0" w:line="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Synaptics</w:t>
      </w:r>
    </w:p>
    <w:p>
      <w:pPr>
        <w:spacing w:after="0" w:line="6" w:lineRule="exact"/>
        <w:rPr>
          <w:sz w:val="20"/>
          <w:szCs w:val="20"/>
          <w:color w:val="auto"/>
        </w:rPr>
      </w:pPr>
    </w:p>
    <w:p>
      <w:pPr>
        <w:ind w:left="2" w:right="9700" w:hanging="2"/>
        <w:spacing w:after="0" w:line="301" w:lineRule="auto"/>
        <w:tabs>
          <w:tab w:leader="none" w:pos="315"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518-7826 neeta.shenoy@synaptics.com</w:t>
      </w:r>
    </w:p>
    <w:p>
      <w:pPr>
        <w:spacing w:after="0" w:line="1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left="2" w:right="40"/>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70420" cy="12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22"/>
          </w:cols>
          <w:pgMar w:left="298" w:top="125" w:right="379" w:bottom="1440" w:gutter="0" w:footer="0" w:header="0"/>
        </w:sectPr>
      </w:pPr>
    </w:p>
    <w:bookmarkStart w:id="115" w:name="page116"/>
    <w:bookmarkEnd w:id="115"/>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 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466090</wp:posOffset>
            </wp:positionV>
            <wp:extent cx="7170420" cy="12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ind w:left="948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112395</wp:posOffset>
            </wp:positionV>
            <wp:extent cx="7214870" cy="42551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14870" cy="425513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4249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14870" cy="4249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11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95185" cy="421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18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9518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11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95185" cy="421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4230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14870" cy="4230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199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95185"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36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95185"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9470" cy="4206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89470" cy="4206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01535" cy="4206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01535" cy="4206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89470" cy="4218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89470"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42678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14870" cy="426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11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95185" cy="421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01535" cy="4218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0153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195185" cy="4224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9518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01535" cy="44405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01535" cy="4440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social media posts by Synaptics Incorporated and Rahul Patel, the Chief Executive Officer of Synaptics Incorporated, were made available on June 25,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Social Posts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70420" cy="12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LinkedIn Post</w:t>
      </w:r>
    </w:p>
    <w:p>
      <w:pPr>
        <w:spacing w:after="0" w:line="16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 a global leader in intelligent power and sensing technology, with a strong position across AI data centers, industrial, and automotive applications.</w:t>
      </w:r>
    </w:p>
    <w:p>
      <w:pPr>
        <w:spacing w:after="0" w:line="12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For more information, read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LinkedIn Post for Rahul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Today is a historic day for Synaptics as we announced that we have entered into a definitive agreement to be acquired by onsemi.</w:t>
      </w:r>
    </w:p>
    <w:p>
      <w:pPr>
        <w:spacing w:after="0" w:line="16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3"/>
          <w:szCs w:val="13"/>
          <w:color w:val="auto"/>
        </w:rPr>
        <w:t>This transaction marks an important step in accelerating Synaptics’ growth and leadership in Edge AI and Physical AI. Together with onsemi, we will combine Synaptics’ strengths in AI-native compute, connectivity, and human-machine interface with onsemi’s leadership in intelligent power and sensing to offer customers integrated solutions and development platforms across every layer of the Edge AI stack, deepening customer engagement and expanding across a greater total addressable market.</w:t>
      </w:r>
    </w:p>
    <w:p>
      <w:pPr>
        <w:spacing w:after="0" w:line="12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3"/>
          <w:szCs w:val="13"/>
          <w:color w:val="auto"/>
        </w:rPr>
        <w:t>This is an incredibly exciting step forward for Synaptics, and I’m so proud of the #OneSynaptics team that has made this moment possible through their commitment and hard work! Excited for what comes next for Synaptics.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Learn more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Instagram Post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170420" cy="12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4" w:name="page135"/>
    <w:bookmarkEnd w:id="134"/>
    <w:p>
      <w:pPr>
        <w:ind w:firstLine="30"/>
        <w:spacing w:after="0" w:line="278" w:lineRule="auto"/>
        <w:rPr>
          <w:sz w:val="20"/>
          <w:szCs w:val="20"/>
          <w:color w:val="auto"/>
        </w:rPr>
      </w:pPr>
      <w:r>
        <w:rPr>
          <w:rFonts w:ascii="Times New Roman" w:cs="Times New Roman" w:eastAsia="Times New Roman" w:hAnsi="Times New Roman"/>
          <w:sz w:val="13"/>
          <w:szCs w:val="13"/>
          <w:color w:val="auto"/>
        </w:rPr>
        <w:t>Together, we will be able to offer customers integrated solutions and development platforms across every layer of the Edge AI stack, deepening customer engagement and expanding across a greater total addressable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look forward to joining the @onsemi team as we accelerate our growth and leadership in Edge AI and Physical AI.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Learn more at the link in our bio.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X Post</w:t>
      </w:r>
    </w:p>
    <w:p>
      <w:pPr>
        <w:spacing w:after="0" w:line="16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 We look forward to joining the onsemi team as we accelerate our growth and leadership in Edge AI and Physical AI.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Learn more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WeChat Post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Synaptics has entered into a definitive agreement to be acquired by onsemi</w:t>
      </w:r>
    </w:p>
    <w:p>
      <w:pPr>
        <w:spacing w:after="0" w:line="16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 a global leader in intelligent power and sensing technology, with a strong position across AI data centers, industrial, and automotive applications.</w:t>
      </w:r>
    </w:p>
    <w:p>
      <w:pPr>
        <w:spacing w:after="0" w:line="12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3"/>
          <w:szCs w:val="13"/>
          <w:color w:val="auto"/>
        </w:rPr>
        <w:t>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Learn more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Facebook Post</w:t>
      </w:r>
    </w:p>
    <w:p>
      <w:pPr>
        <w:spacing w:after="0" w:line="16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 a global leader in intelligent power and sensing technology, with a strong position across AI data centers, industrial, and automotive applications.</w:t>
      </w:r>
    </w:p>
    <w:p>
      <w:pPr>
        <w:spacing w:after="0" w:line="12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3"/>
          <w:szCs w:val="13"/>
          <w:color w:val="auto"/>
        </w:rPr>
        <w:t>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170420" cy="12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80"/>
          </w:cols>
          <w:pgMar w:left="300" w:top="127" w:right="4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color w:val="auto"/>
        </w:rPr>
        <w:t xml:space="preserve">Learn more: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#EdgeAI #PhysicalAI #IndustrialIoT #Robotics #ArtificialIntelligence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Weibo Post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We're excited to announce that Synaptics has entered into a definitive agreement to be acquired by onsemi.</w:t>
      </w:r>
    </w:p>
    <w:p>
      <w:pPr>
        <w:spacing w:after="0" w:line="16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Learn more: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290195</wp:posOffset>
            </wp:positionV>
            <wp:extent cx="7170420" cy="12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20"/>
          </w:cols>
          <w:pgMar w:left="300" w:top="127" w:right="47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3"/>
          <w:szCs w:val="13"/>
          <w:b w:val="1"/>
          <w:bCs w:val="1"/>
          <w:color w:val="auto"/>
        </w:rPr>
        <w:t>Exhibit 99.4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is the text of an e-mail sent by the CEO of Synaptics Incorporated to employees of Synaptics Incorporated on June 25,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All-Employee Email from Rahul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70420" cy="12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Subject: Announcement: Proposed acquisition by onsemi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Team #OneSynaptics,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I’m excited to share an important milestone in Synaptics’ journey.</w:t>
      </w:r>
    </w:p>
    <w:p>
      <w:pPr>
        <w:spacing w:after="0" w:line="16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Today, we announced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r>
        <w:rPr>
          <w:rFonts w:ascii="Times New Roman" w:cs="Times New Roman" w:eastAsia="Times New Roman" w:hAnsi="Times New Roman"/>
          <w:sz w:val="13"/>
          <w:szCs w:val="13"/>
          <w:color w:val="auto"/>
        </w:rPr>
        <w:t>) that Synaptics has entered into an agreement to be acquired by onsemi, a global leader in intelligent power and sensing technologies, in an all-stock transaction.</w:t>
      </w:r>
    </w:p>
    <w:p>
      <w:pPr>
        <w:spacing w:after="0" w:line="121" w:lineRule="exact"/>
        <w:rPr>
          <w:sz w:val="20"/>
          <w:szCs w:val="20"/>
          <w:color w:val="auto"/>
        </w:rPr>
      </w:pPr>
    </w:p>
    <w:p>
      <w:pPr>
        <w:ind w:right="380"/>
        <w:spacing w:after="0" w:line="322" w:lineRule="auto"/>
        <w:rPr>
          <w:sz w:val="20"/>
          <w:szCs w:val="20"/>
          <w:color w:val="auto"/>
        </w:rPr>
      </w:pPr>
      <w:r>
        <w:rPr>
          <w:rFonts w:ascii="Times New Roman" w:cs="Times New Roman" w:eastAsia="Times New Roman" w:hAnsi="Times New Roman"/>
          <w:sz w:val="12"/>
          <w:szCs w:val="12"/>
          <w:color w:val="auto"/>
        </w:rPr>
        <w:t>This combination brings together four decades of innovation at Synaptics with onsemi’s deep history in semiconductors to create a stronger company with enhanced scale. Since our founding, Synaptics has consistently evolved with the markets by anticipating technology shifts and capturing new opportunities. This transaction represents an important next step in accelerating our growth in Edge AI and Physical AI.</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want to begin by sincerely thanking the entire Synaptics team. Your hard work, innovation, and dedication have made this milestone possible.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Accelerating Our Growth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its core, this transaction is about growth, scale, and opportunity.</w:t>
      </w:r>
    </w:p>
    <w:p>
      <w:pPr>
        <w:spacing w:after="0" w:line="16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onsemi and Synaptics share a common vision of delivering intelligent system solutions for customers. By combining Synaptics’ differentiated Edge AI compute franchise and strong portfolio of human-machine interface and wireless connectivity solutions with onsemi’s leadership in intelligent power and sensing, we will offer customers integrated solutions and development platforms across every layer of the Edge AI stack, deepening customer engagement and expanding across a greater total addressable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key advantage of this combination is scale. onsemi’s extensive industrial distribution network, global customer relationships, and manufacturing capabilities will help accelerate our growth and enhance profitability.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While Synaptics had already begun investing to expand sales and distribution reach, achieving comparable scale independently would have required considerable time and resources.</w:t>
      </w:r>
    </w:p>
    <w:p>
      <w:pPr>
        <w:spacing w:after="0" w:line="15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3"/>
          <w:szCs w:val="13"/>
          <w:color w:val="auto"/>
        </w:rPr>
        <w:t>Just as importantly, this combination creates additional opportunities for our employees. Joining a large organization often brings expanded career pathways, greater organizational resources and capabilities, and increased opportunities to innovate.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What Happens Next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Today’s announcement does not change our day-to-day responsibilities or reporting structure. We remain focused on executing our strategy, delivering for our customers, and advancing our product roadmaps.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170420" cy="12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7" w:name="page138"/>
    <w:bookmarkEnd w:id="137"/>
    <w:p>
      <w:pPr>
        <w:ind w:right="140" w:firstLine="30"/>
        <w:spacing w:after="0" w:line="278" w:lineRule="auto"/>
        <w:rPr>
          <w:sz w:val="20"/>
          <w:szCs w:val="20"/>
          <w:color w:val="auto"/>
        </w:rPr>
      </w:pPr>
      <w:r>
        <w:rPr>
          <w:rFonts w:ascii="Times New Roman" w:cs="Times New Roman" w:eastAsia="Times New Roman" w:hAnsi="Times New Roman"/>
          <w:sz w:val="13"/>
          <w:szCs w:val="13"/>
          <w:color w:val="auto"/>
        </w:rPr>
        <w:t>We expect the transaction to close in mid-2027, subject to approval by Synaptics shareholders, the receipt of required regulatory approvals, and other customary closing conditions. Until then, onsemi and Synaptics will continue to operate as separate, independent companies.</w:t>
      </w:r>
    </w:p>
    <w:p>
      <w:pPr>
        <w:spacing w:after="0" w:line="12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3"/>
          <w:szCs w:val="13"/>
          <w:color w:val="auto"/>
        </w:rPr>
        <w:t>To discuss today’s announcement, we will host two All-Hands meetings. As tomorrow is an Unplugged Day and we want to respect the opportunity for our teams to disconnect, rest, and recharge, we are holding these early next week at the following times:</w:t>
      </w:r>
    </w:p>
    <w:p>
      <w:pPr>
        <w:spacing w:after="0" w:line="119" w:lineRule="exact"/>
        <w:rPr>
          <w:sz w:val="20"/>
          <w:szCs w:val="20"/>
          <w:color w:val="auto"/>
        </w:rPr>
      </w:pPr>
    </w:p>
    <w:p>
      <w:pPr>
        <w:ind w:left="460" w:hanging="229"/>
        <w:spacing w:after="0"/>
        <w:tabs>
          <w:tab w:leader="none" w:pos="4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Session 1: June 28, 2026 at 8:00 pm PT</w:t>
      </w:r>
    </w:p>
    <w:p>
      <w:pPr>
        <w:spacing w:after="0" w:line="20"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Session 2: June 29, 2026 at 9:00 am 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join whichever session is most convenient for your time zone. Calendar details will follow shortly.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also attached an FAQ addressing many of the questions you may have. While we may not have all the answers immediately, we are committed to being transparent and timely in our communications.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Thank you again for your continued focus and commitment to Synaptics. The opportunities ahead are exciting, and I am confident our best days are still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Best regards,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Rahul</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3"/>
          <w:szCs w:val="13"/>
          <w:i w:val="1"/>
          <w:iCs w:val="1"/>
          <w:color w:val="auto"/>
        </w:rPr>
        <w:t>Note: In accordance with our corporate policy, if you receive any media inquiries, please do not respond and direct them to Neeta Shenoy at neeta.shenoy@synaptics.com. All investor inquiries should be forwarded to Munjal Shah at munjal.shah@synaptics.com.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Appendix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Do:</w:t>
      </w:r>
    </w:p>
    <w:p>
      <w:pPr>
        <w:spacing w:after="0" w:line="20" w:lineRule="exact"/>
        <w:rPr>
          <w:sz w:val="20"/>
          <w:szCs w:val="20"/>
          <w:color w:val="auto"/>
        </w:rPr>
      </w:pPr>
    </w:p>
    <w:p>
      <w:pPr>
        <w:ind w:left="460" w:hanging="229"/>
        <w:spacing w:after="0"/>
        <w:tabs>
          <w:tab w:leader="none" w:pos="4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Rely only on official Synaptics communications for updates.</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Stay focused on day-to-day business by continuing to execute your role, deliver on commitments, and support our customers, partners, and suppliers.</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 confidential information and follow our existing policies for handling sensitive or material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Don’t:</w:t>
      </w:r>
    </w:p>
    <w:p>
      <w:pPr>
        <w:spacing w:after="0" w:line="6" w:lineRule="exact"/>
        <w:rPr>
          <w:sz w:val="20"/>
          <w:szCs w:val="20"/>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Speculate or spread rumors about the transaction, roles, organizational structure, or future plans.</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Speak externally on behalf of the company unless you are authorized and have approved guidance.</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non-public or forward-looking information, including financial details, undisclosed deal terms, or integration plans that have not been finalized.</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Reach out to onsemi employees outside the normal course of business unless you are specifically authorized to do so.</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 opinions or commentary on social media or use informal channels to discuss the transaction.</w:t>
      </w:r>
    </w:p>
    <w:p>
      <w:pPr>
        <w:spacing w:after="0" w:line="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Pause or slow critical workstreams unless you are explicitly directed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170420" cy="12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70420" cy="12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3"/>
          <w:szCs w:val="13"/>
          <w:b w:val="1"/>
          <w:bCs w:val="1"/>
          <w:color w:val="auto"/>
        </w:rPr>
        <w:t>Exhibit 99.5</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i w:val="1"/>
          <w:iCs w:val="1"/>
          <w:color w:val="auto"/>
        </w:rPr>
        <w:t>The following is an FAQ made available to employees of Synaptics Incorporated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3088005" cy="629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088005" cy="62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Employee FAQ</w:t>
      </w:r>
    </w:p>
    <w:p>
      <w:pPr>
        <w:spacing w:after="0" w:line="162" w:lineRule="exact"/>
        <w:rPr>
          <w:sz w:val="20"/>
          <w:szCs w:val="20"/>
          <w:color w:val="auto"/>
        </w:rPr>
      </w:pPr>
    </w:p>
    <w:p>
      <w:pPr>
        <w:ind w:left="242" w:hanging="242"/>
        <w:spacing w:after="0"/>
        <w:tabs>
          <w:tab w:leader="none" w:pos="242"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does the announcement mean for Synaptics employees?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transaction reflects the strength of Synaptics’ business, technology portfolio, growth prospects, and the significant opportunity we see for our business.</w:t>
      </w:r>
    </w:p>
    <w:p>
      <w:pPr>
        <w:spacing w:after="0" w:line="6" w:lineRule="exact"/>
        <w:rPr>
          <w:rFonts w:ascii="Times New Roman" w:cs="Times New Roman" w:eastAsia="Times New Roman" w:hAnsi="Times New Roman"/>
          <w:sz w:val="13"/>
          <w:szCs w:val="13"/>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Joining a large organization often brings expanded career pathways, greater organizational resources and capabilities, and increased opportunities to innovate.</w:t>
      </w:r>
    </w:p>
    <w:p>
      <w:pPr>
        <w:spacing w:after="0" w:line="6" w:lineRule="exact"/>
        <w:rPr>
          <w:rFonts w:ascii="Times New Roman" w:cs="Times New Roman" w:eastAsia="Times New Roman" w:hAnsi="Times New Roman"/>
          <w:sz w:val="13"/>
          <w:szCs w:val="13"/>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announcement does not change our day-to-day responsibilities or reporting structure. Until the transaction closes, onsemi and Synaptics will continue to operate as separate and independent companies.</w:t>
      </w:r>
    </w:p>
    <w:p>
      <w:pPr>
        <w:spacing w:after="0" w:line="147"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was announced?</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Synaptics has entered into a definitive agreement to be acquired by onsemi in an all-stock transaction.</w:t>
      </w:r>
    </w:p>
    <w:p>
      <w:pPr>
        <w:spacing w:after="0" w:line="6" w:lineRule="exact"/>
        <w:rPr>
          <w:rFonts w:ascii="Times New Roman" w:cs="Times New Roman" w:eastAsia="Times New Roman" w:hAnsi="Times New Roman"/>
          <w:sz w:val="13"/>
          <w:szCs w:val="13"/>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combination brings together Synaptics’ differentiated Edge AI compute, connectivity, and human-machine interface solutions with onsemi's leadership in intelligent power and sensing.</w:t>
      </w:r>
    </w:p>
    <w:p>
      <w:pPr>
        <w:spacing w:after="0" w:line="6" w:lineRule="exact"/>
        <w:rPr>
          <w:rFonts w:ascii="Times New Roman" w:cs="Times New Roman" w:eastAsia="Times New Roman" w:hAnsi="Times New Roman"/>
          <w:sz w:val="13"/>
          <w:szCs w:val="13"/>
          <w:color w:val="auto"/>
        </w:rPr>
      </w:pPr>
    </w:p>
    <w:p>
      <w:pPr>
        <w:ind w:left="462" w:right="320" w:hanging="229"/>
        <w:spacing w:after="0" w:line="259" w:lineRule="auto"/>
        <w:tabs>
          <w:tab w:leader="none" w:pos="46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Together, we will be able to offer customers integrated solutions and development platforms across every layer of the Edge AI stack, deepening customer engagement and expanding across a greater total addressable market.</w:t>
      </w:r>
    </w:p>
    <w:p>
      <w:pPr>
        <w:spacing w:after="0" w:line="130"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Who is onsemi? What is its mission and culture? Why is onsemi the right partner?</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 is a global leader in intelligent power and sensing technology, with a strong position across AI data centers, industrial, and automotive applications.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onsemi’s intelligent power and sensing technologies are highly complementary to Synaptics’ differentiated Edge AI compute, connectivity, and human-machine interface solutions.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 is headquartered in Scottsdale, AZ, with design centers, manufacturing facilities, sales offices, and support locations around the world.</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 and Synaptics share a common vision to develop integrated intelligent systems for customers.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are confident that our strong cultural alignment and shared commitment to innovation will be key to our mutual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0420" cy="12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2"/>
          </w:cols>
          <w:pgMar w:left="298" w:top="125" w:right="299" w:bottom="1440" w:gutter="0" w:footer="0" w:header="0"/>
        </w:sectPr>
      </w:pPr>
    </w:p>
    <w:bookmarkStart w:id="141" w:name="page142"/>
    <w:bookmarkEnd w:id="141"/>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are the benefits of the transaction? Why are we agreeing to the acquisition?</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transaction reflects the strength of what Synaptics has built over the years and the compelling path forward we see for our business.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onsemi’s extensive industrial distribution network, global customer relationships, and manufacturing capabilities will help accelerate our growth and enhance profitability.</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line="249" w:lineRule="auto"/>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By combining Synaptics’ differentiated Edge AI compute, connectivity, and human-machine interface solutions with onsemi’s leadership in intelligent power and sensing, the combined company will become a leading provider of intelligent systems.</w:t>
      </w:r>
    </w:p>
    <w:p>
      <w:pPr>
        <w:spacing w:after="0" w:line="1"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Together, we will be well positioned to deliver innovative, intelligent, higher-performance and energy-efficient systems to customers.</w:t>
      </w:r>
    </w:p>
    <w:p>
      <w:pPr>
        <w:spacing w:after="0" w:line="147" w:lineRule="exact"/>
        <w:rPr>
          <w:rFonts w:ascii="Times New Roman" w:cs="Times New Roman" w:eastAsia="Times New Roman" w:hAnsi="Times New Roman"/>
          <w:sz w:val="13"/>
          <w:szCs w:val="13"/>
          <w:b w:val="1"/>
          <w:bCs w:val="1"/>
          <w:color w:val="auto"/>
        </w:rPr>
      </w:pPr>
    </w:p>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When is the transaction expected to close?</w:t>
      </w:r>
    </w:p>
    <w:p>
      <w:pPr>
        <w:spacing w:after="0" w:line="20" w:lineRule="exact"/>
        <w:rPr>
          <w:rFonts w:ascii="Times New Roman" w:cs="Times New Roman" w:eastAsia="Times New Roman" w:hAnsi="Times New Roman"/>
          <w:sz w:val="13"/>
          <w:szCs w:val="13"/>
          <w:b w:val="1"/>
          <w:bCs w:val="1"/>
          <w:color w:val="auto"/>
        </w:rPr>
      </w:pPr>
    </w:p>
    <w:p>
      <w:pPr>
        <w:ind w:left="462" w:right="220" w:hanging="229"/>
        <w:spacing w:after="0" w:line="259" w:lineRule="auto"/>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expect the transaction to close in mid-2027, subject to approval by Synaptics shareholders, the receipt of required regulatory approvals, and other customary closing conditions. Until then, onsemi and Synaptics will continue to operate as separate, independent companies.</w:t>
      </w:r>
    </w:p>
    <w:p>
      <w:pPr>
        <w:spacing w:after="0" w:line="130" w:lineRule="exact"/>
        <w:rPr>
          <w:rFonts w:ascii="Times New Roman" w:cs="Times New Roman" w:eastAsia="Times New Roman" w:hAnsi="Times New Roman"/>
          <w:sz w:val="13"/>
          <w:szCs w:val="13"/>
          <w:b w:val="1"/>
          <w:bCs w:val="1"/>
          <w:color w:val="auto"/>
        </w:rPr>
      </w:pPr>
    </w:p>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Synaptics’ strategy change?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transaction complements and accelerates our existing strategy.</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Synaptics and onsemi share a common vision of delivering intelligent system solutions for customers.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will continue to focus on attractive growth markets in Edge AI and Physical AI.</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expect to accelerate our sales and distribution channel expansion.</w:t>
      </w:r>
    </w:p>
    <w:p>
      <w:pPr>
        <w:spacing w:after="0" w:line="147" w:lineRule="exact"/>
        <w:rPr>
          <w:rFonts w:ascii="Times New Roman" w:cs="Times New Roman" w:eastAsia="Times New Roman" w:hAnsi="Times New Roman"/>
          <w:sz w:val="13"/>
          <w:szCs w:val="13"/>
          <w:b w:val="1"/>
          <w:bCs w:val="1"/>
          <w:color w:val="auto"/>
        </w:rPr>
      </w:pPr>
    </w:p>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onsemi’s long-term strategy and how does Synaptics fit into that strategy?</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 sees Connected Compute as an important pillar of Physical AI along with Power, Sense, and Control.</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Synaptics’ leadership in compute and connectivity, as well as the company’s innovation in human-machine interface solutions, are key to providing intelligent systems.</w:t>
      </w:r>
    </w:p>
    <w:p>
      <w:pPr>
        <w:spacing w:after="0" w:line="147" w:lineRule="exact"/>
        <w:rPr>
          <w:rFonts w:ascii="Times New Roman" w:cs="Times New Roman" w:eastAsia="Times New Roman" w:hAnsi="Times New Roman"/>
          <w:sz w:val="13"/>
          <w:szCs w:val="13"/>
          <w:b w:val="1"/>
          <w:bCs w:val="1"/>
          <w:color w:val="auto"/>
        </w:rPr>
      </w:pPr>
    </w:p>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Synaptics keep its name and brand?</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Details about Synaptics’ name and brand will be determined after the transaction closes, which we expect to occur in mid-2027.</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then, onsemi and Synaptics will continue to operate as separate and independent companies, and it is business as usual.</w:t>
      </w:r>
    </w:p>
    <w:p>
      <w:pPr>
        <w:spacing w:after="0" w:line="147" w:lineRule="exact"/>
        <w:rPr>
          <w:rFonts w:ascii="Times New Roman" w:cs="Times New Roman" w:eastAsia="Times New Roman" w:hAnsi="Times New Roman"/>
          <w:sz w:val="13"/>
          <w:szCs w:val="13"/>
          <w:b w:val="1"/>
          <w:bCs w:val="1"/>
          <w:color w:val="auto"/>
        </w:rPr>
      </w:pPr>
    </w:p>
    <w:p>
      <w:pPr>
        <w:ind w:left="242" w:hanging="242"/>
        <w:spacing w:after="0"/>
        <w:tabs>
          <w:tab w:leader="none" w:pos="242"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there be layoffs or changes to the organizational structure? How will Synaptics be integrated?</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its core, this transaction is about growth, scale, and opportunity.</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are not expecting any immediate changes to our organizational structure as a result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0420" cy="12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22"/>
          </w:cols>
          <w:pgMar w:left="298" w:top="125" w:right="379" w:bottom="1440" w:gutter="0" w:footer="0" w:header="0"/>
        </w:sectPr>
      </w:pPr>
    </w:p>
    <w:bookmarkStart w:id="142" w:name="page143"/>
    <w:bookmarkEnd w:id="142"/>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 transaction closes, onsemi and Synaptics will continue to operate as separate and independent companies.</w:t>
      </w:r>
    </w:p>
    <w:p>
      <w:pPr>
        <w:spacing w:after="0" w:line="18"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we move through the process, we are committed to keeping employees informed.</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the meantime, it’s important that we all remain focused on executing our strategic priorities with discipline and continuing to deliver the innovation and quality our customers expect from Synaptics.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always, we encourage you to talk with your Functional SET Leader if you have any questions.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my compensation and benefits change?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There are no changes at this time to existing Synaptics employee compensation or benefits as a result of today's announcement.</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 transaction closes, onsemi and Synaptics will continue to operate as separate and independent companies.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a large global employer, onsemi offers a comprehensive and market-competitive Total Rewards program, including compensation, benefits, time off, and wellness programs.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my job/team/business unit/department change?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is just the first step in our journey, and there is a lot of exciting work ahead of us.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 transaction closes, onsemi and Synaptics will continue to operate as separate and independent companies.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We’ll be sure to keep you updated on the latest developments throughout the process.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will happen to Synaptics’ management team following the transaction?</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While it is still early in the process and many decisions have not yet been made, both companies are committed to thoughtful integration planning that positions the combined company for long-term success.</w:t>
      </w:r>
    </w:p>
    <w:p>
      <w:pPr>
        <w:spacing w:after="0" w:line="159" w:lineRule="exact"/>
        <w:rPr>
          <w:rFonts w:ascii="Times New Roman" w:cs="Times New Roman" w:eastAsia="Times New Roman" w:hAnsi="Times New Roman"/>
          <w:sz w:val="12"/>
          <w:szCs w:val="12"/>
          <w:b w:val="1"/>
          <w:bCs w:val="1"/>
          <w:color w:val="auto"/>
        </w:rPr>
      </w:pPr>
    </w:p>
    <w:p>
      <w:pPr>
        <w:ind w:left="462" w:hanging="462"/>
        <w:spacing w:after="0"/>
        <w:tabs>
          <w:tab w:leader="none" w:pos="462"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Rahul remain as our CEO? What will his role be in the combined company?</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Rahul remains our CEO and is focused on leading Synaptics through the signing-to-close process and supporting a successful integration.</w:t>
      </w:r>
    </w:p>
    <w:p>
      <w:pPr>
        <w:spacing w:after="0" w:line="6" w:lineRule="exact"/>
        <w:rPr>
          <w:rFonts w:ascii="Times New Roman" w:cs="Times New Roman" w:eastAsia="Times New Roman" w:hAnsi="Times New Roman"/>
          <w:sz w:val="13"/>
          <w:szCs w:val="13"/>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Rahul is excited about the future of the combined company and the opportunities this transaction creates for employees, customers, and shareholders.</w:t>
      </w:r>
    </w:p>
    <w:p>
      <w:pPr>
        <w:spacing w:after="0" w:line="6" w:lineRule="exact"/>
        <w:rPr>
          <w:rFonts w:ascii="Times New Roman" w:cs="Times New Roman" w:eastAsia="Times New Roman" w:hAnsi="Times New Roman"/>
          <w:sz w:val="13"/>
          <w:szCs w:val="13"/>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still early in the process, and decisions regarding specific post-close leadership roles have not yet been made.</w:t>
      </w:r>
    </w:p>
    <w:p>
      <w:pPr>
        <w:spacing w:after="0" w:line="147" w:lineRule="exact"/>
        <w:rPr>
          <w:rFonts w:ascii="Times New Roman" w:cs="Times New Roman" w:eastAsia="Times New Roman" w:hAnsi="Times New Roman"/>
          <w:sz w:val="13"/>
          <w:szCs w:val="13"/>
          <w:color w:val="auto"/>
        </w:rPr>
      </w:pPr>
    </w:p>
    <w:p>
      <w:pPr>
        <w:ind w:left="462" w:hanging="462"/>
        <w:spacing w:after="0"/>
        <w:tabs>
          <w:tab w:leader="none" w:pos="462"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will Synaptics fit into onsemi’s structure?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the appropriate time, a team of leaders from both onsemi and Synaptics will be assembled to work through integration planning.</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transaction closes, onsemi and Synaptics will continue to operate as separate and independent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0420" cy="12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82"/>
          </w:cols>
          <w:pgMar w:left="298" w:top="127" w:right="419" w:bottom="1440" w:gutter="0" w:footer="0" w:header="0"/>
        </w:sectPr>
      </w:pPr>
    </w:p>
    <w:bookmarkStart w:id="143" w:name="page144"/>
    <w:bookmarkEnd w:id="143"/>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will happen to Synaptics’ headquarters, offices, and facilities following the transaction? Will employees have to relocate or change offices?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There may be changes down the road, but we do not expect major changes, if any, until after the transaction closes.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onsemi is a global company with a significant presence across major technology, engineering, and manufacturing hubs around the world.</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does this affect recruitment for current open positions?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don’t anticipate any changes to our current recruitment goals, and we plan to continue hiring and filling open positions, subject to our interim covenant obligations under the Merger Agreement.</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will happen with my stock?</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the closing, each share of Synaptics stock that you own will be automatically converted into 1.350 shares of onsemi stock.</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will happen to unvested RSUs?</w:t>
      </w:r>
    </w:p>
    <w:p>
      <w:pPr>
        <w:spacing w:after="0" w:line="20" w:lineRule="exact"/>
        <w:rPr>
          <w:rFonts w:ascii="Times New Roman" w:cs="Times New Roman" w:eastAsia="Times New Roman" w:hAnsi="Times New Roman"/>
          <w:sz w:val="13"/>
          <w:szCs w:val="13"/>
          <w:b w:val="1"/>
          <w:bCs w:val="1"/>
          <w:color w:val="auto"/>
        </w:rPr>
      </w:pPr>
    </w:p>
    <w:p>
      <w:pPr>
        <w:ind w:left="462" w:right="240" w:hanging="229"/>
        <w:spacing w:after="0" w:line="259" w:lineRule="auto"/>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time-vested RSUs you hold which are unvested as of the closing of the transaction will be converted into RSUs on onsemi stock based on the overall exchange ratio used for the transaction and those converted RSUs will continue to vest and settle in the normal course based on your original service vesting schedule.</w:t>
      </w:r>
    </w:p>
    <w:p>
      <w:pPr>
        <w:spacing w:after="0" w:line="130"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When can I trade my Synaptics stock?</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you participated in the transaction and have access to material non-public information about Synaptics or onsemi that has not been disclosed, then you should not trade in Synaptics or onsemi securities.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line="259" w:lineRule="auto"/>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Employees who did not participate in the transaction may trade freely in Synaptics securities; provided they are not in possession of material non-public information or otherwise subject to the Insider Trading Policy. Please contact the Chief Legal Officer if you have any questions about your ability to trade.</w:t>
      </w:r>
    </w:p>
    <w:p>
      <w:pPr>
        <w:spacing w:after="0" w:line="130"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Would I be eligible for a bonus and RSU grant for this fiscal year?</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It is expected that RSUs for the upcoming grant cycle will be issued in the normal course.</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is onsemi thinking about integration? How long will integration take after the transaction closes?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announcement is just the first step in uniting onsemi and Synaptics.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the appropriate time, a team of leaders from both onsemi and Synaptics will be assembled to work through integration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0420" cy="12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42"/>
          </w:cols>
          <w:pgMar w:left="298" w:top="125" w:right="359" w:bottom="1440" w:gutter="0" w:footer="0" w:header="0"/>
        </w:sectPr>
      </w:pPr>
    </w:p>
    <w:bookmarkStart w:id="144" w:name="page145"/>
    <w:bookmarkEnd w:id="144"/>
    <w:p>
      <w:pPr>
        <w:ind w:left="462" w:hanging="462"/>
        <w:spacing w:after="0"/>
        <w:tabs>
          <w:tab w:leader="none" w:pos="462"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Should I start reaching out to my onsemi counterparts?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 Until the transaction closes, Synaptics and onsemi will run as independent companies.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Integration planning and communications will be coordinated through designated teams at the appropriate time.</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will provide guidance and notify employees when and how broader engagement with onsemi teams should occur.</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Reach out to your manager or SET leadership for any questions.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should I do if they reach out to me?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Please inform your manager or SET leadership if someone reaches out.</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Senior leadership will coordinate and communicate at the appropriate time.</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does this mean for our customers?</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Both Synaptics and onsemi have a deep customer focus.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Serving our customers is our top priority, and we all should continue to be committed to this goal.</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line="259" w:lineRule="auto"/>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we look to the future of our combined company, we expect customers to have access to broader solutions and differentiated technology capabilities and to benefit from accelerated innovation enabled by scaled R&amp;D and expanded technology roadmaps.</w:t>
      </w:r>
    </w:p>
    <w:p>
      <w:pPr>
        <w:spacing w:after="0" w:line="130"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is the customer communication plan? What should I tell customers who ask about this announcement?</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Many of our senior customer-facing leaders are calling our customers directly to share the news and answer any questions.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Securities and Exchange Commission (SEC) rules restrict what we can communicate about the transaction.</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You should direct anyone, including customers and others, to review publicly filed announcements relating to the transaction.</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you receive any further questions, please direct them to your SET leadership.</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You can reassure customers that we remain focused on delivering the innovative, high-quality products and solutions our customers have come to expect.</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happens next?</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expect the transaction to close in mid-2027, subject to approval by Synaptics shareholders, the receipt of required regulatory approvals, and other customary closing conditions.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then, onsemi and Synaptics will continue to operate as separate and independent companies.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While we may not have all the answers immediately, we are committed to being transparent and timely in our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0420" cy="12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02"/>
          </w:cols>
          <w:pgMar w:left="298" w:top="125" w:right="499" w:bottom="1440" w:gutter="0" w:footer="0" w:header="0"/>
        </w:sectPr>
      </w:pPr>
    </w:p>
    <w:bookmarkStart w:id="145" w:name="page146"/>
    <w:bookmarkEnd w:id="145"/>
    <w:p>
      <w:pPr>
        <w:ind w:left="462" w:hanging="462"/>
        <w:spacing w:after="0"/>
        <w:tabs>
          <w:tab w:leader="none" w:pos="462"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should we handle contract renewals between now and close?</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Until the transaction closes, it is business as usual. onsemi and Synaptics will continue to operate as separate and independent companies.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should execute contract renewals in the normal course of business.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Please reach out to your SET leadership and Legal for any questions.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Can I talk about this with my friends and family or post on social media?</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encourage you to direct friends and family to read the announcement press release should they be interested in the news.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a public company, there are strict SEC rules that govern what and how we are able to share information on social media about this transaction.</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It is okay to repost or “like” information posted by the Official Company Social Media Accounts. For additional information, please refer to the Synaptics social media policy.</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However, employees should refrain from generating new content or commenting about the announcement so that we can all comply with SEC rules.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should avoid commenting on the strategic rationale for the acquisition or speculating about any future plans or changes.</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What if someone from media or outside of Synaptics reaches out about the transaction?</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Please direct any investor questions to Munjal Shah at munjal.shah@synaptics.com.</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Please direct any media inquiries to Neeta Shenoy at neeta.shenoy@synaptics.com.</w:t>
      </w:r>
    </w:p>
    <w:p>
      <w:pPr>
        <w:spacing w:after="0" w:line="147" w:lineRule="exact"/>
        <w:rPr>
          <w:rFonts w:ascii="Times New Roman" w:cs="Times New Roman" w:eastAsia="Times New Roman" w:hAnsi="Times New Roman"/>
          <w:sz w:val="13"/>
          <w:szCs w:val="13"/>
          <w:b w:val="1"/>
          <w:bCs w:val="1"/>
          <w:color w:val="auto"/>
        </w:rPr>
      </w:pPr>
    </w:p>
    <w:p>
      <w:pPr>
        <w:ind w:left="462" w:hanging="462"/>
        <w:spacing w:after="0"/>
        <w:tabs>
          <w:tab w:leader="none" w:pos="462"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Where can I get updates and find more information?</w:t>
      </w:r>
    </w:p>
    <w:p>
      <w:pPr>
        <w:spacing w:after="0" w:line="20"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have established a dedicated page covering the transaction on our intranet.</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always, we encourage you to talk with your Functional SET Leader if you have any questions.</w:t>
      </w:r>
    </w:p>
    <w:p>
      <w:pPr>
        <w:spacing w:after="0" w:line="6" w:lineRule="exact"/>
        <w:rPr>
          <w:rFonts w:ascii="Times New Roman" w:cs="Times New Roman" w:eastAsia="Times New Roman" w:hAnsi="Times New Roman"/>
          <w:sz w:val="13"/>
          <w:szCs w:val="13"/>
          <w:b w:val="1"/>
          <w:bCs w:val="1"/>
          <w:color w:val="auto"/>
        </w:rPr>
      </w:pPr>
    </w:p>
    <w:p>
      <w:pPr>
        <w:ind w:left="462" w:hanging="229"/>
        <w:spacing w:after="0"/>
        <w:tabs>
          <w:tab w:leader="none" w:pos="462" w:val="left"/>
        </w:tabs>
        <w:numPr>
          <w:ilvl w:val="1"/>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will keep you informed and provide relevant updates as appropriate.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left="2"/>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70420" cy="12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82"/>
          </w:cols>
          <w:pgMar w:left="298" w:top="125" w:right="419" w:bottom="1440" w:gutter="0" w:footer="0" w:header="0"/>
        </w:sectPr>
      </w:pPr>
    </w:p>
    <w:bookmarkStart w:id="146" w:name="page147"/>
    <w:bookmarkEnd w:id="146"/>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7170420" cy="12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70420" cy="12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3"/>
          <w:szCs w:val="13"/>
          <w:b w:val="1"/>
          <w:bCs w:val="1"/>
          <w:color w:val="auto"/>
        </w:rPr>
        <w:t>Exhibit 99.6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is the text of an e-mail sent by Synaptics Incorporated to customers of Synaptics Incorporated on June 25,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Customer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70420" cy="12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Subject: </w:t>
      </w:r>
      <w:r>
        <w:rPr>
          <w:rFonts w:ascii="Times New Roman" w:cs="Times New Roman" w:eastAsia="Times New Roman" w:hAnsi="Times New Roman"/>
          <w:sz w:val="13"/>
          <w:szCs w:val="13"/>
          <w:color w:val="auto"/>
        </w:rPr>
        <w:t>Today’s Announcement: A New Chapter for Synaptics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[INSERT CUSTOMER NAME / Valued Customer],</w:t>
      </w:r>
    </w:p>
    <w:p>
      <w:pPr>
        <w:spacing w:after="0" w:line="16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3"/>
          <w:szCs w:val="13"/>
          <w:color w:val="auto"/>
        </w:rPr>
        <w:t>Today, we announced that Synaptics has entered into a definitive agreement to be acquired by onsemi, a global leader in intelligent power and sensing technology with a strong position across AI data centers, industrial, and automotive applications. You can read more about the transaction in the press release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color w:val="auto"/>
        </w:rPr>
        <w:t>This transaction is about growth, scale, and opportunity. onsemi and Synaptics share a common vision of delivering intelligent system solutions for customers. 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3"/>
          <w:szCs w:val="13"/>
          <w:color w:val="auto"/>
        </w:rPr>
        <w:t>Until the transaction closes, which we expect to occur in mid-2027, Synaptics and onsemi will continue to operate as independent companies. Our focus remains unchanged: supporting our customers, delivering on our technology roadmap, and providing the service, technical expertise, and partnership you expect from Synaptics.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 Synaptics contacts remain unchanged, and all ongoing engagements will continue as planned.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Thank you for your continued partnership and trust. If you have additional questions, please reach out to your usual Synaptics point of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175260</wp:posOffset>
            </wp:positionV>
            <wp:extent cx="7170420" cy="12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49" w:name="page150"/>
    <w:bookmarkEnd w:id="149"/>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70420" cy="12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3"/>
          <w:szCs w:val="13"/>
          <w:b w:val="1"/>
          <w:bCs w:val="1"/>
          <w:color w:val="auto"/>
        </w:rPr>
        <w:t>Exhibit 99.7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is the text of an e-mail sent by Synaptics Incorporated to industry partners of Synaptics Incorporated on June 25,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Industry Partner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70420" cy="12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Subject: </w:t>
      </w:r>
      <w:r>
        <w:rPr>
          <w:rFonts w:ascii="Times New Roman" w:cs="Times New Roman" w:eastAsia="Times New Roman" w:hAnsi="Times New Roman"/>
          <w:sz w:val="13"/>
          <w:szCs w:val="13"/>
          <w:color w:val="auto"/>
        </w:rPr>
        <w:t>Today’s Announcement: A New Chapter for Synaptics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[INSERT PARTNER NAME / Valued Partner],</w:t>
      </w:r>
    </w:p>
    <w:p>
      <w:pPr>
        <w:spacing w:after="0" w:line="16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3"/>
          <w:szCs w:val="13"/>
          <w:color w:val="auto"/>
        </w:rPr>
        <w:t>Today, we announced that Synaptics has entered into a definitive agreement to be acquired by onsemi, a global leader in intelligent power and sensing technology, with a strong position across AI data centers, industrial, and automotive applications. You can read more about the transaction in the press release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color w:val="auto"/>
        </w:rPr>
        <w:t>This transaction is about growth, scale, and opportunity. onsemi and Synaptics share a common vision of delivering intelligent system solutions for customers. 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9"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3"/>
          <w:szCs w:val="13"/>
          <w:color w:val="auto"/>
        </w:rPr>
        <w:t>Until the transaction closes, which we expect to occur in mid-2027, Synaptics and onsemi will continue to operate as independent companies. Our team remains focused on partnering with you to deliver the innovation, quality, and customer experience that define Synaptics.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 Synaptics contacts remain unchanged, and all ongoing engagements will continue as planned.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Thank you for your continued partnership and trust. If you have additional questions, please contact your usual Synaptics point of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175260</wp:posOffset>
            </wp:positionV>
            <wp:extent cx="7170420" cy="12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70420" cy="12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3"/>
          <w:szCs w:val="13"/>
          <w:b w:val="1"/>
          <w:bCs w:val="1"/>
          <w:color w:val="auto"/>
        </w:rPr>
        <w:t>Exhibit 99.8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following is the text of an e-mail sent by Synaptics Incorporated to suppliers of Synaptics Incorporated on June 25,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Supplier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70420" cy="12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Subject: </w:t>
      </w:r>
      <w:r>
        <w:rPr>
          <w:rFonts w:ascii="Times New Roman" w:cs="Times New Roman" w:eastAsia="Times New Roman" w:hAnsi="Times New Roman"/>
          <w:sz w:val="13"/>
          <w:szCs w:val="13"/>
          <w:color w:val="auto"/>
        </w:rPr>
        <w:t>Today’s Announcement: A New Chapter for Synaptics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[INSERT SUPPLIER NAME / Valued Supplier],</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Today, we announced that Synaptics has entered into a definitive agreement to be acquired by onsemi, a global semiconductor leader in intelligent power and sensing technology with a strong position across AI data centers, industrial, and automotive applications. You can read more about the transaction in the press release here (</w:t>
      </w:r>
      <w:r>
        <w:rPr>
          <w:rFonts w:ascii="Times New Roman" w:cs="Times New Roman" w:eastAsia="Times New Roman" w:hAnsi="Times New Roman"/>
          <w:sz w:val="13"/>
          <w:szCs w:val="13"/>
          <w:u w:val="single" w:color="auto"/>
          <w:color w:val="auto"/>
        </w:rPr>
        <w:t>https://www.globenewswire.com/news-release/2026/06/25/3317941/0/en/onsemi-to-acquire-synaptics-to-enable-the-next-generation-of-intelligent-systems-for-physical-ai.html</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3"/>
          <w:szCs w:val="13"/>
          <w:color w:val="auto"/>
        </w:rPr>
        <w:t>This transaction is about growth, scale, and opportunity. onsemi and Synaptics share a common vision of delivering intelligent system solutions for customers. The combination brings together Synaptics’ differentiated portfolio of Edge AI compute, connectivity, and human-machine interface solutions with onsemi’s leadership in intelligent power and sensing. Together, we will be able to offer customers integrated solutions and development platforms across every layer of the Edge AI stack, deepening customer engagement and expanding across a greater total addressable market.</w:t>
      </w:r>
    </w:p>
    <w:p>
      <w:pPr>
        <w:spacing w:after="0" w:line="12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Until the transaction closes, which we expect to occur in mid-2027, Synaptics and onsemi will continue to operate as independent companies, and Synaptics’ operations with [INSERT SUPPLIER NAME] will proceed as planned. Your partnership remains essential to delivering our roadmap with your technology, and we are counting on your support to continue the growth and success we have built together.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 Synaptics contacts remain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you have any questions, please contact your usual Synaptics point of contact. Thank you for your continued partnership and trust.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170420" cy="12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3"/>
          <w:szCs w:val="13"/>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3"/>
          <w:szCs w:val="13"/>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170180</wp:posOffset>
            </wp:positionV>
            <wp:extent cx="7170420" cy="12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Transaction and Where To Find It</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3"/>
          <w:szCs w:val="13"/>
          <w:u w:val="single" w:color="auto"/>
          <w:color w:val="auto"/>
        </w:rPr>
        <w:t>https://investor.synaptics.com/</w:t>
      </w:r>
      <w:r>
        <w:rPr>
          <w:rFonts w:ascii="Times New Roman" w:cs="Times New Roman" w:eastAsia="Times New Roman" w:hAnsi="Times New Roman"/>
          <w:sz w:val="13"/>
          <w:szCs w:val="13"/>
          <w:color w:val="auto"/>
        </w:rPr>
        <w:t xml:space="preserve"> (for documents filed with the SEC by Synaptics) or onsemi Investor Relations at </w:t>
      </w:r>
      <w:r>
        <w:rPr>
          <w:rFonts w:ascii="Times New Roman" w:cs="Times New Roman" w:eastAsia="Times New Roman" w:hAnsi="Times New Roman"/>
          <w:sz w:val="13"/>
          <w:szCs w:val="13"/>
          <w:u w:val="single" w:color="auto"/>
          <w:color w:val="auto"/>
        </w:rPr>
        <w:t>https://investor.onsemi.com/</w:t>
      </w:r>
      <w:r>
        <w:rPr>
          <w:rFonts w:ascii="Times New Roman" w:cs="Times New Roman" w:eastAsia="Times New Roman" w:hAnsi="Times New Roman"/>
          <w:sz w:val="13"/>
          <w:szCs w:val="13"/>
          <w:color w:val="auto"/>
        </w:rPr>
        <w:t xml:space="preserve"> (for documents filed with the SEC by onsemi).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64" w:lineRule="exact"/>
        <w:rPr>
          <w:sz w:val="20"/>
          <w:szCs w:val="20"/>
          <w:color w:val="auto"/>
        </w:rPr>
      </w:pPr>
    </w:p>
    <w:p>
      <w:pPr>
        <w:ind w:right="100"/>
        <w:spacing w:after="0" w:line="27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7">
        <w:r>
          <w:rPr>
            <w:rFonts w:ascii="Times New Roman" w:cs="Times New Roman" w:eastAsia="Times New Roman" w:hAnsi="Times New Roman"/>
            <w:sz w:val="12"/>
            <w:szCs w:val="12"/>
            <w:u w:val="single" w:color="auto"/>
            <w:color w:val="0000EE"/>
          </w:rPr>
          <w:t>September 16, 2025</w:t>
        </w:r>
      </w:hyperlink>
      <w:r>
        <w:rPr>
          <w:rFonts w:ascii="Times New Roman" w:cs="Times New Roman" w:eastAsia="Times New Roman" w:hAnsi="Times New Roman"/>
          <w:sz w:val="12"/>
          <w:szCs w:val="12"/>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CIK=817720&amp;owner=exclude</w:t>
      </w:r>
      <w:r>
        <w:rPr>
          <w:rFonts w:ascii="Times New Roman" w:cs="Times New Roman" w:eastAsia="Times New Roman" w:hAnsi="Times New Roman"/>
          <w:sz w:val="12"/>
          <w:szCs w:val="12"/>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18">
        <w:r>
          <w:rPr>
            <w:rFonts w:ascii="Times New Roman" w:cs="Times New Roman" w:eastAsia="Times New Roman" w:hAnsi="Times New Roman"/>
            <w:sz w:val="12"/>
            <w:szCs w:val="12"/>
            <w:u w:val="single" w:color="auto"/>
            <w:color w:val="0000EE"/>
          </w:rPr>
          <w:t>April 2, 2026</w:t>
        </w:r>
      </w:hyperlink>
      <w:r>
        <w:rPr>
          <w:rFonts w:ascii="Times New Roman" w:cs="Times New Roman" w:eastAsia="Times New Roman" w:hAnsi="Times New Roman"/>
          <w:sz w:val="12"/>
          <w:szCs w:val="12"/>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2"/>
          <w:szCs w:val="12"/>
          <w:u w:val="single" w:color="auto"/>
          <w:color w:val="auto"/>
        </w:rPr>
        <w:t>https://www.sec.gov/edgar/browse/?CIK=1097864&amp;owner=exclude</w:t>
      </w:r>
      <w:r>
        <w:rPr>
          <w:rFonts w:ascii="Times New Roman" w:cs="Times New Roman" w:eastAsia="Times New Roman" w:hAnsi="Times New Roman"/>
          <w:sz w:val="12"/>
          <w:szCs w:val="12"/>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7170420" cy="12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0420" cy="12065"/>
                    </a:xfrm>
                    <a:prstGeom prst="rect">
                      <a:avLst/>
                    </a:prstGeom>
                    <a:noFill/>
                  </pic:spPr>
                </pic:pic>
              </a:graphicData>
            </a:graphic>
          </wp:anchor>
        </w:drawing>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1."/>
      <w:numFmt w:val="upperLetter"/>
      <w:start w:val="1"/>
    </w:lvl>
  </w:abstractNum>
  <w:abstractNum w:abstractNumId="7">
    <w:nsid w:val="68EB2F63"/>
    <w:multiLevelType w:val="hybridMultilevel"/>
    <w:lvl w:ilvl="0">
      <w:lvlJc w:val="left"/>
      <w:lvlText w:val="(%1)"/>
      <w:numFmt w:val="lowerLetter"/>
      <w:start w:val="1"/>
    </w:lvl>
  </w:abstractNum>
  <w:abstractNum w:abstractNumId="8">
    <w:nsid w:val="4962813B"/>
    <w:multiLevelType w:val="hybridMultilevel"/>
    <w:lvl w:ilvl="0">
      <w:lvlJc w:val="left"/>
      <w:lvlText w:val="(%1)"/>
      <w:numFmt w:val="lowerLetter"/>
      <w:start w:val="1"/>
    </w:lvl>
    <w:lvl w:ilvl="1">
      <w:lvlJc w:val="left"/>
      <w:lvlText w:val="(%2)"/>
      <w:numFmt w:val="lowerRoman"/>
      <w:start w:val="1"/>
    </w:lvl>
  </w:abstractNum>
  <w:abstractNum w:abstractNumId="9">
    <w:nsid w:val="60B6DF70"/>
    <w:multiLevelType w:val="hybridMultilevel"/>
    <w:lvl w:ilvl="0">
      <w:lvlJc w:val="left"/>
      <w:lvlText w:val="(%1)"/>
      <w:numFmt w:val="lowerLetter"/>
      <w:start w:val="4"/>
    </w:lvl>
  </w:abstractNum>
  <w:abstractNum w:abstractNumId="10">
    <w:nsid w:val="6A5EE64"/>
    <w:multiLevelType w:val="hybridMultilevel"/>
    <w:lvl w:ilvl="0">
      <w:lvlJc w:val="left"/>
      <w:lvlText w:val="(%1)"/>
      <w:numFmt w:val="lowerLetter"/>
      <w:start w:val="1"/>
    </w:lvl>
    <w:lvl w:ilvl="1">
      <w:lvlJc w:val="left"/>
      <w:lvlText w:val="(%2)"/>
      <w:numFmt w:val="lowerLetter"/>
      <w:start w:val="9"/>
    </w:lvl>
  </w:abstractNum>
  <w:abstractNum w:abstractNumId="11">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
    <w:nsid w:val="7FFFCA11"/>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9"/>
    </w:lvl>
  </w:abstractNum>
  <w:abstractNum w:abstractNumId="13">
    <w:nsid w:val="1A27709E"/>
    <w:multiLevelType w:val="hybridMultilevel"/>
    <w:lvl w:ilvl="0">
      <w:lvlJc w:val="left"/>
      <w:lvlText w:val="%1"/>
      <w:numFmt w:val="lowerRoman"/>
      <w:start w:val="1"/>
    </w:lvl>
    <w:lvl w:ilvl="1">
      <w:lvlJc w:val="left"/>
      <w:lvlText w:val="(%2)"/>
      <w:numFmt w:val="lowerRoman"/>
      <w:start w:val="2"/>
    </w:lvl>
  </w:abstractNum>
  <w:abstractNum w:abstractNumId="14">
    <w:nsid w:val="71EA1109"/>
    <w:multiLevelType w:val="hybridMultilevel"/>
    <w:lvl w:ilvl="0">
      <w:lvlJc w:val="left"/>
      <w:lvlText w:val="(%1)"/>
      <w:numFmt w:val="lowerRoman"/>
      <w:start w:val="10"/>
    </w:lvl>
    <w:lvl w:ilvl="1">
      <w:lvlJc w:val="left"/>
      <w:lvlText w:val="%2"/>
      <w:numFmt w:val="lowerRoman"/>
      <w:start w:val="1"/>
    </w:lvl>
  </w:abstractNum>
  <w:abstractNum w:abstractNumId="15">
    <w:nsid w:val="100F59DC"/>
    <w:multiLevelType w:val="hybridMultilevel"/>
    <w:lvl w:ilvl="0">
      <w:lvlJc w:val="left"/>
      <w:lvlText w:val="(%1)"/>
      <w:numFmt w:val="lowerLetter"/>
      <w:start w:val="3"/>
    </w:lvl>
    <w:lvl w:ilvl="1">
      <w:lvlJc w:val="left"/>
      <w:lvlText w:val="(%2)"/>
      <w:numFmt w:val="lowerRoman"/>
      <w:start w:val="1"/>
    </w:lvl>
  </w:abstractNum>
  <w:abstractNum w:abstractNumId="16">
    <w:nsid w:val="7FB7E0AA"/>
    <w:multiLevelType w:val="hybridMultilevel"/>
    <w:lvl w:ilvl="0">
      <w:lvlJc w:val="left"/>
      <w:lvlText w:val="(%1)"/>
      <w:numFmt w:val="lowerLetter"/>
      <w:start w:val="4"/>
    </w:lvl>
  </w:abstractNum>
  <w:abstractNum w:abstractNumId="17">
    <w:nsid w:val="6EB5BD4"/>
    <w:multiLevelType w:val="hybridMultilevel"/>
    <w:lvl w:ilvl="0">
      <w:lvlJc w:val="left"/>
      <w:lvlText w:val="(%1)"/>
      <w:numFmt w:val="lowerLetter"/>
      <w:start w:val="1"/>
    </w:lvl>
  </w:abstractNum>
  <w:abstractNum w:abstractNumId="18">
    <w:nsid w:val="6F6DD9AC"/>
    <w:multiLevelType w:val="hybridMultilevel"/>
    <w:lvl w:ilvl="0">
      <w:lvlJc w:val="left"/>
      <w:lvlText w:val="(%1)"/>
      <w:numFmt w:val="lowerLetter"/>
      <w:start w:val="2"/>
    </w:lvl>
  </w:abstractNum>
  <w:abstractNum w:abstractNumId="19">
    <w:nsid w:val="94211F2"/>
    <w:multiLevelType w:val="hybridMultilevel"/>
    <w:lvl w:ilvl="0">
      <w:lvlJc w:val="left"/>
      <w:lvlText w:val="(%1)"/>
      <w:numFmt w:val="lowerLetter"/>
      <w:start w:val="4"/>
    </w:lvl>
  </w:abstractNum>
  <w:abstractNum w:abstractNumId="20">
    <w:nsid w:val="885E1B"/>
    <w:multiLevelType w:val="hybridMultilevel"/>
    <w:lvl w:ilvl="0">
      <w:lvlJc w:val="left"/>
      <w:lvlText w:val="(%1)"/>
      <w:numFmt w:val="lowerLetter"/>
      <w:start w:val="6"/>
    </w:lvl>
  </w:abstractNum>
  <w:abstractNum w:abstractNumId="21">
    <w:nsid w:val="76272110"/>
    <w:multiLevelType w:val="hybridMultilevel"/>
    <w:lvl w:ilvl="0">
      <w:lvlJc w:val="left"/>
      <w:lvlText w:val="(%1)"/>
      <w:numFmt w:val="lowerLetter"/>
      <w:start w:val="1"/>
    </w:lvl>
  </w:abstractNum>
  <w:abstractNum w:abstractNumId="22">
    <w:nsid w:val="4C04A8AF"/>
    <w:multiLevelType w:val="hybridMultilevel"/>
    <w:lvl w:ilvl="0">
      <w:lvlJc w:val="left"/>
      <w:lvlText w:val="(%1)"/>
      <w:numFmt w:val="lowerLetter"/>
      <w:start w:val="1"/>
    </w:lvl>
  </w:abstractNum>
  <w:abstractNum w:abstractNumId="23">
    <w:nsid w:val="1716703B"/>
    <w:multiLevelType w:val="hybridMultilevel"/>
    <w:lvl w:ilvl="0">
      <w:lvlJc w:val="left"/>
      <w:lvlText w:val="(%1)"/>
      <w:numFmt w:val="lowerLetter"/>
      <w:start w:val="2"/>
    </w:lvl>
  </w:abstractNum>
  <w:abstractNum w:abstractNumId="24">
    <w:nsid w:val="14E17E33"/>
    <w:multiLevelType w:val="hybridMultilevel"/>
    <w:lvl w:ilvl="0">
      <w:lvlJc w:val="left"/>
      <w:lvlText w:val="(%1)"/>
      <w:numFmt w:val="lowerLetter"/>
      <w:start w:val="1"/>
    </w:lvl>
  </w:abstractNum>
  <w:abstractNum w:abstractNumId="25">
    <w:nsid w:val="3222E7CD"/>
    <w:multiLevelType w:val="hybridMultilevel"/>
    <w:lvl w:ilvl="0">
      <w:lvlJc w:val="left"/>
      <w:lvlText w:val="(%1)"/>
      <w:numFmt w:val="lowerLetter"/>
      <w:start w:val="1"/>
    </w:lvl>
    <w:lvl w:ilvl="1">
      <w:lvlJc w:val="left"/>
      <w:lvlText w:val="(%2)"/>
      <w:numFmt w:val="lowerRoman"/>
      <w:start w:val="1"/>
    </w:lvl>
  </w:abstractNum>
  <w:abstractNum w:abstractNumId="26">
    <w:nsid w:val="74DE0EE3"/>
    <w:multiLevelType w:val="hybridMultilevel"/>
    <w:lvl w:ilvl="0">
      <w:lvlJc w:val="left"/>
      <w:lvlText w:val="(%1)"/>
      <w:numFmt w:val="lowerLetter"/>
      <w:start w:val="2"/>
    </w:lvl>
  </w:abstractNum>
  <w:abstractNum w:abstractNumId="27">
    <w:nsid w:val="68EBC550"/>
    <w:multiLevelType w:val="hybridMultilevel"/>
    <w:lvl w:ilvl="0">
      <w:lvlJc w:val="left"/>
      <w:lvlText w:val="(%1)"/>
      <w:numFmt w:val="lowerLetter"/>
      <w:start w:val="1"/>
    </w:lvl>
  </w:abstractNum>
  <w:abstractNum w:abstractNumId="28">
    <w:nsid w:val="2DF6D648"/>
    <w:multiLevelType w:val="hybridMultilevel"/>
    <w:lvl w:ilvl="0">
      <w:lvlJc w:val="left"/>
      <w:lvlText w:val="(%1)"/>
      <w:numFmt w:val="lowerLetter"/>
      <w:start w:val="3"/>
    </w:lvl>
  </w:abstractNum>
  <w:abstractNum w:abstractNumId="29">
    <w:nsid w:val="46B7D447"/>
    <w:multiLevelType w:val="hybridMultilevel"/>
    <w:lvl w:ilvl="0">
      <w:lvlJc w:val="left"/>
      <w:lvlText w:val="(%1)"/>
      <w:numFmt w:val="lowerLetter"/>
      <w:start w:val="1"/>
    </w:lvl>
  </w:abstractNum>
  <w:abstractNum w:abstractNumId="30">
    <w:nsid w:val="4A2AC315"/>
    <w:multiLevelType w:val="hybridMultilevel"/>
    <w:lvl w:ilvl="0">
      <w:lvlJc w:val="left"/>
      <w:lvlText w:val="(%1)"/>
      <w:numFmt w:val="lowerLetter"/>
      <w:start w:val="1"/>
    </w:lvl>
  </w:abstractNum>
  <w:abstractNum w:abstractNumId="31">
    <w:nsid w:val="39EE015C"/>
    <w:multiLevelType w:val="hybridMultilevel"/>
    <w:lvl w:ilvl="0">
      <w:lvlJc w:val="left"/>
      <w:lvlText w:val="%1"/>
      <w:numFmt w:val="lowerLetter"/>
      <w:start w:val="1"/>
    </w:lvl>
    <w:lvl w:ilvl="1">
      <w:lvlJc w:val="left"/>
      <w:lvlText w:val="(%2)"/>
      <w:numFmt w:val="lowerLetter"/>
      <w:start w:val="5"/>
    </w:lvl>
  </w:abstractNum>
  <w:abstractNum w:abstractNumId="32">
    <w:nsid w:val="57FC4FBB"/>
    <w:multiLevelType w:val="hybridMultilevel"/>
    <w:lvl w:ilvl="0">
      <w:lvlJc w:val="left"/>
      <w:lvlText w:val="(%1)"/>
      <w:numFmt w:val="lowerLetter"/>
      <w:start w:val="61"/>
    </w:lvl>
    <w:lvl w:ilvl="1">
      <w:lvlJc w:val="left"/>
      <w:lvlText w:val="(%2)"/>
      <w:numFmt w:val="lowerLetter"/>
      <w:start w:val="6"/>
    </w:lvl>
  </w:abstractNum>
  <w:abstractNum w:abstractNumId="33">
    <w:nsid w:val="CC1016F"/>
    <w:multiLevelType w:val="hybridMultilevel"/>
    <w:lvl w:ilvl="0">
      <w:lvlJc w:val="left"/>
      <w:lvlText w:val="(%1)"/>
      <w:numFmt w:val="lowerLetter"/>
      <w:start w:val="10"/>
    </w:lvl>
  </w:abstractNum>
  <w:abstractNum w:abstractNumId="34">
    <w:nsid w:val="43F18422"/>
    <w:multiLevelType w:val="hybridMultilevel"/>
    <w:lvl w:ilvl="0">
      <w:lvlJc w:val="left"/>
      <w:lvlText w:val="(%1)"/>
      <w:numFmt w:val="lowerLetter"/>
      <w:start w:val="14"/>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lowerLetter"/>
      <w:start w:val="5"/>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5"/>
    </w:lvl>
  </w:abstractNum>
  <w:abstractNum w:abstractNumId="39">
    <w:nsid w:val="7055A5F5"/>
    <w:multiLevelType w:val="hybridMultilevel"/>
    <w:lvl w:ilvl="0">
      <w:lvlJc w:val="left"/>
      <w:lvlText w:val="(%1)"/>
      <w:numFmt w:val="lowerLetter"/>
      <w:start w:val="11"/>
    </w:lvl>
  </w:abstractNum>
  <w:abstractNum w:abstractNumId="40">
    <w:nsid w:val="5FB8370B"/>
    <w:multiLevelType w:val="hybridMultilevel"/>
    <w:lvl w:ilvl="0">
      <w:lvlJc w:val="left"/>
      <w:lvlText w:val="(%1)"/>
      <w:numFmt w:val="lowerLetter"/>
      <w:start w:val="1"/>
    </w:lvl>
  </w:abstractNum>
  <w:abstractNum w:abstractNumId="41">
    <w:nsid w:val="50801EE1"/>
    <w:multiLevelType w:val="hybridMultilevel"/>
    <w:lvl w:ilvl="0">
      <w:lvlJc w:val="left"/>
      <w:lvlText w:val="(%1)"/>
      <w:numFmt w:val="lowerLetter"/>
      <w:start w:val="1"/>
    </w:lvl>
  </w:abstractNum>
  <w:abstractNum w:abstractNumId="42">
    <w:nsid w:val="488AC1A"/>
    <w:multiLevelType w:val="hybridMultilevel"/>
    <w:lvl w:ilvl="0">
      <w:lvlJc w:val="left"/>
      <w:lvlText w:val="%1"/>
      <w:numFmt w:val="lowerLetter"/>
      <w:start w:val="1"/>
    </w:lvl>
    <w:lvl w:ilvl="1">
      <w:lvlJc w:val="left"/>
      <w:lvlText w:val="(%2)"/>
      <w:numFmt w:val="lowerLetter"/>
      <w:start w:val="1"/>
    </w:lvl>
  </w:abstractNum>
  <w:abstractNum w:abstractNumId="43">
    <w:nsid w:val="5FB8011C"/>
    <w:multiLevelType w:val="hybridMultilevel"/>
    <w:lvl w:ilvl="0">
      <w:lvlJc w:val="left"/>
      <w:lvlText w:val="(%1)"/>
      <w:numFmt w:val="lowerLetter"/>
      <w:start w:val="9"/>
    </w:lvl>
    <w:lvl w:ilvl="1">
      <w:lvlJc w:val="left"/>
      <w:lvlText w:val="(%2)"/>
      <w:numFmt w:val="lowerLetter"/>
      <w:start w:val="3"/>
    </w:lvl>
  </w:abstractNum>
  <w:abstractNum w:abstractNumId="44">
    <w:nsid w:val="6AA78F7F"/>
    <w:multiLevelType w:val="hybridMultilevel"/>
    <w:lvl w:ilvl="0">
      <w:lvlJc w:val="left"/>
      <w:lvlText w:val="(%1)"/>
      <w:numFmt w:val="lowerLetter"/>
      <w:start w:val="1"/>
    </w:lvl>
    <w:lvl w:ilvl="1">
      <w:lvlJc w:val="left"/>
      <w:lvlText w:val="(%2)"/>
      <w:numFmt w:val="lowerRoman"/>
      <w:start w:val="1"/>
    </w:lvl>
  </w:abstractNum>
  <w:abstractNum w:abstractNumId="45">
    <w:nsid w:val="7672BD23"/>
    <w:multiLevelType w:val="hybridMultilevel"/>
    <w:lvl w:ilvl="0">
      <w:lvlJc w:val="left"/>
      <w:lvlText w:val="%1"/>
      <w:numFmt w:val="lowerLetter"/>
      <w:start w:val="1"/>
    </w:lvl>
    <w:lvl w:ilvl="1">
      <w:lvlJc w:val="left"/>
      <w:lvlText w:val="(%2)"/>
      <w:numFmt w:val="lowerRoman"/>
      <w:start w:val="3"/>
    </w:lvl>
  </w:abstractNum>
  <w:abstractNum w:abstractNumId="46">
    <w:nsid w:val="6FC75AF8"/>
    <w:multiLevelType w:val="hybridMultilevel"/>
    <w:lvl w:ilvl="0">
      <w:lvlJc w:val="left"/>
      <w:lvlText w:val="(%1)"/>
      <w:numFmt w:val="lowerLetter"/>
      <w:start w:val="2"/>
    </w:lvl>
    <w:lvl w:ilvl="1">
      <w:lvlJc w:val="left"/>
      <w:lvlText w:val="%2"/>
      <w:numFmt w:val="lowerRoman"/>
      <w:start w:val="1"/>
    </w:lvl>
  </w:abstractNum>
  <w:abstractNum w:abstractNumId="47">
    <w:nsid w:val="6A5F7029"/>
    <w:multiLevelType w:val="hybridMultilevel"/>
    <w:lvl w:ilvl="0">
      <w:lvlJc w:val="left"/>
      <w:lvlText w:val="(%1)"/>
      <w:numFmt w:val="lowerLetter"/>
      <w:start w:val="6"/>
    </w:lvl>
  </w:abstractNum>
  <w:abstractNum w:abstractNumId="48">
    <w:nsid w:val="7D5E18F8"/>
    <w:multiLevelType w:val="hybridMultilevel"/>
    <w:lvl w:ilvl="0">
      <w:lvlJc w:val="left"/>
      <w:lvlText w:val="(%1)"/>
      <w:numFmt w:val="lowerLetter"/>
      <w:start w:val="1"/>
    </w:lvl>
  </w:abstractNum>
  <w:abstractNum w:abstractNumId="49">
    <w:nsid w:val="5F3534A4"/>
    <w:multiLevelType w:val="hybridMultilevel"/>
    <w:lvl w:ilvl="0">
      <w:lvlJc w:val="left"/>
      <w:lvlText w:val="(%1)"/>
      <w:numFmt w:val="lowerLetter"/>
      <w:start w:val="2"/>
    </w:lvl>
  </w:abstractNum>
  <w:abstractNum w:abstractNumId="50">
    <w:nsid w:val="73A1821B"/>
    <w:multiLevelType w:val="hybridMultilevel"/>
    <w:lvl w:ilvl="0">
      <w:lvlJc w:val="left"/>
      <w:lvlText w:val="%1"/>
      <w:numFmt w:val="lowerRoman"/>
      <w:start w:val="1"/>
    </w:lvl>
    <w:lvl w:ilvl="1">
      <w:lvlJc w:val="left"/>
      <w:lvlText w:val="(%2)"/>
      <w:numFmt w:val="lowerLetter"/>
      <w:start w:val="8"/>
    </w:lvl>
  </w:abstractNum>
  <w:abstractNum w:abstractNumId="51">
    <w:nsid w:val="7DE67713"/>
    <w:multiLevelType w:val="hybridMultilevel"/>
    <w:lvl w:ilvl="0">
      <w:lvlJc w:val="left"/>
      <w:lvlText w:val="(%1)"/>
      <w:numFmt w:val="lowerRoman"/>
      <w:start w:val="6"/>
    </w:lvl>
    <w:lvl w:ilvl="1">
      <w:lvlJc w:val="left"/>
      <w:lvlText w:val="(%2)"/>
      <w:numFmt w:val="lowerLetter"/>
      <w:start w:val="10"/>
    </w:lvl>
  </w:abstractNum>
  <w:abstractNum w:abstractNumId="52">
    <w:nsid w:val="555C55B5"/>
    <w:multiLevelType w:val="hybridMultilevel"/>
    <w:lvl w:ilvl="0">
      <w:lvlJc w:val="left"/>
      <w:lvlText w:val="(%1)"/>
      <w:numFmt w:val="lowerLetter"/>
      <w:start w:val="1"/>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1)"/>
      <w:numFmt w:val="lowerLetter"/>
      <w:start w:val="1"/>
    </w:lvl>
  </w:abstractNum>
  <w:abstractNum w:abstractNumId="55">
    <w:nsid w:val="6A3DD3E8"/>
    <w:multiLevelType w:val="hybridMultilevel"/>
    <w:lvl w:ilvl="0">
      <w:lvlJc w:val="left"/>
      <w:lvlText w:val="(%1)"/>
      <w:numFmt w:val="lowerLetter"/>
      <w:start w:val="2"/>
    </w:lvl>
  </w:abstractNum>
  <w:abstractNum w:abstractNumId="56">
    <w:nsid w:val="71C91298"/>
    <w:multiLevelType w:val="hybridMultilevel"/>
    <w:lvl w:ilvl="0">
      <w:lvlJc w:val="left"/>
      <w:lvlText w:val="(%1)"/>
      <w:numFmt w:val="lowerLetter"/>
      <w:start w:val="1"/>
    </w:lvl>
  </w:abstractNum>
  <w:abstractNum w:abstractNumId="57">
    <w:nsid w:val="9DAF632"/>
    <w:multiLevelType w:val="hybridMultilevel"/>
    <w:lvl w:ilvl="0">
      <w:lvlJc w:val="left"/>
      <w:lvlText w:val="(%1)"/>
      <w:numFmt w:val="lowerLetter"/>
      <w:start w:val="2"/>
    </w:lvl>
  </w:abstractNum>
  <w:abstractNum w:abstractNumId="58">
    <w:nsid w:val="53299938"/>
    <w:multiLevelType w:val="hybridMultilevel"/>
    <w:lvl w:ilvl="0">
      <w:lvlJc w:val="left"/>
      <w:lvlText w:val="(%1)"/>
      <w:numFmt w:val="lowerLetter"/>
      <w:start w:val="1"/>
    </w:lvl>
  </w:abstractNum>
  <w:abstractNum w:abstractNumId="59">
    <w:nsid w:val="1FBFE8E0"/>
    <w:multiLevelType w:val="hybridMultilevel"/>
    <w:lvl w:ilvl="0">
      <w:lvlJc w:val="left"/>
      <w:lvlText w:val="(%1)"/>
      <w:numFmt w:val="lowerLetter"/>
      <w:start w:val="5"/>
    </w:lvl>
  </w:abstractNum>
  <w:abstractNum w:abstractNumId="60">
    <w:nsid w:val="5092CA79"/>
    <w:multiLevelType w:val="hybridMultilevel"/>
    <w:lvl w:ilvl="0">
      <w:lvlJc w:val="left"/>
      <w:lvlText w:val="(%1)"/>
      <w:numFmt w:val="lowerLetter"/>
      <w:start w:val="1"/>
    </w:lvl>
    <w:lvl w:ilvl="1">
      <w:lvlJc w:val="left"/>
      <w:lvlText w:val="(%2)"/>
      <w:numFmt w:val="lowerRoman"/>
      <w:start w:val="1"/>
    </w:lvl>
  </w:abstractNum>
  <w:abstractNum w:abstractNumId="61">
    <w:nsid w:val="1D545C4D"/>
    <w:multiLevelType w:val="hybridMultilevel"/>
    <w:lvl w:ilvl="0">
      <w:lvlJc w:val="left"/>
      <w:lvlText w:val="(%1)"/>
      <w:numFmt w:val="lowerLetter"/>
      <w:start w:val="2"/>
    </w:lvl>
  </w:abstractNum>
  <w:abstractNum w:abstractNumId="62">
    <w:nsid w:val="59ADEA3D"/>
    <w:multiLevelType w:val="hybridMultilevel"/>
    <w:lvl w:ilvl="0">
      <w:lvlJc w:val="left"/>
      <w:lvlText w:val="(%1)"/>
      <w:numFmt w:val="lowerLetter"/>
      <w:start w:val="1"/>
    </w:lvl>
  </w:abstractNum>
  <w:abstractNum w:abstractNumId="63">
    <w:nsid w:val="288F1A34"/>
    <w:multiLevelType w:val="hybridMultilevel"/>
    <w:lvl w:ilvl="0">
      <w:lvlJc w:val="left"/>
      <w:lvlText w:val="(%1)"/>
      <w:numFmt w:val="lowerLetter"/>
      <w:start w:val="2"/>
    </w:lvl>
  </w:abstractNum>
  <w:abstractNum w:abstractNumId="64">
    <w:nsid w:val="2A155DBC"/>
    <w:multiLevelType w:val="hybridMultilevel"/>
    <w:lvl w:ilvl="0">
      <w:lvlJc w:val="left"/>
      <w:lvlText w:val="(%1)"/>
      <w:numFmt w:val="lowerLetter"/>
      <w:start w:val="5"/>
    </w:lvl>
  </w:abstractNum>
  <w:abstractNum w:abstractNumId="65">
    <w:nsid w:val="1D9F6E5F"/>
    <w:multiLevelType w:val="hybridMultilevel"/>
    <w:lvl w:ilvl="0">
      <w:lvlJc w:val="left"/>
      <w:lvlText w:val="(%1)"/>
      <w:numFmt w:val="lowerLetter"/>
      <w:start w:val="1"/>
    </w:lvl>
  </w:abstractNum>
  <w:abstractNum w:abstractNumId="66">
    <w:nsid w:val="97E1B4E"/>
    <w:multiLevelType w:val="hybridMultilevel"/>
    <w:lvl w:ilvl="0">
      <w:lvlJc w:val="left"/>
      <w:lvlText w:val="(%1)"/>
      <w:numFmt w:val="lowerLetter"/>
      <w:start w:val="1"/>
    </w:lvl>
  </w:abstractNum>
  <w:abstractNum w:abstractNumId="67">
    <w:nsid w:val="51088277"/>
    <w:multiLevelType w:val="hybridMultilevel"/>
    <w:lvl w:ilvl="0">
      <w:lvlJc w:val="left"/>
      <w:lvlText w:val="(%1)"/>
      <w:numFmt w:val="lowerLetter"/>
      <w:start w:val="4"/>
    </w:lvl>
  </w:abstractNum>
  <w:abstractNum w:abstractNumId="68">
    <w:nsid w:val="1CA0C5FA"/>
    <w:multiLevelType w:val="hybridMultilevel"/>
    <w:lvl w:ilvl="0">
      <w:lvlJc w:val="left"/>
      <w:lvlText w:val="(%1)"/>
      <w:numFmt w:val="lowerLetter"/>
      <w:start w:val="1"/>
    </w:lvl>
  </w:abstractNum>
  <w:abstractNum w:abstractNumId="69">
    <w:nsid w:val="53584BCB"/>
    <w:multiLevelType w:val="hybridMultilevel"/>
    <w:lvl w:ilvl="0">
      <w:lvlJc w:val="left"/>
      <w:lvlText w:val="(%1)"/>
      <w:numFmt w:val="lowerLetter"/>
      <w:start w:val="1"/>
    </w:lvl>
  </w:abstractNum>
  <w:abstractNum w:abstractNumId="70">
    <w:nsid w:val="415E286C"/>
    <w:multiLevelType w:val="hybridMultilevel"/>
    <w:lvl w:ilvl="0">
      <w:lvlJc w:val="left"/>
      <w:lvlText w:val="(%1)"/>
      <w:numFmt w:val="lowerLetter"/>
      <w:start w:val="1"/>
    </w:lvl>
    <w:lvl w:ilvl="1">
      <w:lvlJc w:val="left"/>
      <w:lvlText w:val="(%2)"/>
      <w:numFmt w:val="lowerRoman"/>
      <w:start w:val="1"/>
    </w:lvl>
  </w:abstractNum>
  <w:abstractNum w:abstractNumId="71">
    <w:nsid w:val="7C58FD05"/>
    <w:multiLevelType w:val="hybridMultilevel"/>
    <w:lvl w:ilvl="0">
      <w:lvlJc w:val="left"/>
      <w:lvlText w:val="(%1)"/>
      <w:numFmt w:val="lowerLetter"/>
      <w:start w:val="2"/>
    </w:lvl>
  </w:abstractNum>
  <w:abstractNum w:abstractNumId="72">
    <w:nsid w:val="23D86AAC"/>
    <w:multiLevelType w:val="hybridMultilevel"/>
    <w:lvl w:ilvl="0">
      <w:lvlJc w:val="left"/>
      <w:lvlText w:val="(%1)"/>
      <w:numFmt w:val="lowerLetter"/>
      <w:start w:val="1"/>
    </w:lvl>
  </w:abstractNum>
  <w:abstractNum w:abstractNumId="73">
    <w:nsid w:val="45E6D486"/>
    <w:multiLevelType w:val="hybridMultilevel"/>
    <w:lvl w:ilvl="0">
      <w:lvlJc w:val="left"/>
      <w:lvlText w:val="(%1)"/>
      <w:numFmt w:val="lowerLetter"/>
      <w:start w:val="1"/>
    </w:lvl>
  </w:abstractNum>
  <w:abstractNum w:abstractNumId="74">
    <w:nsid w:val="5C10FE21"/>
    <w:multiLevelType w:val="hybridMultilevel"/>
    <w:lvl w:ilvl="0">
      <w:lvlJc w:val="left"/>
      <w:lvlText w:val="(%1)"/>
      <w:numFmt w:val="lowerRoman"/>
      <w:start w:val="1"/>
    </w:lvl>
  </w:abstractNum>
  <w:abstractNum w:abstractNumId="75">
    <w:nsid w:val="E7FFA2B"/>
    <w:multiLevelType w:val="hybridMultilevel"/>
    <w:lvl w:ilvl="0">
      <w:lvlJc w:val="left"/>
      <w:lvlText w:val="(%1)"/>
      <w:numFmt w:val="lowerRoman"/>
      <w:start w:val="8"/>
    </w:lvl>
  </w:abstractNum>
  <w:abstractNum w:abstractNumId="76">
    <w:nsid w:val="3C5991AA"/>
    <w:multiLevelType w:val="hybridMultilevel"/>
    <w:lvl w:ilvl="0">
      <w:lvlJc w:val="left"/>
      <w:lvlText w:val="(%1)"/>
      <w:numFmt w:val="lowerRoman"/>
      <w:start w:val="11"/>
    </w:lvl>
  </w:abstractNum>
  <w:abstractNum w:abstractNumId="77">
    <w:nsid w:val="4BD8591A"/>
    <w:multiLevelType w:val="hybridMultilevel"/>
    <w:lvl w:ilvl="0">
      <w:lvlJc w:val="left"/>
      <w:lvlText w:val="(%1)"/>
      <w:numFmt w:val="lowerRoman"/>
      <w:start w:val="12"/>
    </w:lvl>
  </w:abstractNum>
  <w:abstractNum w:abstractNumId="78">
    <w:nsid w:val="78DF6A55"/>
    <w:multiLevelType w:val="hybridMultilevel"/>
    <w:lvl w:ilvl="0">
      <w:lvlJc w:val="left"/>
      <w:lvlText w:val="(%1)"/>
      <w:numFmt w:val="lowerRoman"/>
      <w:start w:val="18"/>
    </w:lvl>
  </w:abstractNum>
  <w:abstractNum w:abstractNumId="79">
    <w:nsid w:val="39B7AAA2"/>
    <w:multiLevelType w:val="hybridMultilevel"/>
    <w:lvl w:ilvl="0">
      <w:lvlJc w:val="left"/>
      <w:lvlText w:val="(%1)"/>
      <w:numFmt w:val="lowerRoman"/>
      <w:start w:val="19"/>
    </w:lvl>
  </w:abstractNum>
  <w:abstractNum w:abstractNumId="80">
    <w:nsid w:val="2B0D8DBE"/>
    <w:multiLevelType w:val="hybridMultilevel"/>
    <w:lvl w:ilvl="0">
      <w:lvlJc w:val="left"/>
      <w:lvlText w:val="%1"/>
      <w:numFmt w:val="upperLetter"/>
      <w:start w:val="1"/>
    </w:lvl>
    <w:lvl w:ilvl="1">
      <w:lvlJc w:val="left"/>
      <w:lvlText w:val="(%2)"/>
      <w:numFmt w:val="lowerRoman"/>
      <w:start w:val="22"/>
    </w:lvl>
  </w:abstractNum>
  <w:abstractNum w:abstractNumId="81">
    <w:nsid w:val="6C80EC70"/>
    <w:multiLevelType w:val="hybridMultilevel"/>
    <w:lvl w:ilvl="0">
      <w:lvlJc w:val="left"/>
      <w:lvlText w:val="(%1)"/>
      <w:numFmt w:val="upperLetter"/>
      <w:start w:val="3"/>
    </w:lvl>
    <w:lvl w:ilvl="1">
      <w:lvlJc w:val="left"/>
      <w:lvlText w:val="(%2)"/>
      <w:numFmt w:val="lowerRoman"/>
      <w:start w:val="24"/>
    </w:lvl>
  </w:abstractNum>
  <w:abstractNum w:abstractNumId="82">
    <w:nsid w:val="379E21B5"/>
    <w:multiLevelType w:val="hybridMultilevel"/>
    <w:lvl w:ilvl="0">
      <w:lvlJc w:val="left"/>
      <w:lvlText w:val="(%1)"/>
      <w:numFmt w:val="lowerLetter"/>
      <w:start w:val="2"/>
    </w:lvl>
    <w:lvl w:ilvl="1">
      <w:lvlJc w:val="left"/>
      <w:lvlText w:val="(%2)"/>
      <w:numFmt w:val="lowerRoman"/>
      <w:start w:val="1"/>
    </w:lvl>
  </w:abstractNum>
  <w:abstractNum w:abstractNumId="83">
    <w:nsid w:val="69E37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84">
    <w:nsid w:val="2C27173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6"/>
    </w:lvl>
  </w:abstractNum>
  <w:abstractNum w:abstractNumId="85">
    <w:nsid w:val="4C9B0904"/>
    <w:multiLevelType w:val="hybridMultilevel"/>
    <w:lvl w:ilvl="0">
      <w:lvlJc w:val="left"/>
      <w:lvlText w:val="(%1)"/>
      <w:numFmt w:val="lowerLetter"/>
      <w:start w:val="1"/>
    </w:lvl>
    <w:lvl w:ilvl="1">
      <w:lvlJc w:val="left"/>
      <w:lvlText w:val="(%2)"/>
      <w:numFmt w:val="lowerRoman"/>
      <w:start w:val="1"/>
    </w:lvl>
  </w:abstractNum>
  <w:abstractNum w:abstractNumId="86">
    <w:nsid w:val="6AA7B75C"/>
    <w:multiLevelType w:val="hybridMultilevel"/>
    <w:lvl w:ilvl="0">
      <w:lvlJc w:val="left"/>
      <w:lvlText w:val="(%1)"/>
      <w:numFmt w:val="lowerRoman"/>
      <w:start w:val="4"/>
    </w:lvl>
  </w:abstractNum>
  <w:abstractNum w:abstractNumId="87">
    <w:nsid w:val="1DF029D3"/>
    <w:multiLevelType w:val="hybridMultilevel"/>
    <w:lvl w:ilvl="0">
      <w:lvlJc w:val="left"/>
      <w:lvlText w:val="(%1)"/>
      <w:numFmt w:val="lowerLetter"/>
      <w:start w:val="2"/>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1">
    <w:nsid w:val="2708C9AF"/>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92">
    <w:nsid w:val="5B25ACE2"/>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93">
    <w:nsid w:val="175DFCF0"/>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3"/>
    </w:lvl>
    <w:lvl w:ilvl="3">
      <w:lvlJc w:val="left"/>
      <w:lvlText w:val="(%4)"/>
      <w:numFmt w:val="lowerRoman"/>
      <w:start w:val="4"/>
    </w:lvl>
  </w:abstractNum>
  <w:abstractNum w:abstractNumId="94">
    <w:nsid w:val="4F97E3E4"/>
    <w:multiLevelType w:val="hybridMultilevel"/>
    <w:lvl w:ilvl="0">
      <w:lvlJc w:val="left"/>
      <w:lvlText w:val="(%1)"/>
      <w:numFmt w:val="lowerRoman"/>
      <w:start w:val="3"/>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95">
    <w:nsid w:val="53B0A9E"/>
    <w:multiLevelType w:val="hybridMultilevel"/>
    <w:lvl w:ilvl="0">
      <w:lvlJc w:val="left"/>
      <w:lvlText w:val="(%1)"/>
      <w:numFmt w:val="lowerLetter"/>
      <w:start w:val="5"/>
    </w:lvl>
  </w:abstractNum>
  <w:abstractNum w:abstractNumId="96">
    <w:nsid w:val="34FD6B4F"/>
    <w:multiLevelType w:val="hybridMultilevel"/>
    <w:lvl w:ilvl="0">
      <w:lvlJc w:val="left"/>
      <w:lvlText w:val="%1"/>
      <w:numFmt w:val="lowerLetter"/>
      <w:start w:val="1"/>
    </w:lvl>
    <w:lvl w:ilvl="1">
      <w:lvlJc w:val="left"/>
      <w:lvlText w:val="(%2)"/>
      <w:numFmt w:val="lowerLetter"/>
      <w:start w:val="1"/>
    </w:lvl>
  </w:abstractNum>
  <w:abstractNum w:abstractNumId="97">
    <w:nsid w:val="5915FF32"/>
    <w:multiLevelType w:val="hybridMultilevel"/>
    <w:lvl w:ilvl="0">
      <w:lvlJc w:val="left"/>
      <w:lvlText w:val="(%1)"/>
      <w:numFmt w:val="lowerLetter"/>
      <w:start w:val="35"/>
    </w:lvl>
    <w:lvl w:ilvl="1">
      <w:lvlJc w:val="left"/>
      <w:lvlText w:val="%2"/>
      <w:numFmt w:val="lowerLetter"/>
      <w:start w:val="1"/>
    </w:lvl>
  </w:abstractNum>
  <w:abstractNum w:abstractNumId="98">
    <w:nsid w:val="56438D15"/>
    <w:multiLevelType w:val="hybridMultilevel"/>
    <w:lvl w:ilvl="0">
      <w:lvlJc w:val="left"/>
      <w:lvlText w:val="(%1)"/>
      <w:numFmt w:val="lowerLetter"/>
      <w:start w:val="2"/>
    </w:lvl>
  </w:abstractNum>
  <w:abstractNum w:abstractNumId="99">
    <w:nsid w:val="519E3149"/>
    <w:multiLevelType w:val="hybridMultilevel"/>
    <w:lvl w:ilvl="0">
      <w:lvlJc w:val="left"/>
      <w:lvlText w:val="(%1)"/>
      <w:numFmt w:val="lowerLetter"/>
      <w:start w:val="4"/>
    </w:lvl>
  </w:abstractNum>
  <w:abstractNum w:abstractNumId="100">
    <w:nsid w:val="2C6E4AFD"/>
    <w:multiLevelType w:val="hybridMultilevel"/>
    <w:lvl w:ilvl="0">
      <w:lvlJc w:val="left"/>
      <w:lvlText w:val="(%1)"/>
      <w:numFmt w:val="lowerLetter"/>
      <w:start w:val="1"/>
    </w:lvl>
  </w:abstractNum>
  <w:abstractNum w:abstractNumId="101">
    <w:nsid w:val="17A1B582"/>
    <w:multiLevelType w:val="hybridMultilevel"/>
    <w:lvl w:ilvl="0">
      <w:lvlJc w:val="left"/>
      <w:lvlText w:val="(%1)"/>
      <w:numFmt w:val="lowerLetter"/>
      <w:start w:val="1"/>
    </w:lvl>
  </w:abstractNum>
  <w:abstractNum w:abstractNumId="102">
    <w:nsid w:val="4DF72E4E"/>
    <w:multiLevelType w:val="hybridMultilevel"/>
    <w:lvl w:ilvl="0">
      <w:lvlJc w:val="left"/>
      <w:lvlText w:val="%1"/>
      <w:numFmt w:val="lowerLetter"/>
      <w:start w:val="1"/>
    </w:lvl>
    <w:lvl w:ilvl="1">
      <w:lvlJc w:val="left"/>
      <w:lvlText w:val="(%2)"/>
      <w:numFmt w:val="lowerLetter"/>
      <w:start w:val="1"/>
    </w:lvl>
  </w:abstractNum>
  <w:abstractNum w:abstractNumId="103">
    <w:nsid w:val="5046B5A9"/>
    <w:multiLevelType w:val="hybridMultilevel"/>
    <w:lvl w:ilvl="0">
      <w:lvlJc w:val="left"/>
      <w:lvlText w:val="(%1)"/>
      <w:numFmt w:val="lowerLetter"/>
      <w:start w:val="9"/>
    </w:lvl>
    <w:lvl w:ilvl="1">
      <w:lvlJc w:val="left"/>
      <w:lvlText w:val="(%2)"/>
      <w:numFmt w:val="lowerLetter"/>
      <w:start w:val="2"/>
    </w:lvl>
  </w:abstractNum>
  <w:abstractNum w:abstractNumId="104">
    <w:nsid w:val="5D888A08"/>
    <w:multiLevelType w:val="hybridMultilevel"/>
    <w:lvl w:ilvl="0">
      <w:lvlJc w:val="left"/>
      <w:lvlText w:val="(%1)"/>
      <w:numFmt w:val="lowerLetter"/>
      <w:start w:val="3"/>
    </w:lvl>
  </w:abstractNum>
  <w:abstractNum w:abstractNumId="105">
    <w:nsid w:val="2A082C70"/>
    <w:multiLevelType w:val="hybridMultilevel"/>
    <w:lvl w:ilvl="0">
      <w:lvlJc w:val="left"/>
      <w:lvlText w:val="(%1)"/>
      <w:numFmt w:val="lowerLetter"/>
      <w:start w:val="6"/>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lowerLetter"/>
      <w:start w:val="2"/>
    </w:lvl>
  </w:abstractNum>
  <w:abstractNum w:abstractNumId="109">
    <w:nsid w:val="57A61A29"/>
    <w:multiLevelType w:val="hybridMultilevel"/>
    <w:lvl w:ilvl="0">
      <w:lvlJc w:val="left"/>
      <w:lvlText w:val="(%1)"/>
      <w:numFmt w:val="lowerLetter"/>
      <w:start w:val="3"/>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lowerLetter"/>
      <w:start w:val="2"/>
    </w:lvl>
  </w:abstractNum>
  <w:abstractNum w:abstractNumId="112">
    <w:nsid w:val="4427069A"/>
    <w:multiLevelType w:val="hybridMultilevel"/>
    <w:lvl w:ilvl="0">
      <w:lvlJc w:val="left"/>
      <w:lvlText w:val="(%1)"/>
      <w:numFmt w:val="lowerLetter"/>
      <w:start w:val="5"/>
    </w:lvl>
  </w:abstractNum>
  <w:abstractNum w:abstractNumId="113">
    <w:nsid w:val="B37E80A"/>
    <w:multiLevelType w:val="hybridMultilevel"/>
    <w:lvl w:ilvl="0">
      <w:lvlJc w:val="left"/>
      <w:lvlText w:val="(%1)"/>
      <w:numFmt w:val="lowerLetter"/>
      <w:start w:val="1"/>
    </w:lvl>
  </w:abstractNum>
  <w:abstractNum w:abstractNumId="114">
    <w:nsid w:val="2157F6BC"/>
    <w:multiLevelType w:val="hybridMultilevel"/>
    <w:lvl w:ilvl="0">
      <w:lvlJc w:val="left"/>
      <w:lvlText w:val="(%1)"/>
      <w:numFmt w:val="lowerLetter"/>
      <w:start w:val="1"/>
    </w:lvl>
  </w:abstractNum>
  <w:abstractNum w:abstractNumId="115">
    <w:nsid w:val="704E1DD5"/>
    <w:multiLevelType w:val="hybridMultilevel"/>
    <w:lvl w:ilvl="0">
      <w:lvlJc w:val="left"/>
      <w:lvlText w:val="(%1)"/>
      <w:numFmt w:val="lowerLetter"/>
      <w:start w:val="1"/>
    </w:lvl>
  </w:abstractNum>
  <w:abstractNum w:abstractNumId="116">
    <w:nsid w:val="57D2F10E"/>
    <w:multiLevelType w:val="hybridMultilevel"/>
    <w:lvl w:ilvl="0">
      <w:lvlJc w:val="left"/>
      <w:lvlText w:val="(%1)"/>
      <w:numFmt w:val="lowerLetter"/>
      <w:start w:val="1"/>
    </w:lvl>
  </w:abstractNum>
  <w:abstractNum w:abstractNumId="117">
    <w:nsid w:val="BFFAE18"/>
    <w:multiLevelType w:val="hybridMultilevel"/>
    <w:lvl w:ilvl="0">
      <w:lvlJc w:val="left"/>
      <w:lvlText w:val="(%1)"/>
      <w:numFmt w:val="lowerLetter"/>
      <w:start w:val="1"/>
    </w:lvl>
  </w:abstractNum>
  <w:abstractNum w:abstractNumId="118">
    <w:nsid w:val="E3E47A8"/>
    <w:multiLevelType w:val="hybridMultilevel"/>
    <w:lvl w:ilvl="0">
      <w:lvlJc w:val="left"/>
      <w:lvlText w:val="(%1)"/>
      <w:numFmt w:val="lowerLetter"/>
      <w:start w:val="2"/>
    </w:lvl>
  </w:abstractNum>
  <w:abstractNum w:abstractNumId="119">
    <w:nsid w:val="2E48F044"/>
    <w:multiLevelType w:val="hybridMultilevel"/>
    <w:lvl w:ilvl="0">
      <w:lvlJc w:val="left"/>
      <w:lvlText w:val="(%1)"/>
      <w:numFmt w:val="lowerLetter"/>
      <w:start w:val="8"/>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Letter"/>
      <w:start w:val="2"/>
    </w:lvl>
  </w:abstractNum>
  <w:abstractNum w:abstractNumId="122">
    <w:nsid w:val="5551B9F3"/>
    <w:multiLevelType w:val="hybridMultilevel"/>
    <w:lvl w:ilvl="0">
      <w:lvlJc w:val="left"/>
      <w:lvlText w:val="(%1)"/>
      <w:numFmt w:val="lowerLetter"/>
      <w:start w:val="5"/>
    </w:lvl>
  </w:abstractNum>
  <w:abstractNum w:abstractNumId="123">
    <w:nsid w:val="24F6AB8E"/>
    <w:multiLevelType w:val="hybridMultilevel"/>
    <w:lvl w:ilvl="0">
      <w:lvlJc w:val="left"/>
      <w:lvlText w:val="(%1)"/>
      <w:numFmt w:val="lowerLetter"/>
      <w:start w:val="1"/>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lowerLetter"/>
      <w:start w:val="3"/>
    </w:lvl>
  </w:abstractNum>
  <w:abstractNum w:abstractNumId="126">
    <w:nsid w:val="2A31B62D"/>
    <w:multiLevelType w:val="hybridMultilevel"/>
    <w:lvl w:ilvl="0">
      <w:lvlJc w:val="left"/>
      <w:lvlText w:val="(%1)"/>
      <w:numFmt w:val="lowerLetter"/>
      <w:start w:val="5"/>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1"/>
    </w:lvl>
  </w:abstractNum>
  <w:abstractNum w:abstractNumId="129">
    <w:nsid w:val="754342"/>
    <w:multiLevelType w:val="hybridMultilevel"/>
    <w:lvl w:ilvl="0">
      <w:lvlJc w:val="left"/>
      <w:lvlText w:val="(%1)"/>
      <w:numFmt w:val="lowerLetter"/>
      <w:start w:val="1"/>
    </w:lvl>
  </w:abstractNum>
  <w:abstractNum w:abstractNumId="130">
    <w:nsid w:val="69E7F3E5"/>
    <w:multiLevelType w:val="hybridMultilevel"/>
    <w:lvl w:ilvl="0">
      <w:lvlJc w:val="left"/>
      <w:lvlText w:val="%1"/>
      <w:numFmt w:val="lowerLetter"/>
      <w:start w:val="1"/>
    </w:lvl>
    <w:lvl w:ilvl="1">
      <w:lvlJc w:val="left"/>
      <w:lvlText w:val="(%2)"/>
      <w:numFmt w:val="lowerLetter"/>
      <w:start w:val="6"/>
    </w:lvl>
  </w:abstractNum>
  <w:abstractNum w:abstractNumId="131">
    <w:nsid w:val="2A6DE806"/>
    <w:multiLevelType w:val="hybridMultilevel"/>
    <w:lvl w:ilvl="0">
      <w:lvlJc w:val="left"/>
      <w:lvlText w:val="(%1)"/>
      <w:numFmt w:val="lowerLetter"/>
      <w:start w:val="2"/>
    </w:lvl>
    <w:lvl w:ilvl="1">
      <w:lvlJc w:val="left"/>
      <w:lvlText w:val="(%2)"/>
      <w:numFmt w:val="lowerLetter"/>
      <w:start w:val="8"/>
    </w:lvl>
  </w:abstractNum>
  <w:abstractNum w:abstractNumId="132">
    <w:nsid w:val="1816F8C4"/>
    <w:multiLevelType w:val="hybridMultilevel"/>
    <w:lvl w:ilvl="0">
      <w:lvlJc w:val="left"/>
      <w:lvlText w:val="(%1)"/>
      <w:numFmt w:val="upperLetter"/>
      <w:start w:val="8"/>
    </w:lvl>
  </w:abstractNum>
  <w:abstractNum w:abstractNumId="133">
    <w:nsid w:val="37DF2233"/>
    <w:multiLevelType w:val="hybridMultilevel"/>
    <w:lvl w:ilvl="0">
      <w:lvlJc w:val="left"/>
      <w:lvlText w:val="(%1)"/>
      <w:numFmt w:val="upperLetter"/>
      <w:start w:val="11"/>
    </w:lvl>
  </w:abstractNum>
  <w:abstractNum w:abstractNumId="134">
    <w:nsid w:val="7AB49DAF"/>
    <w:multiLevelType w:val="hybridMultilevel"/>
    <w:lvl w:ilvl="0">
      <w:lvlJc w:val="left"/>
      <w:lvlText w:val="(%1)"/>
      <w:numFmt w:val="lowerRoman"/>
      <w:start w:val="1"/>
    </w:lvl>
  </w:abstractNum>
  <w:abstractNum w:abstractNumId="135">
    <w:nsid w:val="759F82CD"/>
    <w:multiLevelType w:val="hybridMultilevel"/>
    <w:lvl w:ilvl="0">
      <w:lvlJc w:val="left"/>
      <w:lvlText w:val="(%1)"/>
      <w:numFmt w:val="lowerLetter"/>
      <w:start w:val="2"/>
    </w:lvl>
  </w:abstractNum>
  <w:abstractNum w:abstractNumId="136">
    <w:nsid w:val="61E74EA3"/>
    <w:multiLevelType w:val="hybridMultilevel"/>
    <w:lvl w:ilvl="0">
      <w:lvlJc w:val="left"/>
      <w:lvlText w:val="•"/>
      <w:numFmt w:val="bullet"/>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1)"/>
      <w:numFmt w:val="decimal"/>
      <w:start w:val="602"/>
    </w:lvl>
  </w:abstractNum>
  <w:abstractNum w:abstractNumId="140">
    <w:nsid w:val="312167AD"/>
    <w:multiLevelType w:val="hybridMultilevel"/>
    <w:lvl w:ilvl="0">
      <w:lvlJc w:val="left"/>
      <w:lvlText w:val="(%1)"/>
      <w:numFmt w:val="decimal"/>
      <w:start w:val="480"/>
    </w:lvl>
  </w:abstractNum>
  <w:abstractNum w:abstractNumId="141">
    <w:nsid w:val="631B64D4"/>
    <w:multiLevelType w:val="hybridMultilevel"/>
    <w:lvl w:ilvl="0">
      <w:lvlJc w:val="left"/>
      <w:lvlText w:val="(%1)"/>
      <w:numFmt w:val="decimal"/>
      <w:start w:val="408"/>
    </w:lvl>
  </w:abstractNum>
  <w:abstractNum w:abstractNumId="142">
    <w:nsid w:val="78B5E776"/>
    <w:multiLevelType w:val="hybridMultilevel"/>
    <w:lvl w:ilvl="0">
      <w:lvlJc w:val="left"/>
      <w:lvlText w:val="(%1)"/>
      <w:numFmt w:val="decimal"/>
      <w:start w:val="408"/>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1."/>
      <w:numFmt w:val="decimal"/>
      <w:start w:val="1"/>
    </w:lvl>
    <w:lvl w:ilvl="1">
      <w:lvlJc w:val="left"/>
      <w:lvlText w:val="•"/>
      <w:numFmt w:val="bullet"/>
      <w:start w:val="1"/>
    </w:lvl>
  </w:abstractNum>
  <w:abstractNum w:abstractNumId="147">
    <w:nsid w:val="46263DEC"/>
    <w:multiLevelType w:val="hybridMultilevel"/>
    <w:lvl w:ilvl="0">
      <w:lvlJc w:val="left"/>
      <w:lvlText w:val="%1."/>
      <w:numFmt w:val="decimal"/>
      <w:start w:val="4"/>
    </w:lvl>
    <w:lvl w:ilvl="1">
      <w:lvlJc w:val="left"/>
      <w:lvlText w:val="•"/>
      <w:numFmt w:val="bullet"/>
      <w:start w:val="1"/>
    </w:lvl>
  </w:abstractNum>
  <w:abstractNum w:abstractNumId="148">
    <w:nsid w:val="260D8C4A"/>
    <w:multiLevelType w:val="hybridMultilevel"/>
    <w:lvl w:ilvl="0">
      <w:lvlJc w:val="left"/>
      <w:lvlText w:val="%1."/>
      <w:numFmt w:val="decimal"/>
      <w:start w:val="9"/>
    </w:lvl>
    <w:lvl w:ilvl="1">
      <w:lvlJc w:val="left"/>
      <w:lvlText w:val="•"/>
      <w:numFmt w:val="bullet"/>
      <w:start w:val="1"/>
    </w:lvl>
  </w:abstractNum>
  <w:abstractNum w:abstractNumId="149">
    <w:nsid w:val="73D4D3C4"/>
    <w:multiLevelType w:val="hybridMultilevel"/>
    <w:lvl w:ilvl="0">
      <w:lvlJc w:val="left"/>
      <w:lvlText w:val="%1."/>
      <w:numFmt w:val="decimal"/>
      <w:start w:val="15"/>
    </w:lvl>
    <w:lvl w:ilvl="1">
      <w:lvlJc w:val="left"/>
      <w:lvlText w:val="•"/>
      <w:numFmt w:val="bullet"/>
      <w:start w:val="1"/>
    </w:lvl>
  </w:abstractNum>
  <w:abstractNum w:abstractNumId="150">
    <w:nsid w:val="746F2E30"/>
    <w:multiLevelType w:val="hybridMultilevel"/>
    <w:lvl w:ilvl="0">
      <w:lvlJc w:val="left"/>
      <w:lvlText w:val="%1."/>
      <w:numFmt w:val="decimal"/>
      <w:start w:val="22"/>
    </w:lvl>
    <w:lvl w:ilvl="1">
      <w:lvlJc w:val="left"/>
      <w:lvlText w:val="•"/>
      <w:numFmt w:val="bullet"/>
      <w:start w:val="1"/>
    </w:lvl>
  </w:abstractNum>
  <w:abstractNum w:abstractNumId="151">
    <w:nsid w:val="6FDE8AF6"/>
    <w:multiLevelType w:val="hybridMultilevel"/>
    <w:lvl w:ilvl="0">
      <w:lvlJc w:val="left"/>
      <w:lvlText w:val="%1."/>
      <w:numFmt w:val="decimal"/>
      <w:start w:val="2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 Type="http://schemas.openxmlformats.org/officeDocument/2006/relationships/hyperlink" Target="https://www.sec.gov/ix?doc=/Archives/edgar/data/817720/000081772025000083/syna-20250916.htm" TargetMode="External"/><Relationship Id="rId18"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2026-06-26T05:53:03Z</dcterms:created>
  <dcterms:modified xsi:type="dcterms:W3CDTF">2026-06-26T05:53:03Z</dcterms:modified>
</cp:coreProperties>
</file>