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7" w:lineRule="exact"/>
        <w:rPr>
          <w:sz w:val="24"/>
          <w:szCs w:val="24"/>
          <w:color w:val="auto"/>
        </w:rPr>
      </w:pPr>
    </w:p>
    <w:p>
      <w:pPr>
        <w:ind w:left="520" w:right="140" w:hanging="499"/>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08" w:lineRule="exact"/>
        <w:rPr>
          <w:sz w:val="24"/>
          <w:szCs w:val="24"/>
          <w:color w:val="auto"/>
        </w:rPr>
      </w:pPr>
    </w:p>
    <w:p>
      <w:pPr>
        <w:ind w:left="520" w:right="120" w:hanging="499"/>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400" w:type="dxa"/>
            <w:vAlign w:val="bottom"/>
          </w:tcPr>
          <w:p>
            <w:pPr>
              <w:spacing w:after="0"/>
              <w:rPr>
                <w:sz w:val="19"/>
                <w:szCs w:val="19"/>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1109 McKay Drive</w:t>
            </w:r>
          </w:p>
        </w:tc>
        <w:tc>
          <w:tcPr>
            <w:tcW w:w="3180" w:type="dxa"/>
            <w:vAlign w:val="bottom"/>
          </w:tcPr>
          <w:p>
            <w:pPr>
              <w:spacing w:after="0"/>
              <w:rPr>
                <w:sz w:val="24"/>
                <w:szCs w:val="24"/>
                <w:color w:val="auto"/>
              </w:rPr>
            </w:pPr>
          </w:p>
        </w:tc>
      </w:tr>
      <w:tr>
        <w:trPr>
          <w:trHeight w:val="211"/>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59"/>
        </w:trPr>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40" w:type="dxa"/>
            <w:vAlign w:val="bottom"/>
            <w:gridSpan w:val="3"/>
          </w:tcPr>
          <w:p>
            <w:pPr>
              <w:jc w:val="center"/>
              <w:ind w:left="1102"/>
              <w:spacing w:after="0"/>
              <w:rPr>
                <w:sz w:val="20"/>
                <w:szCs w:val="20"/>
                <w:color w:val="auto"/>
              </w:rPr>
            </w:pPr>
            <w:r>
              <w:rPr>
                <w:rFonts w:ascii="Arial" w:cs="Arial" w:eastAsia="Arial" w:hAnsi="Arial"/>
                <w:sz w:val="18"/>
                <w:szCs w:val="18"/>
                <w:b w:val="1"/>
                <w:bCs w:val="1"/>
                <w:color w:val="auto"/>
                <w:w w:val="90"/>
              </w:rPr>
              <w:t>(408) 904-1100</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106"/>
        </w:trPr>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04"/>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7"/>
        </w:trPr>
        <w:tc>
          <w:tcPr>
            <w:tcW w:w="384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00"/>
              <w:spacing w:after="0"/>
              <w:rPr>
                <w:sz w:val="20"/>
                <w:szCs w:val="20"/>
                <w:color w:val="auto"/>
              </w:rPr>
            </w:pPr>
            <w:r>
              <w:rPr>
                <w:rFonts w:ascii="Arial" w:cs="Arial" w:eastAsia="Arial" w:hAnsi="Arial"/>
                <w:sz w:val="18"/>
                <w:szCs w:val="18"/>
                <w:color w:val="auto"/>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07" w:lineRule="exact"/>
        <w:rPr>
          <w:sz w:val="24"/>
          <w:szCs w:val="24"/>
          <w:color w:val="auto"/>
        </w:rPr>
      </w:pPr>
    </w:p>
    <w:p>
      <w:pPr>
        <w:ind w:right="2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ind w:right="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3"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4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8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2023, the Company had 39,199,945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25"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80" w:type="dxa"/>
            <w:vAlign w:val="bottom"/>
            <w:gridSpan w:val="9"/>
            <w:vMerge w:val="restart"/>
          </w:tcPr>
          <w:p>
            <w:pPr>
              <w:spacing w:after="0"/>
              <w:rPr>
                <w:sz w:val="20"/>
                <w:szCs w:val="20"/>
                <w:color w:val="auto"/>
              </w:rPr>
            </w:pPr>
            <w:r>
              <w:rPr>
                <w:rFonts w:ascii="Arial" w:cs="Arial" w:eastAsia="Arial" w:hAnsi="Arial"/>
                <w:sz w:val="18"/>
                <w:szCs w:val="18"/>
                <w:color w:val="0000FF"/>
                <w:w w:val="93"/>
              </w:rPr>
              <w:t>Part I. Financial Information</w:t>
            </w:r>
          </w:p>
        </w:tc>
        <w:tc>
          <w:tcPr>
            <w:tcW w:w="8620" w:type="dxa"/>
            <w:vAlign w:val="bottom"/>
            <w:gridSpan w:val="13"/>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80" w:type="dxa"/>
            <w:vAlign w:val="bottom"/>
            <w:tcBorders>
              <w:bottom w:val="single" w:sz="8" w:color="0000FF"/>
            </w:tcBorders>
            <w:gridSpan w:val="9"/>
            <w:vMerge w:val="continue"/>
          </w:tcPr>
          <w:p>
            <w:pPr>
              <w:spacing w:after="0"/>
              <w:rPr>
                <w:sz w:val="15"/>
                <w:szCs w:val="15"/>
                <w:color w:val="auto"/>
              </w:rPr>
            </w:pPr>
          </w:p>
        </w:tc>
        <w:tc>
          <w:tcPr>
            <w:tcW w:w="8620" w:type="dxa"/>
            <w:vAlign w:val="bottom"/>
            <w:gridSpan w:val="13"/>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Sheets—September 30, 2023 and June 24, 2023</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w w:val="98"/>
              </w:rPr>
              <w:t>Condensed Consolidated Statements of Operations—Three Months Ended September 30, 2023 and September 24, 2022</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w w:val="90"/>
              </w:rPr>
              <w:t>Condensed Consolidated Statements of Comprehensive (Loss) Income—Three Months Ended September 30, 2023 and September</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top w:val="single" w:sz="8" w:color="0000FF"/>
            </w:tcBorders>
            <w:gridSpan w:val="5"/>
          </w:tcPr>
          <w:p>
            <w:pPr>
              <w:jc w:val="right"/>
              <w:ind w:right="20"/>
              <w:spacing w:after="0" w:line="195" w:lineRule="exact"/>
              <w:rPr>
                <w:sz w:val="20"/>
                <w:szCs w:val="20"/>
                <w:color w:val="auto"/>
              </w:rPr>
            </w:pPr>
            <w:r>
              <w:rPr>
                <w:rFonts w:ascii="Arial" w:cs="Arial" w:eastAsia="Arial" w:hAnsi="Arial"/>
                <w:sz w:val="18"/>
                <w:szCs w:val="18"/>
                <w:color w:val="0000FF"/>
              </w:rPr>
              <w:t>24, 2022</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2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Stockholders’ Equity—Three Months Ended September 30, 2023 and September 24, 2022</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Flows—Three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40" w:type="dxa"/>
            <w:vAlign w:val="bottom"/>
            <w:gridSpan w:val="20"/>
          </w:tcPr>
          <w:p>
            <w:pPr>
              <w:spacing w:after="0" w:line="195" w:lineRule="exact"/>
              <w:rPr>
                <w:sz w:val="20"/>
                <w:szCs w:val="20"/>
                <w:color w:val="auto"/>
              </w:rPr>
            </w:pPr>
            <w:r>
              <w:rPr>
                <w:rFonts w:ascii="Arial" w:cs="Arial" w:eastAsia="Arial" w:hAnsi="Arial"/>
                <w:sz w:val="18"/>
                <w:szCs w:val="18"/>
                <w:color w:val="0000FF"/>
              </w:rPr>
              <w:t>September 30, 2023 and September 24, 2022</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54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8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95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4"/>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954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22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20"/>
        <w:spacing w:after="0"/>
        <w:rPr>
          <w:sz w:val="20"/>
          <w:szCs w:val="20"/>
          <w:color w:val="auto"/>
        </w:rPr>
      </w:pPr>
      <w:r>
        <w:rPr>
          <w:rFonts w:ascii="Arial" w:cs="Arial" w:eastAsia="Arial" w:hAnsi="Arial"/>
          <w:sz w:val="18"/>
          <w:szCs w:val="18"/>
          <w:b w:val="1"/>
          <w:bCs w:val="1"/>
          <w:color w:val="auto"/>
        </w:rPr>
        <w:t>PART I—FINANCIAL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September</w:t>
            </w:r>
          </w:p>
        </w:tc>
        <w:tc>
          <w:tcPr>
            <w:tcW w:w="36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w:t>
            </w:r>
          </w:p>
        </w:tc>
      </w:tr>
      <w:tr>
        <w:trPr>
          <w:trHeight w:val="250"/>
        </w:trPr>
        <w:tc>
          <w:tcPr>
            <w:tcW w:w="7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1,108.6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9"/>
                <w:szCs w:val="19"/>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intangibles, net</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2,611.4</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56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1"/>
                <w:szCs w:val="2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1,344.4</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0"/>
              <w:spacing w:after="0"/>
              <w:rPr>
                <w:sz w:val="20"/>
                <w:szCs w:val="20"/>
                <w:color w:val="auto"/>
              </w:rPr>
            </w:pPr>
            <w:r>
              <w:rPr>
                <w:rFonts w:ascii="Arial" w:cs="Arial" w:eastAsia="Arial" w:hAnsi="Arial"/>
                <w:sz w:val="18"/>
                <w:szCs w:val="18"/>
                <w:color w:val="auto"/>
              </w:rPr>
              <w:t>$0.001 par value; 10,000,000 shares authorized; no shares issued and outstanding</w:t>
            </w:r>
          </w:p>
        </w:tc>
        <w:tc>
          <w:tcPr>
            <w:tcW w:w="2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w w:val="98"/>
              </w:rPr>
              <w:t>$0.001 par value; 120,000,000 shares authorized, 69,299,794 and 68,687,511 shares issued,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w w:val="95"/>
              </w:rPr>
              <w:t>39,183,355 and 38,571,072 shares outstanding, at September 2023 and June 2023, respectively</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0"/>
              <w:spacing w:after="0"/>
              <w:rPr>
                <w:sz w:val="20"/>
                <w:szCs w:val="20"/>
                <w:color w:val="auto"/>
              </w:rPr>
            </w:pPr>
            <w:r>
              <w:rPr>
                <w:rFonts w:ascii="Arial" w:cs="Arial" w:eastAsia="Arial" w:hAnsi="Arial"/>
                <w:sz w:val="18"/>
                <w:szCs w:val="18"/>
                <w:color w:val="auto"/>
              </w:rPr>
              <w:t>Treasury stock: 30,116,439 common shares at September 2023 and June 2023, at cost</w:t>
            </w:r>
          </w:p>
        </w:tc>
        <w:tc>
          <w:tcPr>
            <w:tcW w:w="2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(878.0 )</w:t>
            </w: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(878.0 )</w:t>
            </w: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tcPr>
          <w:p>
            <w:pPr>
              <w:spacing w:after="0"/>
              <w:rPr>
                <w:sz w:val="21"/>
                <w:szCs w:val="21"/>
                <w:color w:val="auto"/>
              </w:rPr>
            </w:pP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1,204.3</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2,611.4</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-4717415</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-4717415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-3783965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-3783965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-2516505</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-2516505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-1883410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4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3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Acquired intangibles amortization</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04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(35.2 )</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 net</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(5.4 )</w:t>
            </w:r>
          </w:p>
        </w:tc>
        <w:tc>
          <w:tcPr>
            <w:tcW w:w="10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(8.3 )</w:t>
            </w:r>
          </w:p>
        </w:tc>
      </w:tr>
      <w:tr>
        <w:trPr>
          <w:trHeight w:val="20"/>
        </w:trPr>
        <w:tc>
          <w:tcPr>
            <w:tcW w:w="77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(Loss) income before provision for income taxes</w:t>
            </w:r>
          </w:p>
        </w:tc>
        <w:tc>
          <w:tcPr>
            <w:tcW w:w="104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(40.6 )</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(55.6 )</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(1.43 )</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740" w:type="dxa"/>
            <w:vAlign w:val="bottom"/>
          </w:tcPr>
          <w:p>
            <w:pPr>
              <w:ind w:left="20"/>
              <w:spacing w:after="0"/>
              <w:rPr>
                <w:sz w:val="20"/>
                <w:szCs w:val="20"/>
                <w:color w:val="auto"/>
              </w:rPr>
            </w:pPr>
            <w:r>
              <w:rPr>
                <w:rFonts w:ascii="Arial" w:cs="Arial" w:eastAsia="Arial" w:hAnsi="Arial"/>
                <w:sz w:val="18"/>
                <w:szCs w:val="18"/>
                <w:color w:val="auto"/>
              </w:rPr>
              <w:t>Shares used in computing net (loss) income :</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-2790825</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-1849120</wp:posOffset>
            </wp:positionV>
            <wp:extent cx="7683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-1532255</wp:posOffset>
            </wp:positionV>
            <wp:extent cx="7683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7683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-538480</wp:posOffset>
            </wp:positionV>
            <wp:extent cx="123317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9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4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September</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Unrealized income (loss) on available-for-sale-securities</w:t>
            </w: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r>
      <w:tr>
        <w:trPr>
          <w:trHeight w:val="20"/>
        </w:trPr>
        <w:tc>
          <w:tcPr>
            <w:tcW w:w="7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Comprehensive (loss) income</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(55.5 )</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Accumula</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ted Other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Compreh</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Paid-In</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Treasury</w:t>
            </w:r>
          </w:p>
        </w:tc>
        <w:tc>
          <w:tcPr>
            <w:tcW w:w="120" w:type="dxa"/>
            <w:vAlign w:val="bottom"/>
          </w:tcPr>
          <w:p>
            <w:pPr>
              <w:spacing w:after="0"/>
              <w:rPr>
                <w:sz w:val="18"/>
                <w:szCs w:val="18"/>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ensive</w:t>
            </w:r>
          </w:p>
        </w:tc>
        <w:tc>
          <w:tcPr>
            <w:tcW w:w="2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Retained</w:t>
            </w: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ers'</w:t>
            </w:r>
          </w:p>
        </w:tc>
      </w:tr>
      <w:tr>
        <w:trPr>
          <w:trHeight w:val="241"/>
        </w:trPr>
        <w:tc>
          <w:tcPr>
            <w:tcW w:w="34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280" w:type="dxa"/>
            <w:vAlign w:val="bottom"/>
          </w:tcPr>
          <w:p>
            <w:pPr>
              <w:spacing w:after="0"/>
              <w:rPr>
                <w:sz w:val="20"/>
                <w:szCs w:val="20"/>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15"/>
        </w:trPr>
        <w:tc>
          <w:tcPr>
            <w:tcW w:w="34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68,687,51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Balance at June 2023</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1,009.2</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(878.0 )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1,112.1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tcPr>
          <w:p>
            <w:pPr>
              <w:spacing w:after="0"/>
              <w:rPr>
                <w:sz w:val="20"/>
                <w:szCs w:val="20"/>
                <w:color w:val="auto"/>
              </w:rPr>
            </w:pPr>
          </w:p>
        </w:tc>
      </w:tr>
      <w:tr>
        <w:trPr>
          <w:trHeight w:val="249"/>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(55.6 )</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(55.6 )</w:t>
            </w:r>
          </w:p>
        </w:tc>
      </w:tr>
      <w:tr>
        <w:trPr>
          <w:trHeight w:val="236"/>
        </w:trPr>
        <w:tc>
          <w:tcPr>
            <w:tcW w:w="344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21"/>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Issuance of common stock for share-based</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award compensation plans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612,283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r>
      <w:tr>
        <w:trPr>
          <w:trHeight w:val="215"/>
        </w:trPr>
        <w:tc>
          <w:tcPr>
            <w:tcW w:w="3440" w:type="dxa"/>
            <w:vAlign w:val="bottom"/>
          </w:tcPr>
          <w:p>
            <w:pPr>
              <w:ind w:left="120"/>
              <w:spacing w:after="0"/>
              <w:rPr>
                <w:sz w:val="20"/>
                <w:szCs w:val="20"/>
                <w:color w:val="auto"/>
              </w:rPr>
            </w:pPr>
            <w:r>
              <w:rPr>
                <w:rFonts w:ascii="Arial" w:cs="Arial" w:eastAsia="Arial" w:hAnsi="Arial"/>
                <w:sz w:val="18"/>
                <w:szCs w:val="18"/>
                <w:color w:val="auto"/>
                <w:w w:val="93"/>
              </w:rPr>
              <w:t>Payroll taxes related to net share settlement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tcPr>
          <w:p>
            <w:pPr>
              <w:ind w:left="120"/>
              <w:spacing w:after="0"/>
              <w:rPr>
                <w:sz w:val="20"/>
                <w:szCs w:val="20"/>
                <w:color w:val="auto"/>
              </w:rPr>
            </w:pPr>
            <w:r>
              <w:rPr>
                <w:rFonts w:ascii="Arial" w:cs="Arial" w:eastAsia="Arial" w:hAnsi="Arial"/>
                <w:sz w:val="18"/>
                <w:szCs w:val="18"/>
                <w:color w:val="auto"/>
              </w:rPr>
              <w:t>of share-based awards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(25.3 )</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(25.3 )</w:t>
            </w:r>
          </w:p>
        </w:tc>
      </w:tr>
      <w:tr>
        <w:trPr>
          <w:trHeight w:val="249"/>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21"/>
                <w:szCs w:val="21"/>
                <w:color w:val="auto"/>
              </w:rPr>
            </w:pPr>
          </w:p>
        </w:tc>
      </w:tr>
      <w:tr>
        <w:trPr>
          <w:trHeight w:val="208"/>
        </w:trPr>
        <w:tc>
          <w:tcPr>
            <w:tcW w:w="344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69,299,79</w:t>
            </w: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4"/>
        </w:trPr>
        <w:tc>
          <w:tcPr>
            <w:tcW w:w="3440" w:type="dxa"/>
            <w:vAlign w:val="bottom"/>
          </w:tcPr>
          <w:p>
            <w:pPr>
              <w:ind w:left="20"/>
              <w:spacing w:after="0"/>
              <w:rPr>
                <w:sz w:val="20"/>
                <w:szCs w:val="20"/>
                <w:color w:val="auto"/>
              </w:rPr>
            </w:pPr>
            <w:r>
              <w:rPr>
                <w:rFonts w:ascii="Arial" w:cs="Arial" w:eastAsia="Arial" w:hAnsi="Arial"/>
                <w:sz w:val="18"/>
                <w:szCs w:val="18"/>
                <w:color w:val="auto"/>
              </w:rPr>
              <w:t>Balance at September 2023</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1,025.6</w:t>
            </w: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(878.0 )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1,056.5</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1,204.3</w:t>
            </w:r>
          </w:p>
        </w:tc>
        <w:tc>
          <w:tcPr>
            <w:tcW w:w="10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-324485</wp:posOffset>
            </wp:positionV>
            <wp:extent cx="76835" cy="325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-324485</wp:posOffset>
            </wp:positionV>
            <wp:extent cx="76835" cy="325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-324485</wp:posOffset>
            </wp:positionV>
            <wp:extent cx="76835" cy="325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-324485</wp:posOffset>
            </wp:positionV>
            <wp:extent cx="68580" cy="325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-324485</wp:posOffset>
            </wp:positionV>
            <wp:extent cx="68580" cy="325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-324485</wp:posOffset>
            </wp:positionV>
            <wp:extent cx="68580" cy="325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325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ted Other</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Compreh</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w:t>
            </w:r>
          </w:p>
        </w:tc>
      </w:tr>
      <w:tr>
        <w:trPr>
          <w:trHeight w:val="216"/>
        </w:trPr>
        <w:tc>
          <w:tcPr>
            <w:tcW w:w="3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Paid-In</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4"/>
              </w:rPr>
              <w:t>Treasury</w:t>
            </w: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2"/>
              </w:rPr>
              <w:t>ensive</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Retained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ers'</w:t>
            </w:r>
          </w:p>
        </w:tc>
      </w:tr>
      <w:tr>
        <w:trPr>
          <w:trHeight w:val="241"/>
        </w:trPr>
        <w:tc>
          <w:tcPr>
            <w:tcW w:w="34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Stock</w:t>
            </w:r>
          </w:p>
        </w:tc>
        <w:tc>
          <w:tcPr>
            <w:tcW w:w="12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0"/>
              </w:rPr>
              <w:t>Loss</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Earnings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15"/>
        </w:trPr>
        <w:tc>
          <w:tcPr>
            <w:tcW w:w="34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67,745,80</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Balance at June 2022</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924.1</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(694.5 )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1,038.5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Pr>
          <w:p>
            <w:pPr>
              <w:spacing w:after="0"/>
              <w:rPr>
                <w:sz w:val="20"/>
                <w:szCs w:val="20"/>
                <w:color w:val="auto"/>
              </w:rPr>
            </w:pPr>
          </w:p>
        </w:tc>
      </w:tr>
      <w:tr>
        <w:trPr>
          <w:trHeight w:val="249"/>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21"/>
                <w:szCs w:val="21"/>
                <w:color w:val="auto"/>
              </w:rPr>
            </w:pPr>
          </w:p>
        </w:tc>
      </w:tr>
      <w:tr>
        <w:trPr>
          <w:trHeight w:val="236"/>
        </w:trPr>
        <w:tc>
          <w:tcPr>
            <w:tcW w:w="344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r>
      <w:tr>
        <w:trPr>
          <w:trHeight w:val="221"/>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5"/>
              </w:rPr>
              <w:t>Issuance of common stock for share-based</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award compensation plans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483,713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r>
      <w:tr>
        <w:trPr>
          <w:trHeight w:val="215"/>
        </w:trPr>
        <w:tc>
          <w:tcPr>
            <w:tcW w:w="3440" w:type="dxa"/>
            <w:vAlign w:val="bottom"/>
          </w:tcPr>
          <w:p>
            <w:pPr>
              <w:ind w:left="120"/>
              <w:spacing w:after="0"/>
              <w:rPr>
                <w:sz w:val="20"/>
                <w:szCs w:val="20"/>
                <w:color w:val="auto"/>
              </w:rPr>
            </w:pPr>
            <w:r>
              <w:rPr>
                <w:rFonts w:ascii="Arial" w:cs="Arial" w:eastAsia="Arial" w:hAnsi="Arial"/>
                <w:sz w:val="18"/>
                <w:szCs w:val="18"/>
                <w:color w:val="auto"/>
                <w:w w:val="93"/>
              </w:rPr>
              <w:t>Payroll taxes related to net share settlement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440" w:type="dxa"/>
            <w:vAlign w:val="bottom"/>
          </w:tcPr>
          <w:p>
            <w:pPr>
              <w:ind w:left="120"/>
              <w:spacing w:after="0"/>
              <w:rPr>
                <w:sz w:val="20"/>
                <w:szCs w:val="20"/>
                <w:color w:val="auto"/>
              </w:rPr>
            </w:pPr>
            <w:r>
              <w:rPr>
                <w:rFonts w:ascii="Arial" w:cs="Arial" w:eastAsia="Arial" w:hAnsi="Arial"/>
                <w:sz w:val="18"/>
                <w:szCs w:val="18"/>
                <w:color w:val="auto"/>
              </w:rPr>
              <w:t>of share-based awards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(31.4 )</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(31.4 )</w:t>
            </w:r>
          </w:p>
        </w:tc>
      </w:tr>
      <w:tr>
        <w:trPr>
          <w:trHeight w:val="249"/>
        </w:trPr>
        <w:tc>
          <w:tcPr>
            <w:tcW w:w="3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repurchased</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(13.4 )</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(13.4 )</w:t>
            </w:r>
          </w:p>
        </w:tc>
      </w:tr>
      <w:tr>
        <w:trPr>
          <w:trHeight w:val="243"/>
        </w:trPr>
        <w:tc>
          <w:tcPr>
            <w:tcW w:w="34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r>
      <w:tr>
        <w:trPr>
          <w:trHeight w:val="208"/>
        </w:trPr>
        <w:tc>
          <w:tcPr>
            <w:tcW w:w="34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68,229,51</w:t>
            </w: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4"/>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2022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spacing w:after="0"/>
              <w:rPr>
                <w:sz w:val="22"/>
                <w:szCs w:val="2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931.7</w:t>
            </w:r>
          </w:p>
        </w:tc>
        <w:tc>
          <w:tcPr>
            <w:tcW w:w="3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(707.9 )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1,103.1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shd w:val="clear" w:color="auto" w:fill="CFF0FC"/>
          </w:tcPr>
          <w:p>
            <w:pPr>
              <w:spacing w:after="0"/>
              <w:rPr>
                <w:sz w:val="22"/>
                <w:szCs w:val="22"/>
                <w:color w:val="auto"/>
              </w:rPr>
            </w:pP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8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September</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(55.6 )</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Share-based compensation costs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Acquired intangibles amortization</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(1.1 )</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(6.8 )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(9.7 )</w:t>
            </w:r>
          </w:p>
        </w:tc>
      </w:tr>
      <w:tr>
        <w:trPr>
          <w:trHeight w:val="236"/>
        </w:trPr>
        <w:tc>
          <w:tcPr>
            <w:tcW w:w="774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(4.8 )</w:t>
            </w: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r>
        <w:trPr>
          <w:trHeight w:val="24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(22.0 )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(38.2 )</w:t>
            </w:r>
          </w:p>
        </w:tc>
      </w:tr>
      <w:tr>
        <w:trPr>
          <w:trHeight w:val="236"/>
        </w:trPr>
        <w:tc>
          <w:tcPr>
            <w:tcW w:w="7740" w:type="dxa"/>
            <w:vAlign w:val="bottom"/>
          </w:tcPr>
          <w:p>
            <w:pPr>
              <w:ind w:left="30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(6.6 )</w:t>
            </w: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(18.9 )</w:t>
            </w:r>
          </w:p>
        </w:tc>
      </w:tr>
      <w:tr>
        <w:trPr>
          <w:trHeight w:val="249"/>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Other accrued liabilities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(5.2 )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(20.0 )</w:t>
            </w:r>
          </w:p>
        </w:tc>
      </w:tr>
      <w:tr>
        <w:trPr>
          <w:trHeight w:val="236"/>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FF0FC"/>
            </w:tcBorders>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Proceeds from maturity of investments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Purchases of short-term investments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(16.6 )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(6.7 )</w:t>
            </w: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Purchase of intangible assets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(13.5 )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Advance payment on intangible assets</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w w:val="96"/>
              </w:rPr>
              <w:t>(116.5 )</w:t>
            </w:r>
          </w:p>
        </w:tc>
        <w:tc>
          <w:tcPr>
            <w:tcW w:w="1040" w:type="dxa"/>
            <w:vAlign w:val="bottom"/>
          </w:tcPr>
          <w:p>
            <w:pPr>
              <w:spacing w:after="0"/>
              <w:rPr>
                <w:sz w:val="20"/>
                <w:szCs w:val="20"/>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w w:val="96"/>
              </w:rPr>
              <w:t>(150.1 )</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Proceeds from issuance of shares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Payroll taxes related to net share settlement of share-based awards</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(25.3 )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(31.4 )</w:t>
            </w:r>
          </w:p>
        </w:tc>
      </w:tr>
      <w:tr>
        <w:trPr>
          <w:trHeight w:val="236"/>
        </w:trPr>
        <w:tc>
          <w:tcPr>
            <w:tcW w:w="7740" w:type="dxa"/>
            <w:vAlign w:val="bottom"/>
          </w:tcPr>
          <w:p>
            <w:pPr>
              <w:ind w:left="12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spacing w:after="0"/>
              <w:rPr>
                <w:sz w:val="20"/>
                <w:szCs w:val="20"/>
                <w:color w:val="auto"/>
              </w:rPr>
            </w:pP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(13.4 )</w:t>
            </w:r>
          </w:p>
        </w:tc>
      </w:tr>
      <w:tr>
        <w:trPr>
          <w:trHeight w:val="249"/>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Repayment of debt</w:t>
            </w:r>
          </w:p>
        </w:tc>
        <w:tc>
          <w:tcPr>
            <w:tcW w:w="10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(3.0 )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7740" w:type="dxa"/>
            <w:vAlign w:val="bottom"/>
          </w:tcPr>
          <w:p>
            <w:pPr>
              <w:ind w:left="1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2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(0.6 )</w:t>
            </w:r>
          </w:p>
        </w:tc>
        <w:tc>
          <w:tcPr>
            <w:tcW w:w="10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(123.4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2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801.3</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-3176270</wp:posOffset>
            </wp:positionV>
            <wp:extent cx="685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-1925955</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-667385</wp:posOffset>
            </wp:positionV>
            <wp:extent cx="685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Principles of Consolidation</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24, 2023.</w:t>
      </w:r>
    </w:p>
    <w:p>
      <w:pPr>
        <w:spacing w:after="0" w:line="73"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75"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Our fiscal year is the 52- or 53-week period ending on the last Saturday in June. Our fiscal 2024 is a 53-week period ending June 29, 2024, and our fiscal 2023 was a 52-week period ending on June 24, 2023. The fiscal periods presented in this report are 14-week and 13-week periods for the three months ended September 30, 2023 and September 24, 2022, respectively. For simplicity, the accompanying condensed consolidated financial statements have been shown as ending on calendar quarter end dates as of and for all periods presented, unless otherwise indicated.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Intangible Assets and Asset Acquisition</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During the first quarter of fiscal 2024, we entered into an amendment to our wireless license agreement with Avago Technologies (“Broadcom”), to license four developed technology products and to extend the exclusivity period of certain developed technologies that were previously licensed from Broadcom in July 2020. As of September 2023, we have not obtained control of the four technology products and, accordingly, the relative fair value of these technology products are presented as a non-current asset in our condensed consolidated balance sheet.</w:t>
      </w:r>
    </w:p>
    <w:p>
      <w:pPr>
        <w:spacing w:after="0" w:line="62"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technologies included in the agreement do not constitute a business and, as such, we accounted for this transaction as an acquisition of an asset in accordance with the applicable guidance when we receive control of the developed technology. Refer to “Note 4. Prepayment of Intangible Assets and Asset Acquisition” for further discussion of the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October 2021, the FASB issued ASU 2021-08, “Business Combinations (Topic 805): Accounting for Acquired Contract Assets and Contract Liabilities” which improves comparability for both the recognition and measurement of acquired revenue contracts with customers at the date of and after a business combination by providing consistent recognition guidance. This standard is effective for fiscal years beginning after December 15, 2022. We adopted this standard in the first quarter of our fiscal 2024 and it did not have any impact on our consolidated financial statements.</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December 2022, the FASB issued ASU 2022-06, Reference Rate Reform (Topic 848): Deferral of the Sunset Date of Topic 848. ASU 2022-06 defers the sunset date of Topic 848 from December 31, 2022 to December 31, 2024. We early adopted this standard in the first quarter of fiscal 2024 and it did not have any impact on our consolidated financial statements.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spacing w:after="0" w:line="75"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4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To date, there have been no material credit loss charges recorded on accounts receivable. As of September 2023, and June 2023, contract assets recorded on our condensed consolidated balance sheets were $8.2 million and $1.3, respectively. Contract assets are presented as part of prepaid expenses and other current assets.</w:t>
      </w:r>
    </w:p>
    <w:p>
      <w:pPr>
        <w:spacing w:after="0" w:line="7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Contract liabilities and refund liabilities were $18.7 million and $37.2 million, respectively, as of September 2023, and $18.7 million and $39.8 million, respectively, as of June 2023. Both contract liabilities and refund liabilities are presented as customer obligations in Note 10 Balance Sheet Components. During the three months ended September 2023 and September 2022, we recognized $2.4 million and $1.8 million, respectively, in revenue related to contract liabilities, which was outstanding as of the beginning of such fiscal year.</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from contracts with customers disaggregated by geographic area based on customer location and product category is presented in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Customers, and Geographical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w w:val="95"/>
              </w:rPr>
              <w:t>Three Months Ended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94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September</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9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(55.6 )</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940" w:type="dxa"/>
            <w:vAlign w:val="bottom"/>
          </w:tcPr>
          <w:p>
            <w:pPr>
              <w:ind w:left="200"/>
              <w:spacing w:after="0"/>
              <w:rPr>
                <w:sz w:val="20"/>
                <w:szCs w:val="20"/>
                <w:color w:val="auto"/>
              </w:rPr>
            </w:pPr>
            <w:r>
              <w:rPr>
                <w:rFonts w:ascii="Arial" w:cs="Arial" w:eastAsia="Arial" w:hAnsi="Arial"/>
                <w:sz w:val="18"/>
                <w:szCs w:val="18"/>
                <w:color w:val="auto"/>
              </w:rPr>
              <w:t>Shares, basic</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r>
      <w:tr>
        <w:trPr>
          <w:trHeight w:val="249"/>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dilutive share-based awards and convertible notes</w:t>
            </w:r>
          </w:p>
        </w:tc>
        <w:tc>
          <w:tcPr>
            <w:tcW w:w="12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200"/>
              <w:spacing w:after="0"/>
              <w:rPr>
                <w:sz w:val="20"/>
                <w:szCs w:val="20"/>
                <w:color w:val="auto"/>
              </w:rPr>
            </w:pPr>
            <w:r>
              <w:rPr>
                <w:rFonts w:ascii="Arial" w:cs="Arial" w:eastAsia="Arial" w:hAnsi="Arial"/>
                <w:sz w:val="18"/>
                <w:szCs w:val="18"/>
                <w:color w:val="auto"/>
              </w:rPr>
              <w:t>Shares, diluted</w:t>
            </w:r>
          </w:p>
        </w:tc>
        <w:tc>
          <w:tcPr>
            <w:tcW w:w="1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w:t>
            </w:r>
          </w:p>
        </w:tc>
        <w:tc>
          <w:tcPr>
            <w:tcW w:w="1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rPr>
              <w:t>Basic</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1"/>
              <w:spacing w:after="0"/>
              <w:rPr>
                <w:sz w:val="20"/>
                <w:szCs w:val="20"/>
                <w:color w:val="auto"/>
              </w:rPr>
            </w:pPr>
            <w:r>
              <w:rPr>
                <w:rFonts w:ascii="Arial" w:cs="Arial" w:eastAsia="Arial" w:hAnsi="Arial"/>
                <w:sz w:val="18"/>
                <w:szCs w:val="18"/>
                <w:color w:val="auto"/>
              </w:rPr>
              <w:t>(1.43 )</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-701675</wp:posOffset>
            </wp:positionV>
            <wp:extent cx="6858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and performance stock units, or PSUs. Potentially dilutive shares whose effect would have been antidilutive are excluded from the computation of diluted net income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Prepayment of Intangible Assets and Asset Acquisition</w:t>
      </w:r>
    </w:p>
    <w:p>
      <w:pPr>
        <w:spacing w:after="0" w:line="12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During the fourth quarter of fiscal 2023, we paid an aggregate consideration of $130.0 million to Broadcom to extend the exclusivity period of certain previously acquired intangible assets for an additional three-year period and to license certain developed technology intangible assets. The developed technologies are expected to be delivered at various dates through August 2025.</w:t>
      </w:r>
    </w:p>
    <w:p>
      <w:pPr>
        <w:spacing w:after="0" w:line="7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The purchase consideration allocated to the extension of the exclusivity period was $13.5 million and was recorded as a developed technology intangible asset in the first quarter of fiscal 2024. This intangible asset is being amortized over its estimated economic useful life of three years. The remaining balance of the purchase consideration, totaling $116.5 million relating to the four technology products to be received at future dates, has been recorded as a prepayment of intangible assets. This prepayment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classified under non-current other assets in our condensed consolidated balance sheets. Upon obtaining control of the developed technologies, the amounts recorded under non-current other assets will be reclassified as intangible assets based on their respective fair values determined as of the agreement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3"/>
              </w:rPr>
              <w:t>September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0"/>
                <w:szCs w:val="20"/>
                <w:color w:val="auto"/>
              </w:rPr>
            </w:pPr>
          </w:p>
        </w:tc>
      </w:tr>
      <w:tr>
        <w:trPr>
          <w:trHeight w:val="249"/>
        </w:trPr>
        <w:tc>
          <w:tcPr>
            <w:tcW w:w="5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FF0FC"/>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1"/>
                <w:szCs w:val="21"/>
                <w:color w:val="auto"/>
              </w:rPr>
            </w:pPr>
          </w:p>
        </w:tc>
      </w:tr>
      <w:tr>
        <w:trPr>
          <w:trHeight w:val="270"/>
        </w:trPr>
        <w:tc>
          <w:tcPr>
            <w:tcW w:w="5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-24765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9"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Inventories are recorded at standard cost, which approximates actual cost computed on a first-in, first-out basis. 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Short-Term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cash, cash equivalents and short-term investments by category at September 2023 and June 2023 (in millions):</w:t>
      </w:r>
    </w:p>
    <w:p>
      <w:pPr>
        <w:spacing w:after="0" w:line="4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September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2"/>
              </w:rPr>
              <w:t>Amortized Cost</w:t>
            </w:r>
          </w:p>
        </w:tc>
        <w:tc>
          <w:tcPr>
            <w:tcW w:w="4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0"/>
              </w:rPr>
              <w:t>Gross unrealized loss</w:t>
            </w:r>
          </w:p>
        </w:tc>
        <w:tc>
          <w:tcPr>
            <w:tcW w:w="2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1"/>
                <w:szCs w:val="21"/>
                <w:color w:val="auto"/>
              </w:rPr>
            </w:pPr>
          </w:p>
        </w:tc>
      </w:tr>
      <w:tr>
        <w:trPr>
          <w:trHeight w:val="236"/>
        </w:trPr>
        <w:tc>
          <w:tcPr>
            <w:tcW w:w="5500" w:type="dxa"/>
            <w:vAlign w:val="bottom"/>
          </w:tcPr>
          <w:p>
            <w:pPr>
              <w:ind w:left="1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4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426.7</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801.3</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Treasury bills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16.6</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(0.1 )</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8"/>
        </w:trPr>
        <w:tc>
          <w:tcPr>
            <w:tcW w:w="5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w w:val="99"/>
              </w:rPr>
              <w:t>June 2023</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w w:val="92"/>
              </w:rPr>
              <w:t>Amortized Cost</w:t>
            </w:r>
          </w:p>
        </w:tc>
        <w:tc>
          <w:tcPr>
            <w:tcW w:w="420" w:type="dxa"/>
            <w:vAlign w:val="bottom"/>
          </w:tcPr>
          <w:p>
            <w:pPr>
              <w:spacing w:after="0"/>
              <w:rPr>
                <w:sz w:val="20"/>
                <w:szCs w:val="20"/>
                <w:color w:val="auto"/>
              </w:rPr>
            </w:pPr>
          </w:p>
        </w:tc>
        <w:tc>
          <w:tcPr>
            <w:tcW w:w="1920" w:type="dxa"/>
            <w:vAlign w:val="bottom"/>
            <w:gridSpan w:val="3"/>
          </w:tcPr>
          <w:p>
            <w:pPr>
              <w:jc w:val="right"/>
              <w:ind w:right="250"/>
              <w:spacing w:after="0"/>
              <w:rPr>
                <w:sz w:val="20"/>
                <w:szCs w:val="20"/>
                <w:color w:val="auto"/>
              </w:rPr>
            </w:pPr>
            <w:r>
              <w:rPr>
                <w:rFonts w:ascii="Arial" w:cs="Arial" w:eastAsia="Arial" w:hAnsi="Arial"/>
                <w:sz w:val="18"/>
                <w:szCs w:val="18"/>
                <w:color w:val="auto"/>
                <w:w w:val="90"/>
              </w:rPr>
              <w:t>Gross unrealized loss</w:t>
            </w:r>
          </w:p>
        </w:tc>
        <w:tc>
          <w:tcPr>
            <w:tcW w:w="28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r>
      <w:tr>
        <w:trPr>
          <w:trHeight w:val="236"/>
        </w:trPr>
        <w:tc>
          <w:tcPr>
            <w:tcW w:w="5500" w:type="dxa"/>
            <w:vAlign w:val="bottom"/>
          </w:tcPr>
          <w:p>
            <w:pPr>
              <w:ind w:left="1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4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Treasury bills</w:t>
            </w: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924.7</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(0.2 )</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4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55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-3689985</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-3689985</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-3689985</wp:posOffset>
            </wp:positionV>
            <wp:extent cx="6858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-2722245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-2705100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-2722245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-2705100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-2722245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-2705100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-1480820</wp:posOffset>
            </wp:positionV>
            <wp:extent cx="7683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-1480820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-513080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-495935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-513080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-495935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40"/>
        <w:spacing w:after="0" w:line="257"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6"/>
          </w:tcPr>
          <w:p>
            <w:pPr>
              <w:jc w:val="right"/>
              <w:ind w:right="170"/>
              <w:spacing w:after="0"/>
              <w:rPr>
                <w:sz w:val="20"/>
                <w:szCs w:val="20"/>
                <w:color w:val="auto"/>
              </w:rPr>
            </w:pPr>
            <w:r>
              <w:rPr>
                <w:rFonts w:ascii="Arial" w:cs="Arial" w:eastAsia="Arial" w:hAnsi="Arial"/>
                <w:sz w:val="18"/>
                <w:szCs w:val="18"/>
                <w:color w:val="auto"/>
                <w:w w:val="99"/>
              </w:rPr>
              <w:t>The following table classifies our short-term investments by contractual maturities (in millions):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4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September 2023</w:t>
            </w: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2023</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Amortized cost</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Fair value</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Amortized cost</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Fair value</w:t>
            </w:r>
          </w:p>
        </w:tc>
        <w:tc>
          <w:tcPr>
            <w:tcW w:w="100" w:type="dxa"/>
            <w:vAlign w:val="bottom"/>
          </w:tcPr>
          <w:p>
            <w:pPr>
              <w:spacing w:after="0"/>
              <w:rPr>
                <w:sz w:val="20"/>
                <w:szCs w:val="20"/>
                <w:color w:val="auto"/>
              </w:rPr>
            </w:pPr>
          </w:p>
        </w:tc>
      </w:tr>
      <w:tr>
        <w:trPr>
          <w:trHeight w:val="236"/>
        </w:trPr>
        <w:tc>
          <w:tcPr>
            <w:tcW w:w="4600" w:type="dxa"/>
            <w:vAlign w:val="bottom"/>
          </w:tcPr>
          <w:p>
            <w:pPr>
              <w:ind w:left="20"/>
              <w:spacing w:after="0"/>
              <w:rPr>
                <w:sz w:val="20"/>
                <w:szCs w:val="20"/>
                <w:color w:val="auto"/>
              </w:rPr>
            </w:pPr>
            <w:r>
              <w:rPr>
                <w:rFonts w:ascii="Arial" w:cs="Arial" w:eastAsia="Arial" w:hAnsi="Arial"/>
                <w:sz w:val="18"/>
                <w:szCs w:val="18"/>
                <w:color w:val="auto"/>
              </w:rPr>
              <w:t>Due within 1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r>
      <w:tr>
        <w:trPr>
          <w:trHeight w:val="24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Due between 1 year to 5 years</w:t>
            </w: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-187960</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3"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6"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2023 and June 2023, financial assets measured at fair value on a recurring basis are summarized below (in millions):</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September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Level 1</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21"/>
                <w:szCs w:val="21"/>
                <w:color w:val="auto"/>
              </w:rPr>
            </w:pPr>
          </w:p>
        </w:tc>
      </w:tr>
      <w:tr>
        <w:trPr>
          <w:trHeight w:val="242"/>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Pr>
          <w:p>
            <w:pPr>
              <w:ind w:left="120"/>
              <w:spacing w:after="0"/>
              <w:rPr>
                <w:sz w:val="20"/>
                <w:szCs w:val="20"/>
                <w:color w:val="auto"/>
              </w:rPr>
            </w:pPr>
            <w:r>
              <w:rPr>
                <w:rFonts w:ascii="Arial" w:cs="Arial" w:eastAsia="Arial" w:hAnsi="Arial"/>
                <w:sz w:val="18"/>
                <w:szCs w:val="18"/>
                <w:color w:val="auto"/>
              </w:rPr>
              <w:t>Treasury bills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8"/>
        <w:spacing w:after="0" w:line="277" w:lineRule="auto"/>
        <w:tabs>
          <w:tab w:leader="none" w:pos="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Excludes $323.6 million in cash held in our bank accounts as of September 2023. </w:t>
      </w:r>
      <w:r>
        <w:rPr>
          <w:rFonts w:ascii="Arial" w:cs="Arial" w:eastAsia="Arial" w:hAnsi="Arial"/>
          <w:sz w:val="18"/>
          <w:szCs w:val="18"/>
          <w:color w:val="252525"/>
        </w:rPr>
        <w:t>We did not have any financial instruments measured at fair value on a</w:t>
      </w:r>
      <w:r>
        <w:rPr>
          <w:rFonts w:ascii="Arial" w:cs="Arial" w:eastAsia="Arial" w:hAnsi="Arial"/>
          <w:sz w:val="18"/>
          <w:szCs w:val="18"/>
          <w:color w:val="auto"/>
        </w:rPr>
        <w:t xml:space="preserve"> </w:t>
      </w:r>
      <w:r>
        <w:rPr>
          <w:rFonts w:ascii="Arial" w:cs="Arial" w:eastAsia="Arial" w:hAnsi="Arial"/>
          <w:sz w:val="18"/>
          <w:szCs w:val="18"/>
          <w:color w:val="252525"/>
        </w:rPr>
        <w:t>recurring basis within Level 3 fair value in this period.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562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19"/>
                <w:szCs w:val="19"/>
                <w:color w:val="auto"/>
              </w:rPr>
            </w:pPr>
          </w:p>
        </w:tc>
        <w:tc>
          <w:tcPr>
            <w:tcW w:w="7040" w:type="dxa"/>
            <w:vAlign w:val="bottom"/>
            <w:gridSpan w:val="6"/>
          </w:tcPr>
          <w:p>
            <w:pPr>
              <w:jc w:val="center"/>
              <w:ind w:right="31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320" w:type="dxa"/>
            <w:vAlign w:val="bottom"/>
            <w:gridSpan w:val="2"/>
          </w:tcPr>
          <w:p>
            <w:pPr>
              <w:jc w:val="center"/>
              <w:ind w:left="2230"/>
              <w:spacing w:after="0"/>
              <w:rPr>
                <w:sz w:val="20"/>
                <w:szCs w:val="20"/>
                <w:color w:val="auto"/>
              </w:rPr>
            </w:pPr>
            <w:r>
              <w:rPr>
                <w:rFonts w:ascii="Arial" w:cs="Arial" w:eastAsia="Arial" w:hAnsi="Arial"/>
                <w:sz w:val="18"/>
                <w:szCs w:val="18"/>
                <w:color w:val="auto"/>
                <w:w w:val="92"/>
              </w:rPr>
              <w:t>(unaudited)</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June 2023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20"/>
              <w:spacing w:after="0"/>
              <w:rPr>
                <w:sz w:val="20"/>
                <w:szCs w:val="20"/>
                <w:color w:val="auto"/>
              </w:rPr>
            </w:pPr>
            <w:r>
              <w:rPr>
                <w:rFonts w:ascii="Arial" w:cs="Arial" w:eastAsia="Arial" w:hAnsi="Arial"/>
                <w:sz w:val="18"/>
                <w:szCs w:val="18"/>
                <w:color w:val="auto"/>
              </w:rPr>
              <w:t>Assets:</w:t>
            </w:r>
          </w:p>
        </w:tc>
        <w:tc>
          <w:tcPr>
            <w:tcW w:w="4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4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4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Treasury bills</w:t>
            </w:r>
          </w:p>
        </w:tc>
        <w:tc>
          <w:tcPr>
            <w:tcW w:w="4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4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Municipal bonds</w:t>
            </w:r>
          </w:p>
        </w:tc>
        <w:tc>
          <w:tcPr>
            <w:tcW w:w="4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-187960</wp:posOffset>
            </wp:positionV>
            <wp:extent cx="7683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460" w:firstLine="8"/>
        <w:spacing w:after="0" w:line="277" w:lineRule="auto"/>
        <w:tabs>
          <w:tab w:leader="none" w:pos="25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Excludes $853.9 million in cash held in our bank accounts as of June 2023. </w:t>
      </w:r>
      <w:r>
        <w:rPr>
          <w:rFonts w:ascii="Arial" w:cs="Arial" w:eastAsia="Arial" w:hAnsi="Arial"/>
          <w:sz w:val="18"/>
          <w:szCs w:val="18"/>
          <w:color w:val="252525"/>
        </w:rPr>
        <w:t>We did not have any financial instruments measured at fair value on a</w:t>
      </w:r>
      <w:r>
        <w:rPr>
          <w:rFonts w:ascii="Arial" w:cs="Arial" w:eastAsia="Arial" w:hAnsi="Arial"/>
          <w:sz w:val="18"/>
          <w:szCs w:val="18"/>
          <w:color w:val="auto"/>
        </w:rPr>
        <w:t xml:space="preserve"> </w:t>
      </w:r>
      <w:r>
        <w:rPr>
          <w:rFonts w:ascii="Arial" w:cs="Arial" w:eastAsia="Arial" w:hAnsi="Arial"/>
          <w:sz w:val="18"/>
          <w:szCs w:val="18"/>
          <w:color w:val="252525"/>
        </w:rPr>
        <w:t>recurring basis within Level 3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 We consider the fair value of the Senior Notes and Term Loan Facility to be a Level 2 measurement as they are not actively traded in markets.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amounts and estimated fair values of the Senior Notes and Term Loan Facility are as follows for the periods presented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September 2023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w w:val="90"/>
              </w:rPr>
              <w:t>June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w w:val="99"/>
              </w:rPr>
              <w:t>Carrying</w:t>
            </w:r>
          </w:p>
        </w:tc>
        <w:tc>
          <w:tcPr>
            <w:tcW w:w="2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4"/>
              </w:rPr>
              <w:t>Estimated Fair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9"/>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4"/>
              </w:rPr>
              <w:t>Estimated Fair</w:t>
            </w:r>
          </w:p>
        </w:tc>
        <w:tc>
          <w:tcPr>
            <w:tcW w:w="100" w:type="dxa"/>
            <w:vAlign w:val="bottom"/>
          </w:tcPr>
          <w:p>
            <w:pPr>
              <w:spacing w:after="0"/>
              <w:rPr>
                <w:sz w:val="18"/>
                <w:szCs w:val="18"/>
                <w:color w:val="auto"/>
              </w:rPr>
            </w:pPr>
          </w:p>
        </w:tc>
      </w:tr>
      <w:tr>
        <w:trPr>
          <w:trHeight w:val="237"/>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395.8</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395.6</w:t>
            </w:r>
          </w:p>
        </w:tc>
        <w:tc>
          <w:tcPr>
            <w:tcW w:w="5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1"/>
                <w:szCs w:val="21"/>
                <w:color w:val="auto"/>
              </w:rPr>
            </w:pPr>
          </w:p>
        </w:tc>
      </w:tr>
      <w:tr>
        <w:trPr>
          <w:trHeight w:val="25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Facility due 2028</w:t>
            </w: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0"/>
        </w:trPr>
        <w:tc>
          <w:tcPr>
            <w:tcW w:w="58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975.6</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following table represents the change in our goodwill balance for the three and twelve month periods ended September 2023 and June 2023, respectively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w w:val="97"/>
              </w:rPr>
              <w:t>September</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June</w:t>
            </w:r>
          </w:p>
        </w:tc>
        <w:tc>
          <w:tcPr>
            <w:tcW w:w="100" w:type="dxa"/>
            <w:vAlign w:val="bottom"/>
          </w:tcPr>
          <w:p>
            <w:pPr>
              <w:spacing w:after="0"/>
              <w:rPr>
                <w:sz w:val="20"/>
                <w:szCs w:val="20"/>
                <w:color w:val="auto"/>
              </w:rPr>
            </w:pPr>
          </w:p>
        </w:tc>
      </w:tr>
      <w:tr>
        <w:trPr>
          <w:trHeight w:val="250"/>
        </w:trPr>
        <w:tc>
          <w:tcPr>
            <w:tcW w:w="34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45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4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r>
      <w:tr>
        <w:trPr>
          <w:trHeight w:val="27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4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480" w:type="dxa"/>
            <w:vAlign w:val="bottom"/>
          </w:tcPr>
          <w:p>
            <w:pPr>
              <w:spacing w:after="0"/>
              <w:rPr>
                <w:sz w:val="24"/>
                <w:szCs w:val="24"/>
                <w:color w:val="auto"/>
              </w:rPr>
            </w:pPr>
          </w:p>
        </w:tc>
        <w:tc>
          <w:tcPr>
            <w:tcW w:w="4500" w:type="dxa"/>
            <w:vAlign w:val="bottom"/>
          </w:tcPr>
          <w:p>
            <w:pPr>
              <w:jc w:val="right"/>
              <w:ind w:right="217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-513080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-495935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w w:val="97"/>
              </w:rPr>
              <w:t>September 2023</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87"/>
              </w:rPr>
              <w:t>June 2023</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Weighted</w:t>
            </w:r>
          </w:p>
        </w:tc>
        <w:tc>
          <w:tcPr>
            <w:tcW w:w="14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color w:val="auto"/>
                <w:w w:val="92"/>
              </w:rPr>
              <w:t>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8"/>
                <w:szCs w:val="18"/>
                <w:color w:val="auto"/>
              </w:rPr>
            </w:pPr>
          </w:p>
        </w:tc>
        <w:tc>
          <w:tcPr>
            <w:tcW w:w="128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Life in Years</w:t>
            </w:r>
          </w:p>
        </w:tc>
        <w:tc>
          <w:tcPr>
            <w:tcW w:w="14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280" w:type="dxa"/>
            <w:vAlign w:val="bottom"/>
            <w:gridSpan w:val="3"/>
          </w:tcPr>
          <w:p>
            <w:pPr>
              <w:jc w:val="center"/>
              <w:ind w:right="11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Audio and video technology</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2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(123.0 )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(117.8 )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Wireless connectivity technology</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(65.6 )</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(58.0 )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Video interface technology</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(82.0 )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(79.7 )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Human presence detection</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Licensed technology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(4.4 )</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20"/>
              <w:spacing w:after="0"/>
              <w:rPr>
                <w:sz w:val="20"/>
                <w:szCs w:val="20"/>
                <w:color w:val="auto"/>
              </w:rPr>
            </w:pPr>
            <w:r>
              <w:rPr>
                <w:rFonts w:ascii="Arial" w:cs="Arial" w:eastAsia="Arial" w:hAnsi="Arial"/>
                <w:sz w:val="18"/>
                <w:szCs w:val="18"/>
                <w:color w:val="auto"/>
              </w:rPr>
              <w:t>Tradename</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9"/>
              </w:rPr>
              <w:t>Not</w:t>
            </w:r>
          </w:p>
        </w:tc>
        <w:tc>
          <w:tcPr>
            <w:tcW w:w="14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In process research and development</w:t>
            </w:r>
          </w:p>
        </w:tc>
        <w:tc>
          <w:tcPr>
            <w:tcW w:w="128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8"/>
              </w:rPr>
              <w:t>applicable</w:t>
            </w: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80" w:type="dxa"/>
            <w:vAlign w:val="bottom"/>
          </w:tcPr>
          <w:p>
            <w:pPr>
              <w:ind w:left="200"/>
              <w:spacing w:after="0"/>
              <w:rPr>
                <w:sz w:val="20"/>
                <w:szCs w:val="20"/>
                <w:color w:val="auto"/>
              </w:rPr>
            </w:pPr>
            <w:r>
              <w:rPr>
                <w:rFonts w:ascii="Arial" w:cs="Arial" w:eastAsia="Arial" w:hAnsi="Arial"/>
                <w:sz w:val="18"/>
                <w:szCs w:val="18"/>
                <w:color w:val="auto"/>
              </w:rPr>
              <w:t>Acquired intangibles totals</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736.8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(448.1 )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(424.8 )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-187960</wp:posOffset>
            </wp:positionV>
            <wp:extent cx="768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-187960</wp:posOffset>
            </wp:positionV>
            <wp:extent cx="7683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-187960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total amortization expense for the acquired intangible assets was $23.3 million and $33.0 million for the three months ended September 2023 and September 2022, respectively.</w:t>
      </w:r>
    </w:p>
    <w:p>
      <w:pPr>
        <w:spacing w:after="0" w:line="62" w:lineRule="exact"/>
        <w:rPr>
          <w:sz w:val="20"/>
          <w:szCs w:val="20"/>
          <w:color w:val="auto"/>
        </w:rPr>
      </w:pPr>
    </w:p>
    <w:p>
      <w:pPr>
        <w:ind w:right="300" w:firstLine="509"/>
        <w:spacing w:after="0" w:line="341" w:lineRule="auto"/>
        <w:rPr>
          <w:sz w:val="20"/>
          <w:szCs w:val="20"/>
          <w:color w:val="auto"/>
        </w:rPr>
      </w:pPr>
      <w:r>
        <w:rPr>
          <w:rFonts w:ascii="Arial" w:cs="Arial" w:eastAsia="Arial" w:hAnsi="Arial"/>
          <w:sz w:val="16"/>
          <w:szCs w:val="16"/>
          <w:color w:val="auto"/>
        </w:rPr>
        <w:t>During the three months ended September 2023 and September 2022, $17.8 million and $23.5 million, respectively, of amortization expense was included in our condensed consolidated statements of operations in cost of revenue; the remainder was included in acquired intangibles amortization.</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estimated future amortization expense of acquired amortizable intangible assets as of September 2023 (in millions):</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be determined</w:t>
      </w:r>
    </w:p>
    <w:p>
      <w:pPr>
        <w:spacing w:after="0" w:line="76" w:lineRule="exact"/>
        <w:rPr>
          <w:sz w:val="20"/>
          <w:szCs w:val="20"/>
          <w:color w:val="auto"/>
        </w:rPr>
      </w:pPr>
    </w:p>
    <w:p>
      <w:pPr>
        <w:jc w:val="right"/>
        <w:ind w:right="6920"/>
        <w:spacing w:after="0"/>
        <w:rPr>
          <w:sz w:val="20"/>
          <w:szCs w:val="20"/>
          <w:color w:val="auto"/>
        </w:rPr>
      </w:pPr>
      <w:r>
        <w:rPr>
          <w:rFonts w:ascii="Arial" w:cs="Arial" w:eastAsia="Arial" w:hAnsi="Arial"/>
          <w:sz w:val="18"/>
          <w:szCs w:val="18"/>
          <w:color w:val="auto"/>
        </w:rPr>
        <w:t>Future amortization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-115570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71.4</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-130175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23.5</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-130175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23495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4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38100</wp:posOffset>
            </wp:positionV>
            <wp:extent cx="11988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52"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-108585</wp:posOffset>
            </wp:positionV>
            <wp:extent cx="713232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8540" w:space="720"/>
            <w:col w:w="1980"/>
          </w:cols>
          <w:pgMar w:left="320" w:top="121" w:right="33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ind w:right="40"/>
        <w:spacing w:after="0" w:line="257"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2"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2034, some of which include options to extend the lease for up to seven years. For the three months ended September 2023 and September 2022, we recorded operating lease expense of approximately $2.9 million and $3.3 million, respectively. Our short-term leases are immaterial.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2023 and June 2023, the components of leases are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3"/>
              </w:rPr>
              <w:t>September</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0"/>
                <w:szCs w:val="20"/>
                <w:color w:val="auto"/>
              </w:rPr>
            </w:pPr>
          </w:p>
        </w:tc>
      </w:tr>
      <w:tr>
        <w:trPr>
          <w:trHeight w:val="250"/>
        </w:trPr>
        <w:tc>
          <w:tcPr>
            <w:tcW w:w="5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r>
      <w:tr>
        <w:trPr>
          <w:trHeight w:val="28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49"/>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-521970</wp:posOffset>
            </wp:positionV>
            <wp:extent cx="95059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50595" cy="17970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5143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including from acquisitions, is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480" w:type="dxa"/>
            <w:vAlign w:val="bottom"/>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9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w w:val="95"/>
              </w:rPr>
              <w:t>September</w:t>
            </w:r>
          </w:p>
        </w:tc>
        <w:tc>
          <w:tcPr>
            <w:tcW w:w="3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49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7"/>
              </w:rPr>
              <w:t>Cash paid for operating leases included in operating cash flows</w:t>
            </w: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1"/>
                <w:szCs w:val="21"/>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Supplemental non-cash information related to lease liabilities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arising from obtaining right-of-use assets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r>
    </w:tbl>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2023, the weighted average remaining lease term is 7.26 years, and the weighted average discount rate is 5.19%.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center"/>
              <w:ind w:right="204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3"/>
          </w:tcPr>
          <w:p>
            <w:pPr>
              <w:jc w:val="center"/>
              <w:ind w:right="2240"/>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Fiscal Year</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60" w:type="dxa"/>
            <w:vAlign w:val="bottom"/>
            <w:gridSpan w:val="4"/>
          </w:tcPr>
          <w:p>
            <w:pPr>
              <w:jc w:val="center"/>
              <w:ind w:right="2060"/>
              <w:spacing w:after="0"/>
              <w:rPr>
                <w:sz w:val="20"/>
                <w:szCs w:val="20"/>
                <w:color w:val="auto"/>
              </w:rPr>
            </w:pPr>
            <w:r>
              <w:rPr>
                <w:rFonts w:ascii="Arial" w:cs="Arial" w:eastAsia="Arial" w:hAnsi="Arial"/>
                <w:sz w:val="18"/>
                <w:szCs w:val="18"/>
                <w:color w:val="auto"/>
                <w:w w:val="87"/>
              </w:rPr>
              <w:t>Payments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2024</w:t>
            </w:r>
          </w:p>
        </w:tc>
        <w:tc>
          <w:tcPr>
            <w:tcW w:w="14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2025</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2027</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w w:val="96"/>
              </w:rPr>
              <w:t>Total future minimum operating lease payments</w:t>
            </w: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Less: interest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4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10. Balance Sheet Components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gridSpan w:val="2"/>
          </w:tcPr>
          <w:p>
            <w:pPr>
              <w:ind w:left="520"/>
              <w:spacing w:after="0"/>
              <w:rPr>
                <w:sz w:val="20"/>
                <w:szCs w:val="20"/>
                <w:color w:val="auto"/>
              </w:rPr>
            </w:pPr>
            <w:r>
              <w:rPr>
                <w:rFonts w:ascii="Arial" w:cs="Arial" w:eastAsia="Arial" w:hAnsi="Arial"/>
                <w:sz w:val="18"/>
                <w:szCs w:val="18"/>
                <w:color w:val="auto"/>
                <w:w w:val="95"/>
              </w:rPr>
              <w:t>Accounts receivable, net, consisted of the following (in millions):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4"/>
            <w:vMerge w:val="restart"/>
          </w:tcPr>
          <w:p>
            <w:pPr>
              <w:jc w:val="center"/>
              <w:ind w:right="400"/>
              <w:spacing w:after="0"/>
              <w:rPr>
                <w:sz w:val="20"/>
                <w:szCs w:val="20"/>
                <w:color w:val="auto"/>
              </w:rPr>
            </w:pPr>
            <w:r>
              <w:rPr>
                <w:rFonts w:ascii="Arial" w:cs="Arial" w:eastAsia="Arial" w:hAnsi="Arial"/>
                <w:sz w:val="18"/>
                <w:szCs w:val="18"/>
                <w:color w:val="auto"/>
                <w:w w:val="86"/>
              </w:rPr>
              <w:t>September</w:t>
            </w:r>
          </w:p>
        </w:tc>
        <w:tc>
          <w:tcPr>
            <w:tcW w:w="180" w:type="dxa"/>
            <w:vAlign w:val="bottom"/>
          </w:tcPr>
          <w:p>
            <w:pPr>
              <w:spacing w:after="0"/>
              <w:rPr>
                <w:sz w:val="24"/>
                <w:szCs w:val="24"/>
                <w:color w:val="auto"/>
              </w:rPr>
            </w:pPr>
          </w:p>
        </w:tc>
        <w:tc>
          <w:tcPr>
            <w:tcW w:w="2780" w:type="dxa"/>
            <w:vAlign w:val="bottom"/>
            <w:gridSpan w:val="3"/>
            <w:vMerge w:val="restart"/>
          </w:tcPr>
          <w:p>
            <w:pPr>
              <w:ind w:left="26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credit losses</w:t>
            </w:r>
          </w:p>
        </w:tc>
        <w:tc>
          <w:tcPr>
            <w:tcW w:w="14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(4.2 )</w:t>
            </w:r>
          </w:p>
        </w:tc>
        <w:tc>
          <w:tcPr>
            <w:tcW w:w="1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Borders>
              <w:top w:val="single" w:sz="8" w:color="CFF0FC"/>
            </w:tcBorders>
          </w:tcPr>
          <w:p>
            <w:pPr>
              <w:spacing w:after="0"/>
              <w:rPr>
                <w:sz w:val="19"/>
                <w:szCs w:val="19"/>
                <w:color w:val="auto"/>
              </w:rPr>
            </w:pPr>
          </w:p>
        </w:tc>
        <w:tc>
          <w:tcPr>
            <w:tcW w:w="14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top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vMerge w:val="restart"/>
          </w:tcPr>
          <w:p>
            <w:pPr>
              <w:jc w:val="right"/>
              <w:ind w:right="103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-1814830</wp:posOffset>
            </wp:positionV>
            <wp:extent cx="42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-1797685</wp:posOffset>
            </wp:positionV>
            <wp:extent cx="42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-675640</wp:posOffset>
            </wp:positionV>
            <wp:extent cx="5143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-675640</wp:posOffset>
            </wp:positionV>
            <wp:extent cx="4254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520"/>
              <w:spacing w:after="0"/>
              <w:rPr>
                <w:sz w:val="20"/>
                <w:szCs w:val="20"/>
                <w:color w:val="auto"/>
              </w:rPr>
            </w:pPr>
            <w:r>
              <w:rPr>
                <w:rFonts w:ascii="Arial" w:cs="Arial" w:eastAsia="Arial" w:hAnsi="Arial"/>
                <w:sz w:val="18"/>
                <w:szCs w:val="18"/>
                <w:color w:val="auto"/>
              </w:rPr>
              <w:t>Other non-current assets consisted of the following (in millions):</w:t>
            </w:r>
          </w:p>
        </w:tc>
        <w:tc>
          <w:tcPr>
            <w:tcW w:w="1280" w:type="dxa"/>
            <w:vAlign w:val="bottom"/>
            <w:vMerge w:val="restart"/>
          </w:tcPr>
          <w:p>
            <w:pPr>
              <w:jc w:val="center"/>
              <w:ind w:left="350"/>
              <w:spacing w:after="0"/>
              <w:rPr>
                <w:sz w:val="20"/>
                <w:szCs w:val="20"/>
                <w:color w:val="auto"/>
              </w:rPr>
            </w:pPr>
            <w:r>
              <w:rPr>
                <w:rFonts w:ascii="Arial" w:cs="Arial" w:eastAsia="Arial" w:hAnsi="Arial"/>
                <w:sz w:val="18"/>
                <w:szCs w:val="18"/>
                <w:color w:val="auto"/>
                <w:w w:val="86"/>
              </w:rPr>
              <w:t>September</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vMerge w:val="restart"/>
          </w:tcPr>
          <w:p>
            <w:pPr>
              <w:ind w:left="320"/>
              <w:spacing w:after="0"/>
              <w:rPr>
                <w:sz w:val="20"/>
                <w:szCs w:val="20"/>
                <w:color w:val="auto"/>
              </w:rPr>
            </w:pPr>
            <w:r>
              <w:rPr>
                <w:rFonts w:ascii="Arial" w:cs="Arial" w:eastAsia="Arial" w:hAnsi="Arial"/>
                <w:sz w:val="18"/>
                <w:szCs w:val="18"/>
                <w:color w:val="auto"/>
              </w:rPr>
              <w:t>June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8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2023</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Prepayment of intangible assets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116.5</w:t>
            </w:r>
          </w:p>
        </w:tc>
        <w:tc>
          <w:tcPr>
            <w:tcW w:w="3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taxes</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219.8</w:t>
            </w:r>
          </w:p>
        </w:tc>
        <w:tc>
          <w:tcPr>
            <w:tcW w:w="3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7380" w:type="dxa"/>
            <w:vAlign w:val="bottom"/>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80" w:type="dxa"/>
            <w:vAlign w:val="bottom"/>
          </w:tcPr>
          <w:p>
            <w:pPr>
              <w:spacing w:after="0"/>
              <w:rPr>
                <w:sz w:val="24"/>
                <w:szCs w:val="24"/>
                <w:color w:val="auto"/>
              </w:rPr>
            </w:pP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86"/>
              </w:rPr>
              <w:t>September</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Arial" w:cs="Arial" w:eastAsia="Arial" w:hAnsi="Arial"/>
                <w:sz w:val="18"/>
                <w:szCs w:val="18"/>
                <w:color w:val="auto"/>
              </w:rPr>
              <w:t>June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8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2023</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obligations</w:t>
            </w: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Inventory obligations</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103.0</w:t>
            </w:r>
          </w:p>
        </w:tc>
        <w:tc>
          <w:tcPr>
            <w:tcW w:w="3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7380" w:type="dxa"/>
            <w:vAlign w:val="bottom"/>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380" w:type="dxa"/>
            <w:vAlign w:val="bottom"/>
          </w:tcPr>
          <w:p>
            <w:pPr>
              <w:spacing w:after="0"/>
              <w:rPr>
                <w:sz w:val="24"/>
                <w:szCs w:val="24"/>
                <w:color w:val="auto"/>
              </w:rPr>
            </w:pP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86"/>
              </w:rPr>
              <w:t>September</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Arial" w:cs="Arial" w:eastAsia="Arial" w:hAnsi="Arial"/>
                <w:sz w:val="18"/>
                <w:szCs w:val="18"/>
                <w:color w:val="auto"/>
              </w:rPr>
              <w:t>June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8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2023</w:t>
            </w:r>
          </w:p>
        </w:tc>
        <w:tc>
          <w:tcPr>
            <w:tcW w:w="4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long-term</w:t>
            </w: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payable, long-term</w:t>
            </w:r>
          </w:p>
        </w:tc>
        <w:tc>
          <w:tcPr>
            <w:tcW w:w="12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129.3</w:t>
            </w:r>
          </w:p>
        </w:tc>
        <w:tc>
          <w:tcPr>
            <w:tcW w:w="3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-2953385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-2936240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-1489075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-1471930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135255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52550" cy="1797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60" w:firstLine="509"/>
        <w:spacing w:after="0" w:line="341"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7" w:lineRule="exact"/>
        <w:rPr>
          <w:sz w:val="20"/>
          <w:szCs w:val="20"/>
          <w:color w:val="auto"/>
        </w:rPr>
      </w:pPr>
    </w:p>
    <w:p>
      <w:pPr>
        <w:ind w:right="360" w:firstLine="509"/>
        <w:spacing w:after="0" w:line="341"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0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5"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7" w:lineRule="exact"/>
        <w:rPr>
          <w:sz w:val="20"/>
          <w:szCs w:val="20"/>
          <w:color w:val="auto"/>
        </w:rPr>
      </w:pPr>
    </w:p>
    <w:p>
      <w:pPr>
        <w:ind w:right="240" w:firstLine="509"/>
        <w:spacing w:after="0" w:line="307"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9"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00" w:type="dxa"/>
            <w:vAlign w:val="bottom"/>
          </w:tcPr>
          <w:p>
            <w:pPr>
              <w:ind w:left="4200"/>
              <w:spacing w:after="0"/>
              <w:rPr>
                <w:sz w:val="20"/>
                <w:szCs w:val="20"/>
                <w:color w:val="auto"/>
              </w:rPr>
            </w:pPr>
            <w:r>
              <w:rPr>
                <w:rFonts w:ascii="Arial" w:cs="Arial" w:eastAsia="Arial" w:hAnsi="Arial"/>
                <w:sz w:val="18"/>
                <w:szCs w:val="18"/>
                <w:color w:val="auto"/>
              </w:rPr>
              <w:t>Year</w:t>
            </w:r>
          </w:p>
        </w:tc>
        <w:tc>
          <w:tcPr>
            <w:tcW w:w="160" w:type="dxa"/>
            <w:vAlign w:val="bottom"/>
          </w:tcPr>
          <w:p>
            <w:pPr>
              <w:spacing w:after="0"/>
              <w:rPr>
                <w:sz w:val="20"/>
                <w:szCs w:val="20"/>
                <w:color w:val="auto"/>
              </w:rPr>
            </w:pPr>
          </w:p>
        </w:tc>
        <w:tc>
          <w:tcPr>
            <w:tcW w:w="2440" w:type="dxa"/>
            <w:vAlign w:val="bottom"/>
            <w:gridSpan w:val="2"/>
          </w:tcPr>
          <w:p>
            <w:pPr>
              <w:jc w:val="right"/>
              <w:ind w:right="1030"/>
              <w:spacing w:after="0"/>
              <w:rPr>
                <w:sz w:val="20"/>
                <w:szCs w:val="20"/>
                <w:color w:val="auto"/>
              </w:rPr>
            </w:pPr>
            <w:r>
              <w:rPr>
                <w:rFonts w:ascii="Arial" w:cs="Arial" w:eastAsia="Arial" w:hAnsi="Arial"/>
                <w:sz w:val="18"/>
                <w:szCs w:val="18"/>
                <w:color w:val="auto"/>
              </w:rPr>
              <w:t>Price</w:t>
            </w:r>
          </w:p>
        </w:tc>
      </w:tr>
      <w:tr>
        <w:trPr>
          <w:trHeight w:val="230"/>
        </w:trPr>
        <w:tc>
          <w:tcPr>
            <w:tcW w:w="8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0"/>
                <w:szCs w:val="20"/>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8700" w:type="dxa"/>
            <w:vAlign w:val="bottom"/>
          </w:tcPr>
          <w:p>
            <w:pPr>
              <w:ind w:left="20"/>
              <w:spacing w:after="0"/>
              <w:rPr>
                <w:sz w:val="20"/>
                <w:szCs w:val="20"/>
                <w:color w:val="auto"/>
              </w:rPr>
            </w:pPr>
            <w:r>
              <w:rPr>
                <w:rFonts w:ascii="Arial" w:cs="Arial" w:eastAsia="Arial" w:hAnsi="Arial"/>
                <w:sz w:val="18"/>
                <w:szCs w:val="18"/>
                <w:color w:val="auto"/>
              </w:rPr>
              <w:t>2025</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5"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5"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5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condensed consolidated balance sheet, </w:t>
      </w:r>
      <w:r>
        <w:rPr>
          <w:rFonts w:ascii="Arial" w:cs="Arial" w:eastAsia="Arial" w:hAnsi="Arial"/>
          <w:sz w:val="18"/>
          <w:szCs w:val="18"/>
          <w:color w:val="252525"/>
        </w:rPr>
        <w:t>are</w:t>
      </w:r>
      <w:r>
        <w:rPr>
          <w:rFonts w:ascii="Arial" w:cs="Arial" w:eastAsia="Arial" w:hAnsi="Arial"/>
          <w:sz w:val="18"/>
          <w:szCs w:val="18"/>
          <w:color w:val="auto"/>
        </w:rPr>
        <w:t xml:space="preserve"> </w:t>
      </w:r>
      <w:r>
        <w:rPr>
          <w:rFonts w:ascii="Arial" w:cs="Arial" w:eastAsia="Arial" w:hAnsi="Arial"/>
          <w:sz w:val="18"/>
          <w:szCs w:val="18"/>
          <w:color w:val="252525"/>
        </w:rPr>
        <w:t>amortized as interest expense through the maturity date</w:t>
      </w:r>
      <w:r>
        <w:rPr>
          <w:rFonts w:ascii="Arial" w:cs="Arial" w:eastAsia="Arial" w:hAnsi="Arial"/>
          <w:sz w:val="18"/>
          <w:szCs w:val="18"/>
          <w:color w:val="000000"/>
        </w:rPr>
        <w:t>. The total interest expense and amortization of the debt issuance costs recorded on the Senior Notes</w:t>
      </w:r>
      <w:r>
        <w:rPr>
          <w:rFonts w:ascii="Arial" w:cs="Arial" w:eastAsia="Arial" w:hAnsi="Arial"/>
          <w:sz w:val="18"/>
          <w:szCs w:val="18"/>
          <w:color w:val="252525"/>
        </w:rPr>
        <w:t xml:space="preserve"> </w:t>
      </w:r>
      <w:r>
        <w:rPr>
          <w:rFonts w:ascii="Arial" w:cs="Arial" w:eastAsia="Arial" w:hAnsi="Arial"/>
          <w:sz w:val="18"/>
          <w:szCs w:val="18"/>
          <w:color w:val="000000"/>
        </w:rPr>
        <w:t>during the three months ended September 2023 and 2022 was $4.1 million in each period.</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March 16, 2023, we entered into a Second Amendment, or the Second Amendment, and on July 28, 2023, we entered into a Third Amendment, or the Third Amendment, to our Second Amended and Restated Credit Agreement, as amended, or the Credit Agreement, with the lenders party thereto and Wells Fargo Bank, National Association, as administrative agent, dated March 11,</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7" w:name="page18"/>
    <w:bookmarkEnd w:id="17"/>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75" w:lineRule="exact"/>
        <w:rPr>
          <w:sz w:val="20"/>
          <w:szCs w:val="20"/>
          <w:color w:val="auto"/>
        </w:rPr>
      </w:pPr>
    </w:p>
    <w:p>
      <w:pPr>
        <w:ind w:right="140" w:firstLine="464"/>
        <w:spacing w:after="0" w:line="296"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September 2023, there was no balance outstanding under the revolving credit facility.</w:t>
      </w:r>
    </w:p>
    <w:p>
      <w:pPr>
        <w:spacing w:after="0" w:line="52" w:lineRule="exact"/>
        <w:rPr>
          <w:sz w:val="20"/>
          <w:szCs w:val="20"/>
          <w:color w:val="auto"/>
        </w:rPr>
      </w:pPr>
    </w:p>
    <w:p>
      <w:pPr>
        <w:ind w:right="40" w:firstLine="464"/>
        <w:spacing w:after="0" w:line="307"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39" w:lineRule="exact"/>
        <w:rPr>
          <w:sz w:val="20"/>
          <w:szCs w:val="20"/>
          <w:color w:val="auto"/>
        </w:rPr>
      </w:pPr>
    </w:p>
    <w:p>
      <w:pPr>
        <w:ind w:firstLine="464"/>
        <w:spacing w:after="0" w:line="256"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3" w:lineRule="exact"/>
        <w:rPr>
          <w:sz w:val="20"/>
          <w:szCs w:val="20"/>
          <w:color w:val="auto"/>
        </w:rPr>
      </w:pPr>
    </w:p>
    <w:p>
      <w:pPr>
        <w:ind w:right="40" w:firstLine="464"/>
        <w:spacing w:after="0" w:line="273" w:lineRule="auto"/>
        <w:rPr>
          <w:sz w:val="20"/>
          <w:szCs w:val="20"/>
          <w:color w:val="auto"/>
        </w:rPr>
      </w:pPr>
      <w:r>
        <w:rPr>
          <w:rFonts w:ascii="Arial" w:cs="Arial" w:eastAsia="Arial" w:hAnsi="Arial"/>
          <w:sz w:val="17"/>
          <w:szCs w:val="17"/>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68" w:lineRule="exact"/>
        <w:rPr>
          <w:sz w:val="20"/>
          <w:szCs w:val="20"/>
          <w:color w:val="auto"/>
        </w:rPr>
      </w:pPr>
    </w:p>
    <w:p>
      <w:pPr>
        <w:ind w:right="20" w:firstLine="464"/>
        <w:spacing w:after="0" w:line="290" w:lineRule="auto"/>
        <w:rPr>
          <w:sz w:val="20"/>
          <w:szCs w:val="20"/>
          <w:color w:val="auto"/>
        </w:rPr>
      </w:pPr>
      <w:r>
        <w:rPr>
          <w:rFonts w:ascii="Arial" w:cs="Arial" w:eastAsia="Arial" w:hAnsi="Arial"/>
          <w:sz w:val="16"/>
          <w:szCs w:val="16"/>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September 2023, we remain in compliance with the restrictive covenants.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20" w:firstLine="464"/>
        <w:spacing w:after="0" w:line="256"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83" w:lineRule="exact"/>
        <w:rPr>
          <w:sz w:val="20"/>
          <w:szCs w:val="20"/>
          <w:color w:val="auto"/>
        </w:rPr>
      </w:pPr>
    </w:p>
    <w:p>
      <w:pPr>
        <w:ind w:right="80" w:firstLine="464"/>
        <w:spacing w:after="0" w:line="256" w:lineRule="auto"/>
        <w:rPr>
          <w:sz w:val="20"/>
          <w:szCs w:val="20"/>
          <w:color w:val="auto"/>
        </w:rPr>
      </w:pPr>
      <w:r>
        <w:rPr>
          <w:rFonts w:ascii="Arial" w:cs="Arial" w:eastAsia="Arial" w:hAnsi="Arial"/>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83" w:lineRule="exact"/>
        <w:rPr>
          <w:sz w:val="20"/>
          <w:szCs w:val="20"/>
          <w:color w:val="auto"/>
        </w:rPr>
      </w:pPr>
    </w:p>
    <w:p>
      <w:pPr>
        <w:jc w:val="both"/>
        <w:ind w:right="20" w:firstLine="464"/>
        <w:spacing w:after="0" w:line="263" w:lineRule="auto"/>
        <w:rPr>
          <w:sz w:val="20"/>
          <w:szCs w:val="20"/>
          <w:color w:val="auto"/>
        </w:rPr>
      </w:pPr>
      <w:r>
        <w:rPr>
          <w:rFonts w:ascii="Arial" w:cs="Arial" w:eastAsia="Arial" w:hAnsi="Arial"/>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an excess cash flow sweep, subject to customary step-downs and thresholds.</w:t>
      </w:r>
    </w:p>
    <w:p>
      <w:pPr>
        <w:spacing w:after="0" w:line="75" w:lineRule="exact"/>
        <w:rPr>
          <w:sz w:val="20"/>
          <w:szCs w:val="20"/>
          <w:color w:val="auto"/>
        </w:rPr>
      </w:pPr>
    </w:p>
    <w:p>
      <w:pPr>
        <w:ind w:right="100" w:firstLine="464"/>
        <w:spacing w:after="0" w:line="277"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condensed consolidated balance sheet, are amortized as interest expense over 96 months. The total interest expense and amortization of the debt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issuance costs recorded on the Term Loan Facility during the three months ended September 2023 and 2022 was $11.8 million and $6.9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55"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6,188,000 as of October 24, 2023. The 2019 ESPP authorizes the Company to provide eligible employees with an opportunity to acquire an equity interest in the Company through the purchase of stock at a discount, with an initial authorization of 1,500,000 shares.</w:t>
      </w:r>
    </w:p>
    <w:p>
      <w:pPr>
        <w:spacing w:after="0" w:line="8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recognized in our condensed consolidated statements of operations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8"/>
                <w:szCs w:val="18"/>
                <w:color w:val="auto"/>
                <w:w w:val="97"/>
              </w:rPr>
              <w:t>Three Months Ended</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September</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620" w:type="dxa"/>
            <w:vAlign w:val="bottom"/>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6620" w:type="dxa"/>
            <w:vAlign w:val="bottom"/>
          </w:tcPr>
          <w:p>
            <w:pPr>
              <w:ind w:left="20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-187960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0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September</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r>
      <w:tr>
        <w:trPr>
          <w:trHeight w:val="242"/>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1"/>
                <w:szCs w:val="21"/>
                <w:color w:val="auto"/>
              </w:rPr>
            </w:pPr>
          </w:p>
        </w:tc>
      </w:tr>
      <w:tr>
        <w:trPr>
          <w:trHeight w:val="236"/>
        </w:trPr>
        <w:tc>
          <w:tcPr>
            <w:tcW w:w="4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r>
      <w:tr>
        <w:trPr>
          <w:trHeight w:val="282"/>
        </w:trPr>
        <w:tc>
          <w:tcPr>
            <w:tcW w:w="4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4060" w:type="dxa"/>
            <w:vAlign w:val="bottom"/>
          </w:tcPr>
          <w:p>
            <w:pPr>
              <w:spacing w:after="0"/>
              <w:rPr>
                <w:sz w:val="24"/>
                <w:szCs w:val="24"/>
                <w:color w:val="auto"/>
              </w:rPr>
            </w:pPr>
          </w:p>
        </w:tc>
        <w:tc>
          <w:tcPr>
            <w:tcW w:w="3020" w:type="dxa"/>
            <w:vAlign w:val="bottom"/>
          </w:tcPr>
          <w:p>
            <w:pPr>
              <w:jc w:val="right"/>
              <w:ind w:right="1270"/>
              <w:spacing w:after="0"/>
              <w:rPr>
                <w:sz w:val="20"/>
                <w:szCs w:val="20"/>
                <w:color w:val="auto"/>
              </w:rPr>
            </w:pPr>
            <w:r>
              <w:rPr>
                <w:rFonts w:ascii="Arial" w:cs="Arial" w:eastAsia="Arial" w:hAnsi="Arial"/>
                <w:sz w:val="18"/>
                <w:szCs w:val="18"/>
                <w:color w:val="auto"/>
              </w:rPr>
              <w:t>19</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-513080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-495935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2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final vesting of the phantom stock units occurred in October 2022, and no phantom stock units remain outstanding under this plan.</w:t>
      </w:r>
    </w:p>
    <w:p>
      <w:pPr>
        <w:spacing w:after="0" w:line="12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ectPr>
          <w:pgSz w:w="11900" w:h="16838" w:orient="portrait"/>
          <w:cols w:equalWidth="0" w:num="1">
            <w:col w:w="11220"/>
          </w:cols>
          <w:pgMar w:left="320" w:top="121" w:right="3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Compensation Plan Activity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2023</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Exercised</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Expired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September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18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Stock</w:t>
            </w:r>
          </w:p>
        </w:tc>
        <w:tc>
          <w:tcPr>
            <w:tcW w:w="580" w:type="dxa"/>
            <w:vAlign w:val="bottom"/>
          </w:tcPr>
          <w:p>
            <w:pPr>
              <w:spacing w:after="0"/>
              <w:rPr>
                <w:sz w:val="17"/>
                <w:szCs w:val="17"/>
                <w:color w:val="auto"/>
              </w:rPr>
            </w:pP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w w:val="91"/>
              </w:rPr>
              <w:t>Weighted</w:t>
            </w:r>
          </w:p>
        </w:tc>
      </w:tr>
      <w:tr>
        <w:trPr>
          <w:trHeight w:val="229"/>
        </w:trPr>
        <w:tc>
          <w:tcPr>
            <w:tcW w:w="318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Option</w:t>
            </w:r>
          </w:p>
        </w:tc>
        <w:tc>
          <w:tcPr>
            <w:tcW w:w="580" w:type="dxa"/>
            <w:vAlign w:val="bottom"/>
          </w:tcPr>
          <w:p>
            <w:pPr>
              <w:spacing w:after="0"/>
              <w:rPr>
                <w:sz w:val="19"/>
                <w:szCs w:val="19"/>
                <w:color w:val="auto"/>
              </w:rPr>
            </w:pP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w w:val="90"/>
              </w:rPr>
              <w:t>Average</w:t>
            </w:r>
          </w:p>
        </w:tc>
      </w:tr>
      <w:tr>
        <w:trPr>
          <w:trHeight w:val="229"/>
        </w:trPr>
        <w:tc>
          <w:tcPr>
            <w:tcW w:w="318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Awards</w:t>
            </w:r>
          </w:p>
        </w:tc>
        <w:tc>
          <w:tcPr>
            <w:tcW w:w="580" w:type="dxa"/>
            <w:vAlign w:val="bottom"/>
          </w:tcPr>
          <w:p>
            <w:pPr>
              <w:spacing w:after="0"/>
              <w:rPr>
                <w:sz w:val="19"/>
                <w:szCs w:val="19"/>
                <w:color w:val="auto"/>
              </w:rPr>
            </w:pPr>
          </w:p>
        </w:tc>
        <w:tc>
          <w:tcPr>
            <w:tcW w:w="2160" w:type="dxa"/>
            <w:vAlign w:val="bottom"/>
          </w:tcPr>
          <w:p>
            <w:pPr>
              <w:jc w:val="center"/>
              <w:ind w:right="519"/>
              <w:spacing w:after="0"/>
              <w:rPr>
                <w:sz w:val="20"/>
                <w:szCs w:val="20"/>
                <w:color w:val="auto"/>
              </w:rPr>
            </w:pPr>
            <w:r>
              <w:rPr>
                <w:rFonts w:ascii="Arial" w:cs="Arial" w:eastAsia="Arial" w:hAnsi="Arial"/>
                <w:sz w:val="16"/>
                <w:szCs w:val="16"/>
                <w:color w:val="auto"/>
                <w:w w:val="91"/>
              </w:rPr>
              <w:t>Exercise</w:t>
            </w:r>
          </w:p>
        </w:tc>
      </w:tr>
      <w:tr>
        <w:trPr>
          <w:trHeight w:val="242"/>
        </w:trPr>
        <w:tc>
          <w:tcPr>
            <w:tcW w:w="318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Outstanding</w:t>
            </w:r>
          </w:p>
        </w:tc>
        <w:tc>
          <w:tcPr>
            <w:tcW w:w="580" w:type="dxa"/>
            <w:vAlign w:val="bottom"/>
          </w:tcPr>
          <w:p>
            <w:pPr>
              <w:spacing w:after="0"/>
              <w:rPr>
                <w:sz w:val="21"/>
                <w:szCs w:val="21"/>
                <w:color w:val="auto"/>
              </w:rPr>
            </w:pPr>
          </w:p>
        </w:tc>
        <w:tc>
          <w:tcPr>
            <w:tcW w:w="2160" w:type="dxa"/>
            <w:vAlign w:val="bottom"/>
          </w:tcPr>
          <w:p>
            <w:pPr>
              <w:jc w:val="center"/>
              <w:ind w:right="499"/>
              <w:spacing w:after="0"/>
              <w:rPr>
                <w:sz w:val="20"/>
                <w:szCs w:val="20"/>
                <w:color w:val="auto"/>
              </w:rPr>
            </w:pPr>
            <w:r>
              <w:rPr>
                <w:rFonts w:ascii="Arial" w:cs="Arial" w:eastAsia="Arial" w:hAnsi="Arial"/>
                <w:sz w:val="16"/>
                <w:szCs w:val="16"/>
                <w:color w:val="auto"/>
                <w:w w:val="93"/>
              </w:rPr>
              <w:t>Price</w:t>
            </w:r>
          </w:p>
        </w:tc>
      </w:tr>
      <w:tr>
        <w:trPr>
          <w:trHeight w:val="210"/>
        </w:trPr>
        <w:tc>
          <w:tcPr>
            <w:tcW w:w="2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3,083</w:t>
            </w:r>
          </w:p>
        </w:tc>
        <w:tc>
          <w:tcPr>
            <w:tcW w:w="360" w:type="dxa"/>
            <w:vAlign w:val="bottom"/>
          </w:tcPr>
          <w:p>
            <w:pPr>
              <w:spacing w:after="0"/>
              <w:rPr>
                <w:sz w:val="18"/>
                <w:szCs w:val="18"/>
                <w:color w:val="auto"/>
              </w:rPr>
            </w:pPr>
          </w:p>
        </w:tc>
        <w:tc>
          <w:tcPr>
            <w:tcW w:w="580" w:type="dxa"/>
            <w:vAlign w:val="bottom"/>
            <w:tcBorders>
              <w:top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52.53</w:t>
            </w:r>
          </w:p>
        </w:tc>
      </w:tr>
      <w:tr>
        <w:trPr>
          <w:trHeight w:val="229"/>
        </w:trPr>
        <w:tc>
          <w:tcPr>
            <w:tcW w:w="3180" w:type="dxa"/>
            <w:vAlign w:val="bottom"/>
            <w:gridSpan w:val="2"/>
          </w:tcPr>
          <w:p>
            <w:pPr>
              <w:jc w:val="right"/>
              <w:ind w:right="280"/>
              <w:spacing w:after="0"/>
              <w:rPr>
                <w:sz w:val="20"/>
                <w:szCs w:val="20"/>
                <w:color w:val="auto"/>
              </w:rPr>
            </w:pPr>
            <w:r>
              <w:rPr>
                <w:rFonts w:ascii="Arial" w:cs="Arial" w:eastAsia="Arial" w:hAnsi="Arial"/>
                <w:sz w:val="16"/>
                <w:szCs w:val="16"/>
                <w:color w:val="auto"/>
              </w:rPr>
              <w:t>(3,083 )</w:t>
            </w:r>
          </w:p>
        </w:tc>
        <w:tc>
          <w:tcPr>
            <w:tcW w:w="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49"/>
        </w:trPr>
        <w:tc>
          <w:tcPr>
            <w:tcW w:w="28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16"/>
        </w:trPr>
        <w:tc>
          <w:tcPr>
            <w:tcW w:w="3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-615950</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-324485</wp:posOffset>
            </wp:positionV>
            <wp:extent cx="7132320" cy="325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720"/>
            <w:col w:w="6000"/>
          </w:cols>
          <w:pgMar w:left="320" w:top="121" w:right="35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 RSU activity was as follows: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20"/>
                <w:szCs w:val="20"/>
                <w:color w:val="auto"/>
              </w:rPr>
            </w:pPr>
          </w:p>
        </w:tc>
      </w:tr>
      <w:tr>
        <w:trPr>
          <w:trHeight w:val="243"/>
        </w:trPr>
        <w:tc>
          <w:tcPr>
            <w:tcW w:w="6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RSU</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Intrinsic</w:t>
            </w:r>
          </w:p>
        </w:tc>
        <w:tc>
          <w:tcPr>
            <w:tcW w:w="80" w:type="dxa"/>
            <w:vAlign w:val="bottom"/>
          </w:tcPr>
          <w:p>
            <w:pPr>
              <w:spacing w:after="0"/>
              <w:rPr>
                <w:sz w:val="21"/>
                <w:szCs w:val="21"/>
                <w:color w:val="auto"/>
              </w:rPr>
            </w:pPr>
          </w:p>
        </w:tc>
      </w:tr>
      <w:tr>
        <w:trPr>
          <w:trHeight w:val="243"/>
        </w:trPr>
        <w:tc>
          <w:tcPr>
            <w:tcW w:w="614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1"/>
                <w:szCs w:val="21"/>
                <w:color w:val="auto"/>
              </w:rPr>
            </w:pPr>
          </w:p>
        </w:tc>
      </w:tr>
      <w:tr>
        <w:trPr>
          <w:trHeight w:val="250"/>
        </w:trPr>
        <w:tc>
          <w:tcPr>
            <w:tcW w:w="6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 millions)</w:t>
            </w:r>
          </w:p>
        </w:tc>
        <w:tc>
          <w:tcPr>
            <w:tcW w:w="80" w:type="dxa"/>
            <w:vAlign w:val="bottom"/>
          </w:tcPr>
          <w:p>
            <w:pPr>
              <w:spacing w:after="0"/>
              <w:rPr>
                <w:sz w:val="21"/>
                <w:szCs w:val="21"/>
                <w:color w:val="auto"/>
              </w:rPr>
            </w:pPr>
          </w:p>
        </w:tc>
      </w:tr>
      <w:tr>
        <w:trPr>
          <w:trHeight w:val="24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2023</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1,304,926</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1,224,402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(454,536 )</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(69,016 )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2,005,776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29, 2023, of $89.44.</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unrecognized share-based compensation cost of our outstanding RSUs was approximately $199.1 million as of September 2023, which will be recognized over a weighted average period of approximately 2.5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An MSU is a promise to deliver shares of our common stock at a future date based on the achievement of market-based performance requirements in accordance with the terms of the MSU grant agreement.</w:t>
      </w:r>
    </w:p>
    <w:p>
      <w:pPr>
        <w:sectPr>
          <w:pgSz w:w="11900" w:h="16838" w:orient="portrait"/>
          <w:cols w:equalWidth="0" w:num="1">
            <w:col w:w="11220"/>
          </w:cols>
          <w:pgMar w:left="320" w:top="121" w:right="359" w:bottom="1440" w:gutter="0" w:footer="0" w:header="0"/>
          <w:type w:val="continuous"/>
        </w:sectPr>
      </w:pP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Forfeited</w:t>
      </w:r>
    </w:p>
    <w:p>
      <w:pPr>
        <w:spacing w:after="0" w:line="76" w:lineRule="exact"/>
        <w:rPr>
          <w:sz w:val="20"/>
          <w:szCs w:val="20"/>
          <w:color w:val="auto"/>
        </w:rPr>
      </w:pPr>
    </w:p>
    <w:p>
      <w:pPr>
        <w:jc w:val="right"/>
        <w:ind w:right="3200"/>
        <w:spacing w:after="0"/>
        <w:rPr>
          <w:sz w:val="20"/>
          <w:szCs w:val="20"/>
          <w:color w:val="auto"/>
        </w:rPr>
      </w:pPr>
      <w:r>
        <w:rPr>
          <w:rFonts w:ascii="Arial" w:cs="Arial" w:eastAsia="Arial" w:hAnsi="Arial"/>
          <w:sz w:val="16"/>
          <w:szCs w:val="16"/>
          <w:color w:val="auto"/>
        </w:rPr>
        <w:t>Balance as of September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1"/>
              </w:rPr>
              <w:t>Aggregate</w:t>
            </w:r>
          </w:p>
        </w:tc>
      </w:tr>
      <w:tr>
        <w:trPr>
          <w:trHeight w:val="243"/>
        </w:trPr>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MSU</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Intrinsic</w:t>
            </w:r>
          </w:p>
        </w:tc>
      </w:tr>
      <w:tr>
        <w:trPr>
          <w:trHeight w:val="243"/>
        </w:trPr>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6"/>
              </w:rPr>
              <w:t>Value</w:t>
            </w:r>
          </w:p>
        </w:tc>
      </w:tr>
      <w:tr>
        <w:trPr>
          <w:trHeight w:val="250"/>
        </w:trPr>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Outstanding</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 millions)</w:t>
            </w:r>
          </w:p>
        </w:tc>
      </w:tr>
      <w:tr>
        <w:trPr>
          <w:trHeight w:val="230"/>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227,321</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2"/>
        </w:trPr>
        <w:tc>
          <w:tcPr>
            <w:tcW w:w="1320" w:type="dxa"/>
            <w:vAlign w:val="bottom"/>
          </w:tcPr>
          <w:p>
            <w:pPr>
              <w:jc w:val="right"/>
              <w:spacing w:after="0"/>
              <w:rPr>
                <w:sz w:val="20"/>
                <w:szCs w:val="20"/>
                <w:color w:val="auto"/>
              </w:rPr>
            </w:pPr>
            <w:r>
              <w:rPr>
                <w:rFonts w:ascii="Arial" w:cs="Arial" w:eastAsia="Arial" w:hAnsi="Arial"/>
                <w:sz w:val="18"/>
                <w:szCs w:val="18"/>
                <w:color w:val="auto"/>
              </w:rPr>
              <w:t>303,802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(223,984 )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(59,988 )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6"/>
        </w:trPr>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-804545</wp:posOffset>
            </wp:positionV>
            <wp:extent cx="570230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-495935</wp:posOffset>
            </wp:positionV>
            <wp:extent cx="570230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-179070</wp:posOffset>
            </wp:positionV>
            <wp:extent cx="57023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960"/>
          </w:cols>
          <w:pgMar w:left="320" w:top="121" w:right="359" w:bottom="1440" w:gutter="0" w:footer="0" w:header="0"/>
          <w:type w:val="continuous"/>
        </w:sectPr>
      </w:pP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intrinsic value was determined using the closing price of our common stock on September 29, 2023, of $89.44.</w:t>
      </w:r>
    </w:p>
    <w:p>
      <w:pPr>
        <w:sectPr>
          <w:pgSz w:w="11900" w:h="16838" w:orient="portrait"/>
          <w:cols w:equalWidth="0" w:num="1">
            <w:col w:w="11220"/>
          </w:cols>
          <w:pgMar w:left="320" w:top="121" w:right="359" w:bottom="1440" w:gutter="0" w:footer="0" w:header="0"/>
          <w:type w:val="continuous"/>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jc w:val="center"/>
        <w:ind w:left="520" w:right="246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$45.4 million as of September 2023, which will be recognized over a weighted average period of approximately 1.7 years.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A PSU is a promise to deliver shares of our common stock at a future date based on the achievement of performance-based requirements in accordance with the terms of the PSU grant agreement.</w:t>
      </w:r>
    </w:p>
    <w:p>
      <w:pPr>
        <w:sectPr>
          <w:pgSz w:w="11900" w:h="16838" w:orient="portrait"/>
          <w:cols w:equalWidth="0" w:num="1">
            <w:col w:w="11200"/>
          </w:cols>
          <w:pgMar w:left="320" w:top="121" w:right="379" w:bottom="1440" w:gutter="0" w:footer="0" w:header="0"/>
        </w:sectPr>
      </w:pP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June 2023</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Granted</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Delivered</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Forfeited</w:t>
      </w:r>
    </w:p>
    <w:p>
      <w:pPr>
        <w:spacing w:after="0" w:line="76" w:lineRule="exact"/>
        <w:rPr>
          <w:sz w:val="20"/>
          <w:szCs w:val="20"/>
          <w:color w:val="auto"/>
        </w:rPr>
      </w:pPr>
    </w:p>
    <w:p>
      <w:pPr>
        <w:jc w:val="right"/>
        <w:ind w:right="3220"/>
        <w:spacing w:after="0"/>
        <w:rPr>
          <w:sz w:val="20"/>
          <w:szCs w:val="20"/>
          <w:color w:val="auto"/>
        </w:rPr>
      </w:pPr>
      <w:r>
        <w:rPr>
          <w:rFonts w:ascii="Arial" w:cs="Arial" w:eastAsia="Arial" w:hAnsi="Arial"/>
          <w:sz w:val="16"/>
          <w:szCs w:val="16"/>
          <w:color w:val="auto"/>
        </w:rPr>
        <w:t>Balance as of September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1"/>
              </w:rPr>
              <w:t>Aggregate</w:t>
            </w:r>
          </w:p>
        </w:tc>
      </w:tr>
      <w:tr>
        <w:trPr>
          <w:trHeight w:val="243"/>
        </w:trPr>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PSU</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Intrinsic</w:t>
            </w:r>
          </w:p>
        </w:tc>
      </w:tr>
      <w:tr>
        <w:trPr>
          <w:trHeight w:val="243"/>
        </w:trPr>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Awards</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6"/>
              </w:rPr>
              <w:t>Value</w:t>
            </w:r>
          </w:p>
        </w:tc>
      </w:tr>
      <w:tr>
        <w:trPr>
          <w:trHeight w:val="250"/>
        </w:trPr>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6"/>
              </w:rPr>
              <w:t>(in millions)</w:t>
            </w:r>
          </w:p>
        </w:tc>
      </w:tr>
      <w:tr>
        <w:trPr>
          <w:trHeight w:val="230"/>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253,359</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42"/>
        </w:trPr>
        <w:tc>
          <w:tcPr>
            <w:tcW w:w="1300" w:type="dxa"/>
            <w:vAlign w:val="bottom"/>
          </w:tcPr>
          <w:p>
            <w:pPr>
              <w:jc w:val="right"/>
              <w:spacing w:after="0"/>
              <w:rPr>
                <w:sz w:val="20"/>
                <w:szCs w:val="20"/>
                <w:color w:val="auto"/>
              </w:rPr>
            </w:pPr>
            <w:r>
              <w:rPr>
                <w:rFonts w:ascii="Arial" w:cs="Arial" w:eastAsia="Arial" w:hAnsi="Arial"/>
                <w:sz w:val="18"/>
                <w:szCs w:val="18"/>
                <w:color w:val="auto"/>
              </w:rPr>
              <w:t>282,353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(107,785 )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(63,126 )</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6"/>
        </w:trPr>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364,801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-804545</wp:posOffset>
            </wp:positionV>
            <wp:extent cx="570230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-495935</wp:posOffset>
            </wp:positionV>
            <wp:extent cx="570230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-179070</wp:posOffset>
            </wp:positionV>
            <wp:extent cx="570230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20"/>
          </w:cols>
          <w:pgMar w:left="320" w:top="121" w:right="379" w:bottom="1440" w:gutter="0" w:footer="0" w:header="0"/>
          <w:type w:val="continuous"/>
        </w:sectPr>
      </w:pPr>
    </w:p>
    <w:p>
      <w:pPr>
        <w:spacing w:after="0" w:line="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September 29, 2023, of $89.44.</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value PSUs using the aggregate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$21.7 million as of September 2023, which will be recognized over a weighted average period of approximately 1.4 years.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80" w:firstLine="509"/>
        <w:spacing w:after="0" w:line="341" w:lineRule="auto"/>
        <w:rPr>
          <w:sz w:val="20"/>
          <w:szCs w:val="20"/>
          <w:color w:val="auto"/>
        </w:rPr>
      </w:pPr>
      <w:r>
        <w:rPr>
          <w:rFonts w:ascii="Arial" w:cs="Arial" w:eastAsia="Arial" w:hAnsi="Arial"/>
          <w:sz w:val="16"/>
          <w:szCs w:val="16"/>
          <w:color w:val="auto"/>
        </w:rPr>
        <w:t>Shares purchased, weighted average purchase price, cash received, and the aggregate intrinsic value for employee stock purchase plan purchases during the three months ended September 2023, were as follows (in millions, except for shares purchased and weighted average price):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30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110,836</w:t>
            </w:r>
          </w:p>
        </w:tc>
      </w:tr>
      <w:tr>
        <w:trPr>
          <w:trHeight w:val="236"/>
        </w:trPr>
        <w:tc>
          <w:tcPr>
            <w:tcW w:w="488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3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75.11</w:t>
            </w:r>
          </w:p>
        </w:tc>
      </w:tr>
      <w:tr>
        <w:trPr>
          <w:trHeight w:val="24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30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3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provision for income taxes of $15.0 million and $39.1 million for the three months ended September 2023 and 2022, respectively, represented estimated federal, foreign, and state income taxes. The effective tax rate for the three months ended September 2023 diverged from the combined U.S. federal and state statutory tax rate primarily due to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foreign income taxed at higher rates and non-deductible officer compensation. This was partially offset by research credits and a one-time benefit from prior year creditable foreign withholding taxes resulting from U.S. Treasury Notice 2023-55, which was issued in July 2023 and provided us a one-year delay of the effective date of U.S. final foreign tax credit regulations published in January 2022. The effective tax rate for the three months ended September 2022 diverged from the combined U.S. federal and state statutory tax rate primarily due to the impact of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w:t>
      </w:r>
    </w:p>
    <w:p>
      <w:pPr>
        <w:spacing w:after="0" w:line="7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total liability for gross unrecognized tax benefits related to uncertain tax positions decreased $4.4 million during the three months ended September 2023, to $39.3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2023 were $3.1 million; this balance increased by $0.1 million compared to June 2023.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85"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Our major tax jurisdictions are the United States, Hong Kong SAR, Israel, Japan and the United Kingdom. From fiscal 2016 onward, we remain subject to examination by one or more of these jurisdictions.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Customers, and Geographic Information</w:t>
      </w:r>
    </w:p>
    <w:p>
      <w:pPr>
        <w:spacing w:after="0" w:line="12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In previous reporting periods, we categorized revenues from three product categories: the IoT product market, the personal computing, or PC, product market, and the Mobile product market. Effective in the first quarter of fiscal 2024, we will now categorize our revenues in the following product categories: Core IoT, Enterprise and Automotive, and Mobile product applications. The primary reason for the change in the product group names was to align external reporting groups with the strategic focus of the Company on a go-forward basis.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products and how they are categorized under our new product categories is as follows:</w:t>
      </w:r>
    </w:p>
    <w:p>
      <w:pPr>
        <w:spacing w:after="0" w:line="117" w:lineRule="exact"/>
        <w:rPr>
          <w:sz w:val="20"/>
          <w:szCs w:val="20"/>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IoT: Wireless and Processor Solutions</w:t>
      </w:r>
    </w:p>
    <w:p>
      <w:pPr>
        <w:spacing w:after="0" w:line="116"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and Automotive: PC Touch Pad, PC Fingerprint, Video Interface Solutions, Enterprise Audio Solutions, Fax and Printer Solutions, Automotive Solutions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Touch and Display Solutions for Mobile phone applications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Revenues for the three months ended September 2022 from our previous product categories have been reclassified in order to conform to the current period presentation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88"/>
              </w:rPr>
              <w:t>Enterprise and</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Core IoT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Auto</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Mobile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43"/>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IoT product applications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FF0FC"/>
          </w:tcPr>
          <w:p>
            <w:pPr>
              <w:spacing w:after="0"/>
              <w:rPr>
                <w:sz w:val="21"/>
                <w:szCs w:val="21"/>
                <w:color w:val="auto"/>
              </w:rPr>
            </w:pPr>
          </w:p>
        </w:tc>
      </w:tr>
      <w:tr>
        <w:trPr>
          <w:trHeight w:val="236"/>
        </w:trPr>
        <w:tc>
          <w:tcPr>
            <w:tcW w:w="2700" w:type="dxa"/>
            <w:vAlign w:val="bottom"/>
          </w:tcPr>
          <w:p>
            <w:pPr>
              <w:ind w:left="20"/>
              <w:spacing w:after="0"/>
              <w:rPr>
                <w:sz w:val="20"/>
                <w:szCs w:val="20"/>
                <w:color w:val="auto"/>
              </w:rPr>
            </w:pPr>
            <w:r>
              <w:rPr>
                <w:rFonts w:ascii="Arial" w:cs="Arial" w:eastAsia="Arial" w:hAnsi="Arial"/>
                <w:sz w:val="18"/>
                <w:szCs w:val="18"/>
                <w:color w:val="auto"/>
              </w:rPr>
              <w:t>PC product applications</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w:t>
            </w: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r>
      <w:tr>
        <w:trPr>
          <w:trHeight w:val="249"/>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Mobile product applications</w:t>
            </w:r>
          </w:p>
        </w:tc>
        <w:tc>
          <w:tcPr>
            <w:tcW w:w="4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27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448.1</w:t>
            </w:r>
          </w:p>
        </w:tc>
        <w:tc>
          <w:tcPr>
            <w:tcW w:w="14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294.5</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4"/>
        </w:trPr>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-675640</wp:posOffset>
            </wp:positionV>
            <wp:extent cx="768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-675640</wp:posOffset>
            </wp:positionV>
            <wp:extent cx="6858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-675640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-675640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520"/>
              <w:spacing w:after="0"/>
              <w:rPr>
                <w:sz w:val="20"/>
                <w:szCs w:val="20"/>
                <w:color w:val="auto"/>
              </w:rPr>
            </w:pPr>
            <w:r>
              <w:rPr>
                <w:rFonts w:ascii="Arial" w:cs="Arial" w:eastAsia="Arial" w:hAnsi="Arial"/>
                <w:sz w:val="18"/>
                <w:szCs w:val="18"/>
                <w:color w:val="auto"/>
                <w:w w:val="98"/>
              </w:rPr>
              <w:t>Net revenue from our customers for each product category was as follows (in millions):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3"/>
        </w:trPr>
        <w:tc>
          <w:tcPr>
            <w:tcW w:w="7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September</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r>
      <w:tr>
        <w:trPr>
          <w:trHeight w:val="242"/>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Enterprise and Automotive product applications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Core IoT product applications</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p>
        </w:tc>
      </w:tr>
      <w:tr>
        <w:trPr>
          <w:trHeight w:val="24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Mobile product applications</w:t>
            </w:r>
          </w:p>
        </w:tc>
        <w:tc>
          <w:tcPr>
            <w:tcW w:w="4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3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0"/>
        </w:trPr>
        <w:tc>
          <w:tcPr>
            <w:tcW w:w="10020" w:type="dxa"/>
            <w:vAlign w:val="bottom"/>
            <w:gridSpan w:val="5"/>
          </w:tcPr>
          <w:p>
            <w:pPr>
              <w:ind w:left="520"/>
              <w:spacing w:after="0"/>
              <w:rPr>
                <w:sz w:val="20"/>
                <w:szCs w:val="20"/>
                <w:color w:val="auto"/>
              </w:rPr>
            </w:pPr>
            <w:r>
              <w:rPr>
                <w:rFonts w:ascii="Arial" w:cs="Arial" w:eastAsia="Arial" w:hAnsi="Arial"/>
                <w:sz w:val="18"/>
                <w:szCs w:val="18"/>
                <w:color w:val="auto"/>
                <w:w w:val="94"/>
              </w:rPr>
              <w:t>Net revenue within geographic areas based on our customers’ locations for the periods presented was as follows (in millions):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September</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r>
      <w:tr>
        <w:trPr>
          <w:trHeight w:val="242"/>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China/Hong Kong</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Taiwan</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South Korea</w:t>
            </w:r>
          </w:p>
        </w:tc>
        <w:tc>
          <w:tcPr>
            <w:tcW w:w="4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r>
      <w:tr>
        <w:trPr>
          <w:trHeight w:val="270"/>
        </w:trPr>
        <w:tc>
          <w:tcPr>
            <w:tcW w:w="732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5775960</wp:posOffset>
            </wp:positionH>
            <wp:positionV relativeFrom="paragraph">
              <wp:posOffset>-2122805</wp:posOffset>
            </wp:positionV>
            <wp:extent cx="7683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-2122805</wp:posOffset>
            </wp:positionV>
            <wp:extent cx="6858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80" w:type="dxa"/>
            <w:vAlign w:val="bottom"/>
            <w:gridSpan w:val="3"/>
          </w:tcPr>
          <w:p>
            <w:pPr>
              <w:jc w:val="center"/>
              <w:ind w:right="1050"/>
              <w:spacing w:after="0"/>
              <w:rPr>
                <w:sz w:val="20"/>
                <w:szCs w:val="20"/>
                <w:color w:val="auto"/>
              </w:rPr>
            </w:pPr>
            <w:r>
              <w:rPr>
                <w:rFonts w:ascii="Arial" w:cs="Arial" w:eastAsia="Arial" w:hAnsi="Arial"/>
                <w:sz w:val="18"/>
                <w:szCs w:val="18"/>
                <w:color w:val="auto"/>
                <w:w w:val="90"/>
              </w:rPr>
              <w:t>Three Months Ended</w:t>
            </w:r>
          </w:p>
        </w:tc>
      </w:tr>
      <w:tr>
        <w:trPr>
          <w:trHeight w:val="250"/>
        </w:trPr>
        <w:tc>
          <w:tcPr>
            <w:tcW w:w="73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jc w:val="center"/>
              <w:ind w:right="1070"/>
              <w:spacing w:after="0"/>
              <w:rPr>
                <w:sz w:val="20"/>
                <w:szCs w:val="20"/>
                <w:color w:val="auto"/>
              </w:rPr>
            </w:pPr>
            <w:r>
              <w:rPr>
                <w:rFonts w:ascii="Arial" w:cs="Arial" w:eastAsia="Arial" w:hAnsi="Arial"/>
                <w:sz w:val="18"/>
                <w:szCs w:val="18"/>
                <w:color w:val="auto"/>
                <w:w w:val="88"/>
              </w:rPr>
              <w:t>September</w:t>
            </w:r>
          </w:p>
        </w:tc>
      </w:tr>
      <w:tr>
        <w:trPr>
          <w:trHeight w:val="236"/>
        </w:trPr>
        <w:tc>
          <w:tcPr>
            <w:tcW w:w="7300" w:type="dxa"/>
            <w:vAlign w:val="bottom"/>
          </w:tcPr>
          <w:p>
            <w:pPr>
              <w:spacing w:after="0"/>
              <w:rPr>
                <w:sz w:val="20"/>
                <w:szCs w:val="20"/>
                <w:color w:val="auto"/>
              </w:rPr>
            </w:pPr>
          </w:p>
        </w:tc>
        <w:tc>
          <w:tcPr>
            <w:tcW w:w="1160" w:type="dxa"/>
            <w:vAlign w:val="bottom"/>
          </w:tcPr>
          <w:p>
            <w:pPr>
              <w:jc w:val="center"/>
              <w:ind w:left="630"/>
              <w:spacing w:after="0"/>
              <w:rPr>
                <w:sz w:val="20"/>
                <w:szCs w:val="20"/>
                <w:color w:val="auto"/>
              </w:rPr>
            </w:pPr>
            <w:r>
              <w:rPr>
                <w:rFonts w:ascii="Arial" w:cs="Arial" w:eastAsia="Arial" w:hAnsi="Arial"/>
                <w:sz w:val="18"/>
                <w:szCs w:val="18"/>
                <w:color w:val="auto"/>
                <w:w w:val="89"/>
              </w:rPr>
              <w:t>2023</w:t>
            </w:r>
          </w:p>
        </w:tc>
        <w:tc>
          <w:tcPr>
            <w:tcW w:w="2780" w:type="dxa"/>
            <w:vAlign w:val="bottom"/>
            <w:gridSpan w:val="3"/>
          </w:tcPr>
          <w:p>
            <w:pPr>
              <w:jc w:val="center"/>
              <w:ind w:left="810"/>
              <w:spacing w:after="0"/>
              <w:rPr>
                <w:sz w:val="20"/>
                <w:szCs w:val="20"/>
                <w:color w:val="auto"/>
              </w:rPr>
            </w:pPr>
            <w:r>
              <w:rPr>
                <w:rFonts w:ascii="Arial" w:cs="Arial" w:eastAsia="Arial" w:hAnsi="Arial"/>
                <w:sz w:val="18"/>
                <w:szCs w:val="18"/>
                <w:color w:val="auto"/>
                <w:w w:val="89"/>
              </w:rPr>
              <w:t>2022</w:t>
            </w:r>
          </w:p>
        </w:tc>
      </w:tr>
      <w:tr>
        <w:trPr>
          <w:trHeight w:val="242"/>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1160" w:type="dxa"/>
            <w:vAlign w:val="bottom"/>
            <w:tcBorders>
              <w:top w:val="single" w:sz="8" w:color="auto"/>
            </w:tcBorders>
            <w:shd w:val="clear" w:color="auto" w:fill="CFF0FC"/>
          </w:tcPr>
          <w:p>
            <w:pPr>
              <w:jc w:val="center"/>
              <w:ind w:left="65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13%</w:t>
            </w: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160" w:type="dxa"/>
            <w:vAlign w:val="bottom"/>
          </w:tcPr>
          <w:p>
            <w:pPr>
              <w:jc w:val="center"/>
              <w:ind w:left="650"/>
              <w:spacing w:after="0"/>
              <w:rPr>
                <w:sz w:val="20"/>
                <w:szCs w:val="20"/>
                <w:color w:val="auto"/>
              </w:rPr>
            </w:pPr>
            <w:r>
              <w:rPr>
                <w:rFonts w:ascii="Arial" w:cs="Arial" w:eastAsia="Arial" w:hAnsi="Arial"/>
                <w:sz w:val="18"/>
                <w:szCs w:val="18"/>
                <w:color w:val="auto"/>
                <w:w w:val="94"/>
              </w:rPr>
              <w:t>18%</w:t>
            </w:r>
          </w:p>
        </w:tc>
        <w:tc>
          <w:tcPr>
            <w:tcW w:w="2780" w:type="dxa"/>
            <w:vAlign w:val="bottom"/>
            <w:gridSpan w:val="3"/>
          </w:tcPr>
          <w:p>
            <w:pPr>
              <w:jc w:val="center"/>
              <w:ind w:left="810"/>
              <w:spacing w:after="0"/>
              <w:rPr>
                <w:sz w:val="20"/>
                <w:szCs w:val="20"/>
                <w:color w:val="auto"/>
              </w:rPr>
            </w:pPr>
            <w:r>
              <w:rPr>
                <w:rFonts w:ascii="Arial" w:cs="Arial" w:eastAsia="Arial" w:hAnsi="Arial"/>
                <w:sz w:val="18"/>
                <w:szCs w:val="18"/>
                <w:color w:val="auto"/>
              </w:rPr>
              <w:t>*</w:t>
            </w: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C</w:t>
            </w:r>
          </w:p>
        </w:tc>
        <w:tc>
          <w:tcPr>
            <w:tcW w:w="1160" w:type="dxa"/>
            <w:vAlign w:val="bottom"/>
            <w:shd w:val="clear" w:color="auto" w:fill="CFF0FC"/>
          </w:tcPr>
          <w:p>
            <w:pPr>
              <w:jc w:val="center"/>
              <w:ind w:left="630"/>
              <w:spacing w:after="0"/>
              <w:rPr>
                <w:sz w:val="20"/>
                <w:szCs w:val="20"/>
                <w:color w:val="auto"/>
              </w:rPr>
            </w:pPr>
            <w:r>
              <w:rPr>
                <w:rFonts w:ascii="Arial" w:cs="Arial" w:eastAsia="Arial" w:hAnsi="Arial"/>
                <w:sz w:val="18"/>
                <w:szCs w:val="18"/>
                <w:color w:val="auto"/>
                <w:w w:val="88"/>
              </w:rPr>
              <w:t>11%</w:t>
            </w:r>
          </w:p>
        </w:tc>
        <w:tc>
          <w:tcPr>
            <w:tcW w:w="2780" w:type="dxa"/>
            <w:vAlign w:val="bottom"/>
            <w:gridSpan w:val="3"/>
            <w:shd w:val="clear" w:color="auto" w:fill="CFF0FC"/>
          </w:tcPr>
          <w:p>
            <w:pPr>
              <w:jc w:val="center"/>
              <w:ind w:left="810"/>
              <w:spacing w:after="0"/>
              <w:rPr>
                <w:sz w:val="20"/>
                <w:szCs w:val="20"/>
                <w:color w:val="auto"/>
              </w:rPr>
            </w:pPr>
            <w:r>
              <w:rPr>
                <w:rFonts w:ascii="Arial" w:cs="Arial" w:eastAsia="Arial" w:hAnsi="Arial"/>
                <w:sz w:val="18"/>
                <w:szCs w:val="18"/>
                <w:color w:val="auto"/>
              </w:rPr>
              <w:t>*</w:t>
            </w:r>
          </w:p>
        </w:tc>
      </w:tr>
      <w:tr>
        <w:trPr>
          <w:trHeight w:val="201"/>
        </w:trPr>
        <w:tc>
          <w:tcPr>
            <w:tcW w:w="7300" w:type="dxa"/>
            <w:vAlign w:val="bottom"/>
          </w:tcPr>
          <w:p>
            <w:pPr>
              <w:spacing w:after="0" w:line="201" w:lineRule="exact"/>
              <w:rPr>
                <w:sz w:val="20"/>
                <w:szCs w:val="20"/>
                <w:color w:val="auto"/>
              </w:rPr>
            </w:pPr>
            <w:r>
              <w:rPr>
                <w:rFonts w:ascii="Arial" w:cs="Arial" w:eastAsia="Arial" w:hAnsi="Arial"/>
                <w:sz w:val="18"/>
                <w:szCs w:val="18"/>
                <w:color w:val="auto"/>
              </w:rPr>
              <w:t>____________________</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Less than 10%</w:t>
            </w: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0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1900" w:type="dxa"/>
            <w:vAlign w:val="bottom"/>
          </w:tcPr>
          <w:p>
            <w:pPr>
              <w:ind w:left="560"/>
              <w:spacing w:after="0"/>
              <w:rPr>
                <w:sz w:val="20"/>
                <w:szCs w:val="20"/>
                <w:color w:val="auto"/>
              </w:rPr>
            </w:pPr>
            <w:r>
              <w:rPr>
                <w:rFonts w:ascii="Arial" w:cs="Arial" w:eastAsia="Arial" w:hAnsi="Arial"/>
                <w:sz w:val="18"/>
                <w:szCs w:val="18"/>
                <w:color w:val="auto"/>
              </w:rPr>
              <w:t>September</w:t>
            </w:r>
          </w:p>
        </w:tc>
        <w:tc>
          <w:tcPr>
            <w:tcW w:w="16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Arial" w:cs="Arial" w:eastAsia="Arial" w:hAnsi="Arial"/>
                <w:sz w:val="18"/>
                <w:szCs w:val="18"/>
                <w:color w:val="auto"/>
              </w:rPr>
              <w:t>June</w:t>
            </w:r>
          </w:p>
        </w:tc>
      </w:tr>
      <w:tr>
        <w:trPr>
          <w:trHeight w:val="250"/>
        </w:trPr>
        <w:tc>
          <w:tcPr>
            <w:tcW w:w="730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r>
      <w:tr>
        <w:trPr>
          <w:trHeight w:val="243"/>
        </w:trPr>
        <w:tc>
          <w:tcPr>
            <w:tcW w:w="7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8"/>
              </w:rPr>
              <w:t>10%</w:t>
            </w:r>
          </w:p>
        </w:tc>
      </w:tr>
      <w:tr>
        <w:trPr>
          <w:trHeight w:val="228"/>
        </w:trPr>
        <w:tc>
          <w:tcPr>
            <w:tcW w:w="730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204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20%</w:t>
            </w:r>
          </w:p>
        </w:tc>
      </w:tr>
      <w:tr>
        <w:trPr>
          <w:trHeight w:val="216"/>
        </w:trPr>
        <w:tc>
          <w:tcPr>
            <w:tcW w:w="7300" w:type="dxa"/>
            <w:vAlign w:val="bottom"/>
          </w:tcPr>
          <w:p>
            <w:pPr>
              <w:jc w:val="right"/>
              <w:ind w:right="5370"/>
              <w:spacing w:after="0"/>
              <w:rPr>
                <w:sz w:val="20"/>
                <w:szCs w:val="20"/>
                <w:color w:val="auto"/>
              </w:rPr>
            </w:pPr>
            <w:r>
              <w:rPr>
                <w:rFonts w:ascii="Arial" w:cs="Arial" w:eastAsia="Arial" w:hAnsi="Arial"/>
                <w:sz w:val="18"/>
                <w:szCs w:val="18"/>
                <w:color w:val="auto"/>
                <w:w w:val="90"/>
              </w:rPr>
              <w:t>____________________</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Less than 10%</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Additionally, as of September 2023, three other customer accounts receivable balances cumulatively totaled 35% of total accounts receivable.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Comprehensive Income</w:t>
      </w:r>
    </w:p>
    <w:p>
      <w:pPr>
        <w:spacing w:after="0" w:line="12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operations as the U.S. dollar is the functional currency of our foreign entities.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Activities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the first quarter of fiscal 2024, we initiated restructuring actions primarily intended to focus on key growth initiatives, reduce costs and align our business in response to market conditions. As a result of this restructuring, we expect to incur approximately $10.0</w:t>
      </w:r>
    </w:p>
    <w:p>
      <w:pPr>
        <w:sectPr>
          <w:pgSz w:w="11900" w:h="16838" w:orient="portrait"/>
          <w:cols w:equalWidth="0" w:num="1">
            <w:col w:w="11240"/>
          </w:cols>
          <w:pgMar w:left="320" w:top="121"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220" w:firstLine="45"/>
        <w:spacing w:after="0" w:line="277" w:lineRule="auto"/>
        <w:rPr>
          <w:sz w:val="20"/>
          <w:szCs w:val="20"/>
          <w:color w:val="auto"/>
        </w:rPr>
      </w:pPr>
      <w:r>
        <w:rPr>
          <w:rFonts w:ascii="Arial" w:cs="Arial" w:eastAsia="Arial" w:hAnsi="Arial"/>
          <w:sz w:val="18"/>
          <w:szCs w:val="18"/>
          <w:color w:val="auto"/>
        </w:rPr>
        <w:t>million in restructuring charges and expect to complete the restructuring by the end of fiscal 2024. The restructuring costs related to these activities were recorded to the restructuring costs line item within our condensed consolidated statements of operations.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restructuring activity and related charges during the periods presented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20" w:type="dxa"/>
            <w:vAlign w:val="bottom"/>
            <w:gridSpan w:val="3"/>
          </w:tcPr>
          <w:p>
            <w:pPr>
              <w:jc w:val="right"/>
              <w:ind w:right="410"/>
              <w:spacing w:after="0"/>
              <w:rPr>
                <w:sz w:val="20"/>
                <w:szCs w:val="20"/>
                <w:color w:val="auto"/>
              </w:rPr>
            </w:pPr>
            <w:r>
              <w:rPr>
                <w:rFonts w:ascii="Arial" w:cs="Arial" w:eastAsia="Arial" w:hAnsi="Arial"/>
                <w:sz w:val="18"/>
                <w:szCs w:val="18"/>
                <w:color w:val="auto"/>
                <w:w w:val="89"/>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6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September</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7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120"/>
              <w:spacing w:after="0"/>
              <w:rPr>
                <w:sz w:val="20"/>
                <w:szCs w:val="20"/>
                <w:color w:val="auto"/>
              </w:rPr>
            </w:pPr>
            <w:r>
              <w:rPr>
                <w:rFonts w:ascii="Arial" w:cs="Arial" w:eastAsia="Arial" w:hAnsi="Arial"/>
                <w:sz w:val="18"/>
                <w:szCs w:val="18"/>
                <w:color w:val="auto"/>
              </w:rPr>
              <w:t>Charges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Payments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(6.0 )</w:t>
            </w:r>
          </w:p>
        </w:tc>
        <w:tc>
          <w:tcPr>
            <w:tcW w:w="1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FF0FC"/>
            </w:tcBorders>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-187960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During the three months ended September 2023, the restructuring and related charges of $8.0 million was primarily attributable to severance and employee-related benefits.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right="122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This Quarterly Report on Form 10-Q for the quarter ended September 30, 2023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Core IoT and Enterprise and Automotive product applications market for a substantial portion of our revenue; risks related to the volatility of our net revenue from our solutions for Core IoT and Enterprise and Automotive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regional instabilities and hostilities (including the war in Israel) and the risks as identified in the “Risk Factors,” “Management’s Discussion and Analysis of Financial Condition and Results of Operations” and “Business” sections of our Annual Report on Form 10-K for the fiscal year ended June 24, 2023,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75"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7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In the past, when supply constraints and capacity shortages have impacted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jc w:val="both"/>
        <w:ind w:right="360"/>
        <w:spacing w:after="0" w:line="286" w:lineRule="auto"/>
        <w:rPr>
          <w:sz w:val="20"/>
          <w:szCs w:val="20"/>
          <w:color w:val="auto"/>
        </w:rPr>
      </w:pPr>
      <w:r>
        <w:rPr>
          <w:rFonts w:ascii="Arial" w:cs="Arial" w:eastAsia="Arial" w:hAnsi="Arial"/>
          <w:sz w:val="17"/>
          <w:szCs w:val="17"/>
          <w:color w:val="auto"/>
        </w:rPr>
        <w:t>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56"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83"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52"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7" w:lineRule="exact"/>
        <w:rPr>
          <w:sz w:val="20"/>
          <w:szCs w:val="20"/>
          <w:color w:val="auto"/>
        </w:rPr>
      </w:pPr>
    </w:p>
    <w:p>
      <w:pPr>
        <w:ind w:right="860" w:firstLine="509"/>
        <w:spacing w:after="0" w:line="307" w:lineRule="auto"/>
        <w:rPr>
          <w:sz w:val="20"/>
          <w:szCs w:val="20"/>
          <w:color w:val="auto"/>
        </w:rPr>
      </w:pPr>
      <w:r>
        <w:rPr>
          <w:rFonts w:ascii="Arial" w:cs="Arial" w:eastAsia="Arial" w:hAnsi="Arial"/>
          <w:sz w:val="17"/>
          <w:szCs w:val="17"/>
          <w:color w:val="auto"/>
        </w:rPr>
        <w:t>Acquired intangibles amortization, included in operating expenses, consists primarily of amortization of developed technology, customer relationship and tradenames intangible assets recognized under the purchase method for business combinations.</w:t>
      </w:r>
    </w:p>
    <w:p>
      <w:pPr>
        <w:spacing w:after="0" w:line="39"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Restructuring costs primarily reflect severance costs related to the restructuring of our operations to reduce operating expenses and gain efficiencies from our recent acquisitions. See Note 17. Restructuring Activities to the consolidated financial statements contained elsewhere in this Report.</w:t>
      </w:r>
    </w:p>
    <w:p>
      <w:pPr>
        <w:spacing w:after="0" w:line="17"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 July 2023, we entered into a transaction with Broadcom to extend the exclusivity period of certain developed technologies, and to license certain technology assets for an aggregate consideration of $130.0 million, which was paid in cash in the first quarter of fiscal 2024.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Emza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October 25, 2022, we acquired all of the outstanding shares of Emza for total purchase consideration of $15.8 million, which was paid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Emza are included in our condensed consolidated financial statements for the periods from October 25, 2022.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September 2023, compared with our critical accounting policies and estimates disclosed in Management’s Discussion and Analysis of Financial Condition and Results of Operations included in our Annual Report on Form 10-K for the fiscal year ended June 24, 2023.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Economic Conditions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frequency and amplitude in which central banks raise interest rates has subsided relative to the first half of calendar year 2023, but the impact has had a material effect on many sectors of the economy leading to broad-based workforce reductions, a slowing or deferral of investment in information technology spending, and increased concern of a global recession. We believe the threat of global recession is the primary driver for the slowdown in orders from our customer base. During the quarter, we continued to experience a broad reduction in demand in most of our product applications as many customers and channel partners continue to consume their accumulation of inventories, combined with customer requests to delay orders. We continue to believe that the demand slowdown is temporary, but the rebound in demand is likely to extend beyond calendar 2023, and potentially beyond 2024. In addition, although we currently do not believe inflation in the costs of goods and services will have a material impact on our results of operations, it is possible that rising inflation could increase our operating expenses and reduce our net income. Further, rising interest rates have increased our borrowing costs on our variable rate Term Loan Facility, which will continue to drive an increase in interest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costs in future accounting periods and potentially limit our borrowing capacity if a future acquisition opportunity requiring financing presents itself.</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War between Israel and Hamas</w:t>
      </w:r>
    </w:p>
    <w:p>
      <w:pPr>
        <w:spacing w:after="0" w:line="117"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The uncertainty resulting from the war in Israel and the threat for expansion of the war could result in some of our customers delaying purchases from us. Although our employees in this office have the ability to work remotely and business continuity plans are in place to address any medium- 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subject to activation in response to the war. Following the terrorist attacks in Israel in October 2023, a number of our employees have been activated for military duty, and additional employees may be activated if the war in Israel continues. While we also have business continuity plans in place to address the safety of our employees and to continue product development in the event of reduced employee availability in the region during the war, it could affect the timing of projects in the short-term as work is shifted to other team members where necessary.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firstLine="554"/>
        <w:spacing w:after="0" w:line="254" w:lineRule="auto"/>
        <w:rPr>
          <w:sz w:val="20"/>
          <w:szCs w:val="20"/>
          <w:color w:val="auto"/>
        </w:rPr>
      </w:pPr>
      <w:r>
        <w:rPr>
          <w:rFonts w:ascii="Arial" w:cs="Arial" w:eastAsia="Arial" w:hAnsi="Arial"/>
          <w:sz w:val="18"/>
          <w:szCs w:val="18"/>
          <w:color w:val="auto"/>
        </w:rPr>
        <w:t>In the first quarter of fiscal 2024, we changed the classification of our product categories to more closely align with the strategic focus of the Company. Certain reclassifications have been made to the prior period revenue presentation to conform to the current period revenue presentation. Certain of the data used in our condensed consolidated statements of operations for the periods indicated, together with comparative absolute and percentage changes in these amounts, were as follows (in millions,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8"/>
                <w:szCs w:val="18"/>
                <w:b w:val="1"/>
                <w:bCs w:val="1"/>
                <w:color w:val="auto"/>
                <w:w w:val="99"/>
              </w:rPr>
              <w:t>Three Months Ended September</w:t>
            </w:r>
          </w:p>
        </w:tc>
        <w:tc>
          <w:tcPr>
            <w:tcW w:w="1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4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 Change</w:t>
            </w:r>
          </w:p>
        </w:tc>
        <w:tc>
          <w:tcPr>
            <w:tcW w:w="1900" w:type="dxa"/>
            <w:vAlign w:val="bottom"/>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Enterprise and Automotive product applications</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154.8</w:t>
            </w:r>
          </w:p>
        </w:tc>
        <w:tc>
          <w:tcPr>
            <w:tcW w:w="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2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4520" w:type="dxa"/>
            <w:vAlign w:val="bottom"/>
          </w:tcPr>
          <w:p>
            <w:pPr>
              <w:ind w:left="20"/>
              <w:spacing w:after="0"/>
              <w:rPr>
                <w:sz w:val="20"/>
                <w:szCs w:val="20"/>
                <w:color w:val="auto"/>
              </w:rPr>
            </w:pPr>
            <w:r>
              <w:rPr>
                <w:rFonts w:ascii="Arial" w:cs="Arial" w:eastAsia="Arial" w:hAnsi="Arial"/>
                <w:sz w:val="18"/>
                <w:szCs w:val="18"/>
                <w:color w:val="auto"/>
              </w:rPr>
              <w:t>Core IoT product applications</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(74.9 )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(66.0 %)</w:t>
            </w:r>
          </w:p>
        </w:tc>
      </w:tr>
      <w:tr>
        <w:trPr>
          <w:trHeight w:val="256"/>
        </w:trPr>
        <w:tc>
          <w:tcPr>
            <w:tcW w:w="4520" w:type="dxa"/>
            <w:vAlign w:val="bottom"/>
          </w:tcPr>
          <w:p>
            <w:pPr>
              <w:ind w:left="20"/>
              <w:spacing w:after="0"/>
              <w:rPr>
                <w:sz w:val="20"/>
                <w:szCs w:val="20"/>
                <w:color w:val="auto"/>
              </w:rPr>
            </w:pPr>
            <w:r>
              <w:rPr>
                <w:rFonts w:ascii="Arial" w:cs="Arial" w:eastAsia="Arial" w:hAnsi="Arial"/>
                <w:sz w:val="18"/>
                <w:szCs w:val="18"/>
                <w:color w:val="auto"/>
              </w:rPr>
              <w:t>Mobile product applications</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2"/>
                <w:szCs w:val="22"/>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10.4 %</w:t>
            </w:r>
          </w:p>
        </w:tc>
      </w:tr>
      <w:tr>
        <w:trPr>
          <w:trHeight w:val="236"/>
        </w:trPr>
        <w:tc>
          <w:tcPr>
            <w:tcW w:w="452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237.7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(210.4 )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(47.0 %)</w:t>
            </w:r>
          </w:p>
        </w:tc>
      </w:tr>
      <w:tr>
        <w:trPr>
          <w:trHeight w:val="236"/>
        </w:trPr>
        <w:tc>
          <w:tcPr>
            <w:tcW w:w="452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8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107.1</w:t>
            </w:r>
          </w:p>
        </w:tc>
        <w:tc>
          <w:tcPr>
            <w:tcW w:w="2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(58.1 %)</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(3.0 )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45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(2.4 )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520" w:type="dxa"/>
            <w:vAlign w:val="bottom"/>
          </w:tcPr>
          <w:p>
            <w:pPr>
              <w:ind w:left="200"/>
              <w:spacing w:after="0"/>
              <w:rPr>
                <w:sz w:val="20"/>
                <w:szCs w:val="20"/>
                <w:color w:val="auto"/>
              </w:rPr>
            </w:pPr>
            <w:r>
              <w:rPr>
                <w:rFonts w:ascii="Arial" w:cs="Arial" w:eastAsia="Arial" w:hAnsi="Arial"/>
                <w:sz w:val="18"/>
                <w:szCs w:val="18"/>
                <w:color w:val="auto"/>
              </w:rPr>
              <w:t>Acquired intangibles amortization</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(4.0 )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(42.1 %)</w:t>
            </w:r>
          </w:p>
        </w:tc>
      </w:tr>
      <w:tr>
        <w:trPr>
          <w:trHeight w:val="256"/>
        </w:trPr>
        <w:tc>
          <w:tcPr>
            <w:tcW w:w="452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4520" w:type="dxa"/>
            <w:vAlign w:val="bottom"/>
          </w:tcPr>
          <w:p>
            <w:pPr>
              <w:ind w:left="300"/>
              <w:spacing w:after="0"/>
              <w:rPr>
                <w:sz w:val="20"/>
                <w:szCs w:val="20"/>
                <w:color w:val="auto"/>
              </w:rPr>
            </w:pPr>
            <w:r>
              <w:rPr>
                <w:rFonts w:ascii="Arial" w:cs="Arial" w:eastAsia="Arial" w:hAnsi="Arial"/>
                <w:sz w:val="18"/>
                <w:szCs w:val="18"/>
                <w:color w:val="auto"/>
              </w:rPr>
              <w:t>Operating (loss) income</w:t>
            </w: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(131.4 %)</w:t>
            </w:r>
          </w:p>
        </w:tc>
      </w:tr>
      <w:tr>
        <w:trPr>
          <w:trHeight w:val="255"/>
        </w:trPr>
        <w:tc>
          <w:tcPr>
            <w:tcW w:w="45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820" w:type="dxa"/>
            <w:vAlign w:val="bottom"/>
          </w:tcPr>
          <w:p>
            <w:pPr>
              <w:spacing w:after="0"/>
              <w:rPr>
                <w:sz w:val="22"/>
                <w:szCs w:val="22"/>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(5.4 )</w:t>
            </w:r>
          </w:p>
        </w:tc>
        <w:tc>
          <w:tcPr>
            <w:tcW w:w="2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2100" w:type="dxa"/>
            <w:vAlign w:val="bottom"/>
            <w:gridSpan w:val="3"/>
          </w:tcPr>
          <w:p>
            <w:pPr>
              <w:jc w:val="right"/>
              <w:ind w:right="40"/>
              <w:spacing w:after="0"/>
              <w:rPr>
                <w:sz w:val="20"/>
                <w:szCs w:val="20"/>
                <w:color w:val="auto"/>
              </w:rPr>
            </w:pPr>
            <w:r>
              <w:rPr>
                <w:rFonts w:ascii="Arial" w:cs="Arial" w:eastAsia="Arial" w:hAnsi="Arial"/>
                <w:sz w:val="18"/>
                <w:szCs w:val="18"/>
                <w:color w:val="auto"/>
              </w:rPr>
              <w:t>34.9 %</w:t>
            </w:r>
          </w:p>
        </w:tc>
      </w:tr>
      <w:tr>
        <w:trPr>
          <w:trHeight w:val="224"/>
        </w:trPr>
        <w:tc>
          <w:tcPr>
            <w:tcW w:w="4520" w:type="dxa"/>
            <w:vAlign w:val="bottom"/>
          </w:tcPr>
          <w:p>
            <w:pPr>
              <w:ind w:left="200"/>
              <w:spacing w:after="0"/>
              <w:rPr>
                <w:sz w:val="20"/>
                <w:szCs w:val="20"/>
                <w:color w:val="auto"/>
              </w:rPr>
            </w:pPr>
            <w:r>
              <w:rPr>
                <w:rFonts w:ascii="Arial" w:cs="Arial" w:eastAsia="Arial" w:hAnsi="Arial"/>
                <w:sz w:val="18"/>
                <w:szCs w:val="18"/>
                <w:color w:val="auto"/>
              </w:rPr>
              <w:t>(Loss) income before provision for income taxes</w:t>
            </w:r>
          </w:p>
        </w:tc>
        <w:tc>
          <w:tcPr>
            <w:tcW w:w="8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(40.6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(139.2 %)</w:t>
            </w:r>
          </w:p>
        </w:tc>
      </w:tr>
      <w:tr>
        <w:trPr>
          <w:trHeight w:val="255"/>
        </w:trPr>
        <w:tc>
          <w:tcPr>
            <w:tcW w:w="4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(24.1 )</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(61.6 %)</w:t>
            </w:r>
          </w:p>
        </w:tc>
      </w:tr>
      <w:tr>
        <w:trPr>
          <w:trHeight w:val="236"/>
        </w:trPr>
        <w:tc>
          <w:tcPr>
            <w:tcW w:w="45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(55.6</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(186.1 %)</w:t>
            </w:r>
          </w:p>
        </w:tc>
      </w:tr>
      <w:tr>
        <w:trPr>
          <w:trHeight w:val="20"/>
        </w:trPr>
        <w:tc>
          <w:tcPr>
            <w:tcW w:w="4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-2884805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-2576830</wp:posOffset>
            </wp:positionV>
            <wp:extent cx="7132320" cy="796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796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-1626235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-1309370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-992505</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713232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7" w:name="page28"/>
    <w:bookmarkEnd w:id="27"/>
    <w:p>
      <w:pPr>
        <w:ind w:right="700" w:firstLine="509"/>
        <w:spacing w:after="0" w:line="258" w:lineRule="auto"/>
        <w:rPr>
          <w:sz w:val="20"/>
          <w:szCs w:val="20"/>
          <w:color w:val="auto"/>
        </w:rPr>
      </w:pPr>
      <w:r>
        <w:rPr>
          <w:rFonts w:ascii="Arial" w:cs="Arial" w:eastAsia="Arial" w:hAnsi="Arial"/>
          <w:sz w:val="18"/>
          <w:szCs w:val="18"/>
          <w:color w:val="auto"/>
        </w:rPr>
        <w:t>Certain of the data used in our condensed consolidated statements of operations presented here as a percentage of net revenue for the periods indicated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6040" w:type="dxa"/>
            <w:vAlign w:val="bottom"/>
          </w:tcPr>
          <w:p>
            <w:pPr>
              <w:spacing w:after="0"/>
              <w:rPr>
                <w:sz w:val="20"/>
                <w:szCs w:val="20"/>
                <w:color w:val="auto"/>
              </w:rPr>
            </w:pPr>
          </w:p>
        </w:tc>
        <w:tc>
          <w:tcPr>
            <w:tcW w:w="258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8"/>
              </w:rPr>
              <w:t>Point</w:t>
            </w:r>
          </w:p>
        </w:tc>
      </w:tr>
      <w:tr>
        <w:trPr>
          <w:trHeight w:val="256"/>
        </w:trPr>
        <w:tc>
          <w:tcPr>
            <w:tcW w:w="604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0"/>
              </w:rPr>
              <w:t>September</w:t>
            </w:r>
          </w:p>
        </w:tc>
        <w:tc>
          <w:tcPr>
            <w:tcW w:w="4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Increase/</w:t>
            </w:r>
          </w:p>
        </w:tc>
      </w:tr>
      <w:tr>
        <w:trPr>
          <w:trHeight w:val="232"/>
        </w:trPr>
        <w:tc>
          <w:tcPr>
            <w:tcW w:w="60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r>
      <w:tr>
        <w:trPr>
          <w:trHeight w:val="228"/>
        </w:trPr>
        <w:tc>
          <w:tcPr>
            <w:tcW w:w="6040" w:type="dxa"/>
            <w:vAlign w:val="bottom"/>
          </w:tcPr>
          <w:p>
            <w:pPr>
              <w:ind w:left="20"/>
              <w:spacing w:after="0"/>
              <w:rPr>
                <w:sz w:val="20"/>
                <w:szCs w:val="20"/>
                <w:color w:val="auto"/>
              </w:rPr>
            </w:pPr>
            <w:r>
              <w:rPr>
                <w:rFonts w:ascii="Arial" w:cs="Arial" w:eastAsia="Arial" w:hAnsi="Arial"/>
                <w:sz w:val="18"/>
                <w:szCs w:val="18"/>
                <w:color w:val="auto"/>
              </w:rPr>
              <w:t>Enterprise and Automotive product applications</w:t>
            </w: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Core IoT product applications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56"/>
        </w:trPr>
        <w:tc>
          <w:tcPr>
            <w:tcW w:w="6040" w:type="dxa"/>
            <w:vAlign w:val="bottom"/>
          </w:tcPr>
          <w:p>
            <w:pPr>
              <w:ind w:left="20"/>
              <w:spacing w:after="0"/>
              <w:rPr>
                <w:sz w:val="20"/>
                <w:szCs w:val="20"/>
                <w:color w:val="auto"/>
              </w:rPr>
            </w:pPr>
            <w:r>
              <w:rPr>
                <w:rFonts w:ascii="Arial" w:cs="Arial" w:eastAsia="Arial" w:hAnsi="Arial"/>
                <w:sz w:val="18"/>
                <w:szCs w:val="18"/>
                <w:color w:val="auto"/>
              </w:rPr>
              <w:t>Mobile product applications</w:t>
            </w:r>
          </w:p>
        </w:tc>
        <w:tc>
          <w:tcPr>
            <w:tcW w:w="8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10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9.7 %</w:t>
            </w:r>
          </w:p>
        </w:tc>
      </w:tr>
      <w:tr>
        <w:trPr>
          <w:trHeight w:val="20"/>
        </w:trPr>
        <w:tc>
          <w:tcPr>
            <w:tcW w:w="6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8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 xml:space="preserve">100.0 </w:t>
            </w:r>
            <w:r>
              <w:rPr>
                <w:rFonts w:ascii="Arial" w:cs="Arial" w:eastAsia="Arial" w:hAnsi="Arial"/>
                <w:sz w:val="18"/>
                <w:szCs w:val="18"/>
                <w:color w:val="auto"/>
                <w:highlight w:val="white"/>
                <w:w w:val="90"/>
              </w:rPr>
              <w:t>%</w:t>
            </w:r>
          </w:p>
        </w:tc>
        <w:tc>
          <w:tcPr>
            <w:tcW w:w="10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 xml:space="preserve">100.0 </w:t>
            </w:r>
            <w:r>
              <w:rPr>
                <w:rFonts w:ascii="Arial" w:cs="Arial" w:eastAsia="Arial" w:hAnsi="Arial"/>
                <w:sz w:val="18"/>
                <w:szCs w:val="18"/>
                <w:color w:val="auto"/>
                <w:highlight w:val="white"/>
                <w:w w:val="96"/>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8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24"/>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2"/>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16.4 %</w:t>
            </w:r>
          </w:p>
        </w:tc>
      </w:tr>
      <w:tr>
        <w:trPr>
          <w:trHeight w:val="243"/>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Acquired intangibles amortization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56"/>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Restructuring costs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24"/>
        </w:trPr>
        <w:tc>
          <w:tcPr>
            <w:tcW w:w="6040" w:type="dxa"/>
            <w:vAlign w:val="bottom"/>
          </w:tcPr>
          <w:p>
            <w:pPr>
              <w:ind w:left="300"/>
              <w:spacing w:after="0"/>
              <w:rPr>
                <w:sz w:val="20"/>
                <w:szCs w:val="20"/>
                <w:color w:val="auto"/>
              </w:rPr>
            </w:pPr>
            <w:r>
              <w:rPr>
                <w:rFonts w:ascii="Arial" w:cs="Arial" w:eastAsia="Arial" w:hAnsi="Arial"/>
                <w:sz w:val="18"/>
                <w:szCs w:val="18"/>
                <w:color w:val="auto"/>
              </w:rPr>
              <w:t>Operating (loss) income</w:t>
            </w: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(39.8 %)</w:t>
            </w:r>
          </w:p>
        </w:tc>
      </w:tr>
      <w:tr>
        <w:trPr>
          <w:trHeight w:val="242"/>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Interest and other expense, net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6920" w:type="dxa"/>
            <w:vAlign w:val="bottom"/>
            <w:gridSpan w:val="2"/>
          </w:tcPr>
          <w:p>
            <w:pPr>
              <w:ind w:left="200"/>
              <w:spacing w:after="0"/>
              <w:rPr>
                <w:sz w:val="20"/>
                <w:szCs w:val="20"/>
                <w:color w:val="auto"/>
              </w:rPr>
            </w:pPr>
            <w:r>
              <w:rPr>
                <w:rFonts w:ascii="Arial" w:cs="Arial" w:eastAsia="Arial" w:hAnsi="Arial"/>
                <w:sz w:val="18"/>
                <w:szCs w:val="18"/>
                <w:color w:val="auto"/>
              </w:rPr>
              <w:t>(Loss) income before provision for income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(17.1 %)</w:t>
            </w:r>
          </w:p>
        </w:tc>
        <w:tc>
          <w:tcPr>
            <w:tcW w:w="10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23.1 %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(40.2 %)</w:t>
            </w:r>
          </w:p>
        </w:tc>
      </w:tr>
      <w:tr>
        <w:trPr>
          <w:trHeight w:val="256"/>
        </w:trPr>
        <w:tc>
          <w:tcPr>
            <w:tcW w:w="6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10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8.7 %</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36"/>
        </w:trPr>
        <w:tc>
          <w:tcPr>
            <w:tcW w:w="60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8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(37.8 %)</w:t>
            </w:r>
          </w:p>
        </w:tc>
      </w:tr>
      <w:tr>
        <w:trPr>
          <w:trHeight w:val="20"/>
        </w:trPr>
        <w:tc>
          <w:tcPr>
            <w:tcW w:w="6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-2379980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-2071370</wp:posOffset>
            </wp:positionV>
            <wp:extent cx="713232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4711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revenue was $237.7 million for the three months ended September 2023, compared with $448.1 million for the three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2022, a decrease of $210.4 million, or 47.0%. Of this net revenue, $154.8 million, or 65.1%, was from Enterprise and Automotive product applications,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$44.4 million, or 18.7%, was from Mobile product applications, and $38.5 million, or 16.2%, was from Core IoT product applications. Revenue decreased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most of our product applications for the three months ended September 2023. Net revenue from Enterprise and Automotive product applications</w:t>
      </w:r>
    </w:p>
    <w:p>
      <w:pPr>
        <w:spacing w:after="0" w:line="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decreased as a result of lower average selling prices (which decreased 16.2%) due to product sales mix and a decrease in units sold (which decreased 37.3%). The decrease in revenue from Enterprise and Automotive product applications was partially offset by $27.0 million in revenue from a license of certain of our IP, or the IP license. Net revenue from Mobile product applications increased due to an increase in units sold (which increased 131.6%), as demand increased for our products in the mobile market, partially offset by a decrease in average selling prices (which decreased 52.3%) due to our product sales mix. Net revenue from Core IoT product applications decreased due to a decline in units sold (which decreased 70.7%) related to certain end customers' decline in demand and desire to reduce their inventory holdings, partially offset by an increase in average selling prices (which increased 15.7%) due to our product sales mix.</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margin as a percentage of net revenue was 45.1%, or $107.1 million, for the three months ended September 2023, compared with 57.1%,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$255.7 million, for the three months ended September 2022. The net 1,200 basis point decrease in gross margin for the three months ended September 2023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the excess obsolescence reserve during the first quarter of fiscal 2024 and an overall decline in average sales prices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across many of our product applications, partially offset by revenue from the IP license.</w:t>
      </w:r>
    </w:p>
    <w:p>
      <w:pPr>
        <w:spacing w:after="0" w:line="102"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accretive to our gross margin.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340" w:firstLine="509"/>
        <w:spacing w:after="0" w:line="256"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decreased $3.0 million to $86.5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2023, compared with $89.5 million for the three months ended September 2022. The decrease in research and development expenses was primarily driven by a $3.4 million decrease in variable compensation costs and a $2.5 million decrease in amortization of prepaid development costs that were fully amortized at the end of fiscal 2023, partially offset by an increase in product development spend of $2.0 million and the reflection of one additional week in the current period compared to the same period a year ago.</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8" w:name="page29"/>
    <w:bookmarkEnd w:id="28"/>
    <w:p>
      <w:pPr>
        <w:ind w:right="220" w:firstLine="509"/>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decreased $2.4 million to $42.3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2023, compared with $44.7 million for the three months ended September 2022. The decrease in selling, general, and administrative expenses primarily reflected a $1.7 million decrease in variable compensation and a $1.4 million favorable impact from exchange rates on foreign currencies, partially offset by a $1.2 million increase in professional services.</w:t>
      </w:r>
    </w:p>
    <w:p>
      <w:pPr>
        <w:spacing w:after="0" w:line="7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i w:val="1"/>
          <w:iCs w:val="1"/>
          <w:color w:val="auto"/>
        </w:rPr>
        <w:t>Acquired Intangibles Amortization</w:t>
      </w:r>
      <w:r>
        <w:rPr>
          <w:rFonts w:ascii="Arial" w:cs="Arial" w:eastAsia="Arial" w:hAnsi="Arial"/>
          <w:sz w:val="18"/>
          <w:szCs w:val="18"/>
          <w:color w:val="auto"/>
        </w:rPr>
        <w:t>. 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8. Acquired Intangibles and Goodwill to the condensed consolidated financial statements contained elsewhere in this Report.</w:t>
      </w:r>
    </w:p>
    <w:p>
      <w:pPr>
        <w:spacing w:after="0" w:line="7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and other expense, net, primarily includes interest on our debt, amortization of debt discount and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partially offset by interest income earned on our cash, cash equivalents and short-term investments. Interest and other expense, net, decreased by $2.9 million to $5.4 million for the three months ended September 2023, as compared to $8.3 million for the three months ended September 2022.</w:t>
      </w:r>
    </w:p>
    <w:p>
      <w:pPr>
        <w:spacing w:after="0" w:line="40"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Interest expense on the $600 million incremental Term Loan Facility increased by $4.9 million in the first quarter of fiscal 2024 compared to the same period a year ago, as the interest rate on the Term Loan Facility increased by 338 basis points period-over-period. The interest expense and amortization of debt issuance costs on the Term Loan Facility for the three months ended September 2023 and 2022 were $11.8 million and $6.9 million, respectively. The increase in interest expense was partially offset by an increase of $7.6 million in interest income compared to the same period a year ago and is due to the rise in interest rates period-over-period.</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We account for income taxes under the asset and liability method. The provision for income taxes recorded in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83"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See “Note 14. Income Taxes” in the Notes to the Unaudited Condensed Consolidated Financial Statements for additional information on our provision for income taxes.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09"/>
        <w:spacing w:after="0" w:line="307" w:lineRule="auto"/>
        <w:rPr>
          <w:sz w:val="20"/>
          <w:szCs w:val="20"/>
          <w:color w:val="auto"/>
        </w:rPr>
      </w:pPr>
      <w:r>
        <w:rPr>
          <w:rFonts w:ascii="Arial" w:cs="Arial" w:eastAsia="Arial" w:hAnsi="Arial"/>
          <w:sz w:val="17"/>
          <w:szCs w:val="17"/>
          <w:color w:val="auto"/>
        </w:rPr>
        <w:t>Our cash and cash equivalents were $801.3 million as of September 2023, compared with $924.7 million as of June 2023, representing a decrease of $123.4 million. The decrease is primarily related to a prepayment of intangible assets of $130.0 million paid to Broadcom.</w:t>
      </w:r>
    </w:p>
    <w:p>
      <w:pPr>
        <w:spacing w:after="0" w:line="39"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We consider almost all of the earnings of our foreign subsidiaries as not indefinitely invested overseas and have made appropriate provisions for income or withholding taxes that may result from a future repatriation of those earnings. As of September 2023, $765.0 million of cash, cash equivalents and short-term investments was held by our foreign subsidiaries. If these funds are needed for our operations in the United States, we would be able to repatriate substantially all of these funds without impacting our provision for income taxes.</w:t>
      </w:r>
    </w:p>
    <w:p>
      <w:pPr>
        <w:spacing w:after="0" w:line="6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Operating activities during the three months ended September 2023 generated $45.4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$78.5 million net cash generated during the three months ended September 2022. For the three months ended September 2023, the primary operating activities were adjustments for non-cash charges of $75.2 million and a net change in operating assets and liabilities of $25.8 million. The net change in operating assets and liabilities was primarily attributable to a $53.6 million decrease in accounts receivable primarily related to a decrease in sales and payment in advance from some of our customers, a $6.8 million decrease in inventories as we continue our efforts to control inventory spend while turning over the inventories we accumulated during the first half of fiscal 2023 and a $22.0 million decrease in accrued compensation primarily related to payment of our annual bonus in the first quarter of fiscal 2024, partially offset by a $16.7 million increase in accounts payable due to the timing of payments made to our vendors.</w:t>
      </w:r>
    </w:p>
    <w:p>
      <w:pPr>
        <w:spacing w:after="0" w:line="8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During the three months ended September 2023, our days sales outstanding was 42 days compared to 57 days at the same period a year ago. Our annual inventory turns decreased from four to three over the same time period.</w:t>
      </w:r>
    </w:p>
    <w:p>
      <w:pPr>
        <w:spacing w:after="0" w:line="62"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i w:val="1"/>
          <w:iCs w:val="1"/>
          <w:color w:val="auto"/>
        </w:rPr>
        <w:t>Cash Flows from Investing Activities</w:t>
      </w:r>
      <w:r>
        <w:rPr>
          <w:rFonts w:ascii="Arial" w:cs="Arial" w:eastAsia="Arial" w:hAnsi="Arial"/>
          <w:sz w:val="16"/>
          <w:szCs w:val="16"/>
          <w:color w:val="auto"/>
        </w:rPr>
        <w:t>. Cash used in investing activities during the three months ended September 2023 was $150.1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with cash provided by investing activities of $2.3 million during the three months ended September 2022. Net cash used in investing activities for the three months ended September 2023 consisted of $130.0 million paid to Broadcom as a prepayment to acquire developed technologies and to extend the exclusivity for certain products for an additional three-year period, $16.6 million to purchase short-term investments and $6.7 million for purchases of property and equipment, partially offset by $3.2 million in proceeds from the maturities of our short-term investments.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 w:firstLine="509"/>
        <w:spacing w:after="0" w:line="259"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Cash used in financing activities for the three months ended September 2023 was $18.1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$35.0 million used by financing activities for the three months ended September 2022. Net cash used by financing activities for the three months ended September 2023 consisted of $25.3 million used for payroll taxes on the delivery of the underlying shares for share-based awards, partially offset by $8.5 million proceeds from issuance of shares.</w:t>
      </w:r>
    </w:p>
    <w:p>
      <w:pPr>
        <w:spacing w:after="0" w:line="7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i w:val="1"/>
          <w:iCs w:val="1"/>
          <w:color w:val="auto"/>
        </w:rPr>
        <w:t>Common Stock Repurchase Program</w:t>
      </w:r>
      <w:r>
        <w:rPr>
          <w:rFonts w:ascii="Arial" w:cs="Arial" w:eastAsia="Arial" w:hAnsi="Arial"/>
          <w:sz w:val="16"/>
          <w:szCs w:val="16"/>
          <w:color w:val="auto"/>
        </w:rPr>
        <w:t>. As of April 2023, our board had cumulatively authorized $2.3 billion for our common stock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2023, we purchased, net of issuances for settlement of our convertible notes, 30,116,439 shares of our common stock in the open market for an aggregate cost of $878.0 million. During the three months ended September 2023, we did not repurchase shares of our common stock. As of September 2023, the remaining available authorization under our common stock repurchase program was $893.9 million.</w:t>
      </w:r>
    </w:p>
    <w:p>
      <w:pPr>
        <w:spacing w:after="0" w:line="5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i w:val="1"/>
          <w:iCs w:val="1"/>
          <w:color w:val="auto"/>
        </w:rPr>
        <w:t xml:space="preserve">Senior Notes. </w:t>
      </w:r>
      <w:r>
        <w:rPr>
          <w:rFonts w:ascii="Arial" w:cs="Arial" w:eastAsia="Arial" w:hAnsi="Arial"/>
          <w:sz w:val="17"/>
          <w:szCs w:val="17"/>
          <w:color w:val="auto"/>
        </w:rPr>
        <w:t>In March 2021, we completed an offering of $400.0 million aggregate principal amount of 4.0% senior notes due 2029, or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Notes, in a private offering. The Senior Notes were issued pursuant to an Indenture, dated as of March 11, 2021, by and among our company, the guarantors named therein and Wells Fargo Bank, National Association, as trustee. The Senior Notes requires bi-annual interest only payments in June and December of each year. For the three months ended September 2023, we did not pay any interest on the Senior Notes.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i w:val="1"/>
          <w:iCs w:val="1"/>
          <w:color w:val="auto"/>
        </w:rPr>
        <w:t>Bank Credit Facility</w:t>
      </w:r>
      <w:r>
        <w:rPr>
          <w:rFonts w:ascii="Arial" w:cs="Arial" w:eastAsia="Arial" w:hAnsi="Arial"/>
          <w:sz w:val="16"/>
          <w:szCs w:val="16"/>
          <w:color w:val="auto"/>
        </w:rPr>
        <w:t>. On March 16, 2023, we entered into the Second Amendment, and on July 28, 2023, we entered into the Third Amendment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Credit Agreement, dated March 11, 2021. The Second Amendment replaces the LIBOR-based interest rate applicable to borrowings under the Credit Agreement with SOFR-based interest rate</w:t>
      </w:r>
      <w:r>
        <w:rPr>
          <w:rFonts w:ascii="Arial" w:cs="Arial" w:eastAsia="Arial" w:hAnsi="Arial"/>
          <w:sz w:val="19"/>
          <w:szCs w:val="19"/>
          <w:color w:val="auto"/>
        </w:rPr>
        <w:t>.</w:t>
      </w:r>
      <w:r>
        <w:rPr>
          <w:rFonts w:ascii="Arial" w:cs="Arial" w:eastAsia="Arial" w:hAnsi="Arial"/>
          <w:sz w:val="16"/>
          <w:szCs w:val="16"/>
          <w:color w:val="auto"/>
        </w:rPr>
        <w:t xml:space="preserve"> The Third Amendment provides that the consolidated interest coverage ratio financial covenant only applies if, as of the last day of any fiscal quarter, our aggregate cash and cash equivalents balance is less than $450 million.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September 2023, there was no balance outstanding under the revolving credit facility.</w:t>
      </w:r>
    </w:p>
    <w:p>
      <w:pPr>
        <w:spacing w:after="0" w:line="62"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i w:val="1"/>
          <w:iCs w:val="1"/>
          <w:color w:val="auto"/>
        </w:rPr>
        <w:t>Term Loan Facility</w:t>
      </w:r>
      <w:r>
        <w:rPr>
          <w:rFonts w:ascii="Arial" w:cs="Arial" w:eastAsia="Arial" w:hAnsi="Arial"/>
          <w:sz w:val="16"/>
          <w:szCs w:val="16"/>
          <w:color w:val="auto"/>
        </w:rPr>
        <w:t>. In December 2021, we entered into that certain First Amendment and Lender Joinder Agreement to the Credit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For three months ended September 2023, we repaid $3.0 million of the principal outstanding on the Term Loan Facility.</w:t>
      </w:r>
    </w:p>
    <w:p>
      <w:pPr>
        <w:spacing w:after="0" w:line="52"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See “Note 12. Debt” in the Notes to the Unaudited Condensed Consolidated Financial Statements for additional information on our outstanding debt obligations.</w:t>
      </w:r>
    </w:p>
    <w:p>
      <w:pPr>
        <w:spacing w:after="0" w:line="6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i w:val="1"/>
          <w:iCs w:val="1"/>
          <w:color w:val="auto"/>
        </w:rPr>
        <w:t>$100 Million Shelf Registration</w:t>
      </w:r>
      <w:r>
        <w:rPr>
          <w:rFonts w:ascii="Arial" w:cs="Arial" w:eastAsia="Arial" w:hAnsi="Arial"/>
          <w:sz w:val="18"/>
          <w:szCs w:val="18"/>
          <w:color w:val="auto"/>
        </w:rPr>
        <w:t>. 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75"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i w:val="1"/>
          <w:iCs w:val="1"/>
          <w:color w:val="auto"/>
        </w:rPr>
        <w:t>Working Capital Needs</w:t>
      </w:r>
      <w:r>
        <w:rPr>
          <w:rFonts w:ascii="Arial" w:cs="Arial" w:eastAsia="Arial" w:hAnsi="Arial"/>
          <w:sz w:val="16"/>
          <w:szCs w:val="16"/>
          <w:color w:val="auto"/>
        </w:rPr>
        <w:t>. We believe our existing cash and cash equivalents, anticipated cash flows from operating activities, anticipated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58"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September 2023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1,313.5</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-187960</wp:posOffset>
            </wp:positionV>
            <wp:extent cx="7683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-187960</wp:posOffset>
            </wp:positionV>
            <wp:extent cx="685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ind w:left="1540" w:hanging="51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116" w:lineRule="exact"/>
        <w:rPr>
          <w:rFonts w:ascii="Arial" w:cs="Arial" w:eastAsia="Arial" w:hAnsi="Arial"/>
          <w:sz w:val="18"/>
          <w:szCs w:val="18"/>
          <w:color w:val="auto"/>
        </w:rPr>
      </w:pPr>
    </w:p>
    <w:p>
      <w:pPr>
        <w:ind w:left="520" w:right="240" w:firstLine="506"/>
        <w:spacing w:after="0" w:line="277" w:lineRule="auto"/>
        <w:tabs>
          <w:tab w:leader="none" w:pos="1537"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$39.3 million. As of September 2023, we were unable to make a reasonably reliable estimate of when cash settlement with a taxing authority may occur in connection with our gross unrecognized tax benefit.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40" w:firstLine="509"/>
        <w:spacing w:after="0" w:line="341" w:lineRule="auto"/>
        <w:rPr>
          <w:sz w:val="20"/>
          <w:szCs w:val="20"/>
          <w:color w:val="auto"/>
        </w:rPr>
      </w:pPr>
      <w:r>
        <w:rPr>
          <w:rFonts w:ascii="Arial" w:cs="Arial" w:eastAsia="Arial" w:hAnsi="Arial"/>
          <w:sz w:val="16"/>
          <w:szCs w:val="16"/>
          <w:color w:val="auto"/>
        </w:rPr>
        <w:t>Except as described below, as of September 30, 2023, our market risk related to interest rates on our cash and cash equivalents, and foreign currency exchange risks has not changed materially from the risks disclosed in Item 7A of our Annual Report on Form 10-K for the fiscal year ended June 24,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Debt</w:t>
      </w:r>
    </w:p>
    <w:p>
      <w:pPr>
        <w:spacing w:after="0" w:line="12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With our outstanding debt, we are exposed to various forms of market risk, including the potential losses arising from adverse changes in interest rates on our outstanding Term Loan Facility. See “Note 12. Debt” for further information.</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ultimate realized gain or loss with respect to interest rate fluctuations will depend on interest rates and the exposures that arise during the period. As an example, a hypothetical increase or decrease in the interest rate by 1% or 100 basis points, the quarterly interest expense would have increased or decreased by approximately $1.5 million based on the outstanding balance of our Term Loan as of September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Although many of the restrictions and containment measures implemented by governmental authorities in response to the COVID-19 pandemic have been lifted or scaled back, some of our employees continue to work from home, or on a hybrid basis. Established business continuity plans remain in place in order to mitigate the impact to our control environment, operating procedures, data, and internal controls. The design of our processes and controls allows for remote execution with accessibility to secure data.</w:t>
      </w:r>
    </w:p>
    <w:p>
      <w:pPr>
        <w:spacing w:after="0" w:line="77"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September 30, 2023,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assessed, with the participation of our Chief Executive Officer and Chief Financial Officer, any change in our internal control over financial reporting as of the end of the fiscal quarter covered by this Report.</w:t>
      </w:r>
    </w:p>
    <w:p>
      <w:pPr>
        <w:spacing w:after="0" w:line="62"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ended September 2023,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52525"/>
        </w:rPr>
        <w:t xml:space="preserve">Investing in our common stock involves a high degree of risk. You should carefully consider the risks and uncertainties described below and all information contained in this report before you decide to invest in our common stock. </w:t>
      </w:r>
      <w:r>
        <w:rPr>
          <w:rFonts w:ascii="Arial" w:cs="Arial" w:eastAsia="Arial" w:hAnsi="Arial"/>
          <w:sz w:val="18"/>
          <w:szCs w:val="18"/>
          <w:color w:val="000000"/>
        </w:rPr>
        <w:t>Our business, financial condition, results of operations or prospects</w:t>
      </w:r>
      <w:r>
        <w:rPr>
          <w:rFonts w:ascii="Arial" w:cs="Arial" w:eastAsia="Arial" w:hAnsi="Arial"/>
          <w:sz w:val="18"/>
          <w:szCs w:val="18"/>
          <w:color w:val="252525"/>
        </w:rPr>
        <w:t xml:space="preserve"> </w:t>
      </w:r>
      <w:r>
        <w:rPr>
          <w:rFonts w:ascii="Arial" w:cs="Arial" w:eastAsia="Arial" w:hAnsi="Arial"/>
          <w:sz w:val="18"/>
          <w:szCs w:val="18"/>
          <w:color w:val="000000"/>
        </w:rPr>
        <w:t xml:space="preserve">could also be harmed by risks and uncertainties not currently known to us or that we currently do not believe are material. If any of the risks actually occur, our business, financial condition, cash flows, liquidity and results of operations could adversely impact our business. In that event, the market price of our common stock could decline, and you could lose part or all of your investment. </w:t>
      </w:r>
      <w:r>
        <w:rPr>
          <w:rFonts w:ascii="Arial" w:cs="Arial" w:eastAsia="Arial" w:hAnsi="Arial"/>
          <w:sz w:val="18"/>
          <w:szCs w:val="18"/>
          <w:color w:val="252525"/>
        </w:rPr>
        <w:t>Therefore, you should not consider the following discussion to be a</w:t>
      </w:r>
      <w:r>
        <w:rPr>
          <w:rFonts w:ascii="Arial" w:cs="Arial" w:eastAsia="Arial" w:hAnsi="Arial"/>
          <w:sz w:val="18"/>
          <w:szCs w:val="18"/>
          <w:color w:val="000000"/>
        </w:rPr>
        <w:t xml:space="preserve"> </w:t>
      </w:r>
      <w:r>
        <w:rPr>
          <w:rFonts w:ascii="Arial" w:cs="Arial" w:eastAsia="Arial" w:hAnsi="Arial"/>
          <w:sz w:val="18"/>
          <w:szCs w:val="18"/>
          <w:color w:val="252525"/>
        </w:rPr>
        <w:t>complete statement of all the potential risks or uncertainties that we face.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 and Customers</w:t>
      </w:r>
    </w:p>
    <w:p>
      <w:pPr>
        <w:spacing w:after="0" w:line="200" w:lineRule="exact"/>
        <w:rPr>
          <w:sz w:val="20"/>
          <w:szCs w:val="20"/>
          <w:color w:val="auto"/>
        </w:rPr>
      </w:pPr>
    </w:p>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We currently depend on our solutions for the Core IoT, Enterprise and Automotive and Mobile product applications markets for a substantial portion of our revenue, and any downturn in sales of these products would adversely affect our business, revenue, operating results, and financial condition.</w:t>
      </w:r>
    </w:p>
    <w:p>
      <w:pPr>
        <w:spacing w:after="0" w:line="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currently depend on our solutions for the Core IoT, Enterprise and Automotive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two customers accounted for 29% of our net revenue in the first quarter of fiscal 2024. During the first quarter of fiscal 2024, we had five OEM customers that integrated our products into their products representing approximately 40%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7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recessions, inflation, stagflation and other macroeconomic conditions</w:t>
      </w:r>
    </w:p>
    <w:p>
      <w:pPr>
        <w:spacing w:after="0" w:line="22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Customer demand for our products may be impacted by weak macroeconomic conditions, inflation, stagflation, recessionary or lower-growth environments, rising interest rates, equity market volatility or other negative economic factors in the U.S. or other nations. For example, under these conditions or expectation of such conditions, our customers may cancel orders, delay purchasing decisions or reduce their use of our services. In addition, these economic conditions could result in higher inventory levels and the possibility of resulting excess capacity charges from our manufacturing partners if we need to slow production to reduce inventory levels. Further, in the event of a recession or threat of a recession, our manufacturing partners, suppliers, distributors, and other third-party partners may suffer their own financial and economic challenges, and as a result they may demand pricing accommodations, delay payment, or become insolvent, which could harm our ability to meet our customer demands or collect revenue or otherwise harm our business. Similarly, disruptions in financial and/or credit markets may impact our ability to manage normal commercial relationships with our manufacturing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partners, customers, suppliers and creditors and might prevent us from accessing preferred sources of liquidity, and causing our borrowing costs to potentially increase. Thus, if general macroeconomic conditions, conditions in the semiconductor industry, or conditions in our customer end markets continue to deteriorate or experience a sustained period of weakness or slower growth, our business and financial results could be materially and adversely affected.</w:t>
      </w:r>
    </w:p>
    <w:p>
      <w:pPr>
        <w:spacing w:after="0" w:line="18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we are subject to risk from inflation and increasing market prices of certain components and supplies, which are incorporated into our end products or used by our manufacturing partners or suppliers to manufacture our end products. These components and supplies have, from time-to-time, become restricted. Additionally, general market factors and conditions have in the past, and may in the future, affect pricing of such components and supplies (such as inflation or supply chain constraints). See also, “Our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for other reasons.”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cannot assure you that our product solutions for new markets will be successful or that we will be able to continue to generate significant revenue from these markets.</w:t>
      </w:r>
    </w:p>
    <w:p>
      <w:pPr>
        <w:spacing w:after="0" w:line="5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product solutions may not be successful in new markets. Various target markets for our product solutions, such as Core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1"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6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5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Core IoT market, or our failure to establish and maintain relationships with OEMs in those markets, would prevent our business from growing in those markets.</w:t>
      </w:r>
    </w:p>
    <w:p>
      <w:pPr>
        <w:spacing w:after="0" w:line="289" w:lineRule="exact"/>
        <w:rPr>
          <w:sz w:val="20"/>
          <w:szCs w:val="20"/>
          <w:color w:val="auto"/>
        </w:rPr>
      </w:pPr>
    </w:p>
    <w:p>
      <w:pPr>
        <w:jc w:val="both"/>
        <w:ind w:right="360"/>
        <w:spacing w:after="0" w:line="265" w:lineRule="auto"/>
        <w:rPr>
          <w:sz w:val="20"/>
          <w:szCs w:val="20"/>
          <w:color w:val="auto"/>
        </w:rPr>
      </w:pPr>
      <w:r>
        <w:rPr>
          <w:rFonts w:ascii="Arial" w:cs="Arial" w:eastAsia="Arial" w:hAnsi="Arial"/>
          <w:sz w:val="18"/>
          <w:szCs w:val="18"/>
          <w:b w:val="1"/>
          <w:bCs w:val="1"/>
          <w:color w:val="auto"/>
        </w:rPr>
        <w:t>Our gross margin and results of operations may be adversely affected in the future by a number of factors, including decreases in our average selling prices of products over time, shifts in our product mix, or price increases of certain components or third-party services due to inflation, supply chain constraints, or other reasons.</w:t>
      </w:r>
    </w:p>
    <w:p>
      <w:pPr>
        <w:spacing w:after="0" w:line="18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expect that the average unit selling prices of our products will continue to be subject to significant pricing pressures. In addition, our more recently introduced products tend to have higher associated costs because of initial overall development and production expenses. Therefore, over time, we may not be able to maintain or improve our gross margins. Our financial results could suffer if we are unable to offset any reductions in our average selling prices by other cost reductions through efficiencies, introduction of higher margin products and other means.</w:t>
      </w:r>
    </w:p>
    <w:p>
      <w:pPr>
        <w:spacing w:after="0" w:line="1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To attract new customers or retain existing customers, we may offer certain price concessions to certain customers, which could cause our average selling prices and gross margins to decline. In the past, we have reduced the average selling prices of our products in anticipation of future competitive pricing pressures, new product introductions by us or by our competitors and other factors. We expect to continue to have to reduce prices of existing products in the future. Moreover, because of the wide price differences across the markets we serve, the mix and types of performance capabilities of our products sold may affect the average selling prices of our products and have a substantial impact on our revenue and gross margin. We may enter new markets in which a significant amount of competition exists, and this may require us to sell our products with lower gross margins than we earn in our established businesses. If we are successful in growing revenue in these markets, our overall gross margin may decline. Fluctuations in the mix and types of our products may also affect the extent to which we are able to recover the fixed costs and investments associated with a particular product, and as a result may harm our financial results.</w:t>
      </w:r>
    </w:p>
    <w:p>
      <w:pPr>
        <w:spacing w:after="0" w:line="17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Additionally, because we do not operate our own manufacturing, assembly, testing or packaging facilities, we are not able to reduce our costs as rapidly as companies that operate their own facilities and our costs may even increase, which could also reduce our gross margins. Our gross margin could also be impacted, for example, by the following factors: increased costs (including increased costs caused by tariffs, inflation, higher interest rates, or supply chain constraints); loss of cost savings if parts ordering does not correctly anticipate product demand or if the financial health of either our manufacturers partners or our suppliers deteriorates; excess inventory, or inventory holding and obsolescence charges. In addition, we are subject to risks from fluctuating market prices of certain components, which are incorporated into our products or used by our suppliers to manufacture our products. Supplies of these components may from time-to-time become restricted, or general market factors and conditions such as inflation or supply chain constraints have in the past affected and may in the future affect pricing of such commodities. Any increase in the price of components used in our products will adversely affect our gross margins.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are subject to order and shipment uncertainties. If we are unable to accurately predict customer demand, we may hold excess or obsolete inventory, which would reduce our gross margin. Conversely, we may have insufficient inventory or be unable to obtain the supplies or contract manufacturing capacity to meet that demand, which would result in lost revenue opportunities and potential loss of market share as well as damaged customer relationships.</w:t>
      </w:r>
    </w:p>
    <w:p>
      <w:pPr>
        <w:spacing w:after="0" w:line="18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typically sell products pursuant to purchase orders rather than long-term purchase commitments. Some of our customers have, and others may in the future, cancel or defer purchase orders on short notice without incurring a significant penalty. In addition, customers who have purchase commitments may not honor those commitments. Due to their inability to predict demand or other reasons during our fiscal 2024, some of our customers have accumulated excess inventories and, as a consequence, they either have deferred or they may defer future purchases of our products. We cannot accurately predict what or how many products our customers will need in the future. Anticipating demand is difficult because our customers face unpredictable demand for their own products and are increasingly focused more on cash preservation and tighter inventory management.</w:t>
      </w:r>
    </w:p>
    <w:p>
      <w:pPr>
        <w:spacing w:after="0" w:line="1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place orders with our suppliers based on forecasts of customer demand and, in some instances, may establish buffer inventories to accommodate anticipated demand. Our forecasts are based on multiple assumptions, each of which may introduce error into our estimates. For example, our ability to accurately forecast customer demand may be impaired by the delays inherent in our customer’s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product development processes, which may include extensive qualification and testing of components included in their products, including ours. In many cases, they design their products to use components from multiple suppliers. This creates the risk that our customers may decide to cancel or change product plans for products incorporating our semiconductor solutions prior to completion, which makes it even more difficult to forecast customer demand. In addition, while many of our customers are subject to purchase orders or other agreements that do not allow for cancellation, there can be no assurance that these customers will honor these contract terms and cancellation of these orders may adversely affect our business operations and demand forecast which is the basis for us to have products made.</w:t>
      </w:r>
    </w:p>
    <w:p>
      <w:pPr>
        <w:spacing w:after="0" w:line="19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products are incorporated into complex devices and systems, which creates supply chain cross-dependencies. Due to cross dependencies, supply chain disruptions have in the past, and may in the future, negatively impact the demand for our products. We have a limited ability to predict the timing of a supply chain correction. If we cannot predict future customer demand or supply chain disruptions, then we may hold excess or obsolete inventory. Moreover, significant supply chain disruption may negatively impact the timing of our product shipments and revenue shipment linearity, which may impact and extend our cash conversion cycle. In addition, the market share of our customers could be adversely impacted on a long-term basis due to any continued supply chain disruption, which could negatively affect our results of operations.</w:t>
      </w:r>
    </w:p>
    <w:p>
      <w:pPr>
        <w:spacing w:after="0" w:line="17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overestimate customer demand, our excess or obsolete inventory may increase significantly, which would reduce our gross margin and adversely affect our financial results. The risk of obsolescence and/or excess inventory is heightened for semiconductor solutions due to the rapidly changing market for these types of products. Conversely, if we underestimate customer demand or if insufficient manufacturing capacity is available, we would miss revenue opportunities and potentially lose market share and damage our customer relationships. In addition, any future significant cancellations or deferrals of product orders, or the return of previously sold products, could materially and adversely affect our profit margins, increase product obsolescence and restrict our ability to fund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Supply Chain</w:t>
      </w:r>
    </w:p>
    <w:p>
      <w:pPr>
        <w:spacing w:after="0" w:line="225"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1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Product Development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5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keep pace with technological innovations, our products may not remain competitive and our revenue and operating results may suffer.</w:t>
      </w:r>
    </w:p>
    <w:p>
      <w:pPr>
        <w:spacing w:after="0" w:line="14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jc w:val="both"/>
        <w:ind w:firstLine="509"/>
        <w:spacing w:after="0" w:line="263"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5"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solutions.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in Israel may materially and adversely affect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have employees located in Israel. As a result, political, economic and military conditions in Israel may directly affect our business. In October 2023, Hamas conducted several terrorist attacks in Israel resulting in ongoing war across the country, forcing the closure of our offices in Israel for several days. Any armed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stockholders that this coverage will be maintained or will be adequate in the event we submit a claim.</w:t>
      </w:r>
    </w:p>
    <w:p>
      <w:pPr>
        <w:spacing w:after="0" w:line="83" w:lineRule="exact"/>
        <w:rPr>
          <w:sz w:val="20"/>
          <w:szCs w:val="20"/>
          <w:color w:val="auto"/>
        </w:rPr>
      </w:pPr>
    </w:p>
    <w:p>
      <w:pPr>
        <w:jc w:val="both"/>
        <w:ind w:firstLine="579"/>
        <w:spacing w:after="0" w:line="254" w:lineRule="auto"/>
        <w:rPr>
          <w:sz w:val="20"/>
          <w:szCs w:val="20"/>
          <w:color w:val="auto"/>
        </w:rPr>
      </w:pPr>
      <w:r>
        <w:rPr>
          <w:rFonts w:ascii="Arial" w:cs="Arial" w:eastAsia="Arial" w:hAnsi="Arial"/>
          <w:sz w:val="18"/>
          <w:szCs w:val="18"/>
          <w:color w:val="auto"/>
        </w:rPr>
        <w:t>Our operations could also be disrupted by the absence for significant periods of one or more key employees or a significant number of other employees because of military service. Some of our employees in Israel are obliged to perform military reserve duty, and in certain emergency circumstances, employees may be called to immediate and unlimited active duty. In response to the terrorist attacks in October 2023, a number of our employees in Israel have been activated for military duty and additional employees may be activated if the war in Israel continues. While we have business continuity plans in place to address the safety of our employees and to continue product development in the event of reduced employee availability in the region during the war, any of the foregoing circumstances could have a material adverse effect on our business, results of operations, financial condition, cash flows and prospects.</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develop complex products in an evolving marketplace and generally warrant our products for a period of 12 months from the date of delivery. Despite testing by us and our customers, defects may be found in existing or new products. We handle product quality matters sustainably by working on a one-on-one basis with our customers. We have never formally recalled a product or had a mass defect that affected an entire product line. Nevertheless,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From time-to-time, we may seek additional equity or debt financing to provide for funds required to expand our business, including through acquisitions. We cannot predict the timing or amount of any such requirements at this time. If such financing is not available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International Sales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8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7"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5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62"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environmental laws and regulations, including in response to climate change;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w:t>
      </w:r>
    </w:p>
    <w:p>
      <w:pPr>
        <w:spacing w:after="0" w:line="18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Employees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33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protect our proprietary technology and confidential information through the use of patents, trade secrets, trademarks, copyrights,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6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may pursue, and from time-to-time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55"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 Any breach or violation of the terms and conditions specified in these license agreements could have significant adverse consequences on our operations and financial performance and may result in legal action, monetary penalties, or the termination of the license, which would impact our ability to offer certain products or services</w:t>
      </w:r>
      <w:r>
        <w:rPr>
          <w:rFonts w:ascii="Arial" w:cs="Arial" w:eastAsia="Arial" w:hAnsi="Arial"/>
          <w:sz w:val="14"/>
          <w:szCs w:val="14"/>
          <w:color w:val="auto"/>
        </w:rPr>
        <w:t>.</w:t>
      </w:r>
    </w:p>
    <w:p>
      <w:pPr>
        <w:spacing w:after="0" w:line="1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results. If we make any future acquisitions, we could issue stock that would dilute existing stockholders' percentage ownership, incur substantial debt, assume contingent liabilities, or experience higher operating expenses.</w:t>
      </w:r>
    </w:p>
    <w:p>
      <w:pPr>
        <w:spacing w:after="0" w:line="16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13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Risks Factors Related to Our Indebtedness</w:t>
      </w:r>
    </w:p>
    <w:p>
      <w:pPr>
        <w:spacing w:after="0" w:line="225"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time-to-time.</w:t>
      </w:r>
    </w:p>
    <w:p>
      <w:pPr>
        <w:spacing w:after="0" w:line="1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time-to-time;</w:t>
      </w:r>
    </w:p>
    <w:p>
      <w:pPr>
        <w:spacing w:after="0" w:line="61"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74"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1"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1"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09"/>
        <w:spacing w:after="0" w:line="341"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9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75"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connection with the expansion and diversification of our product and customer base, we may increase our personnel and make other expenditures to meet demand for our expanding product offerings, including offerings in the Core IoT market, the Enterprise and Automotive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22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17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governmental laws, regulations and other legal obligations related to privacy and data protection.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firstLine="509"/>
        <w:spacing w:after="0" w:line="270" w:lineRule="auto"/>
        <w:rPr>
          <w:sz w:val="20"/>
          <w:szCs w:val="20"/>
          <w:color w:val="auto"/>
        </w:rPr>
      </w:pPr>
      <w:r>
        <w:rPr>
          <w:rFonts w:ascii="Arial" w:cs="Arial" w:eastAsia="Arial" w:hAnsi="Arial"/>
          <w:sz w:val="17"/>
          <w:szCs w:val="17"/>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third-party to acquire us and discourage a takeover.</w:t>
      </w:r>
    </w:p>
    <w:p>
      <w:pPr>
        <w:spacing w:after="0" w:line="12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16"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6" w:lineRule="exact"/>
        <w:rPr>
          <w:rFonts w:ascii="Arial" w:cs="Arial" w:eastAsia="Arial" w:hAnsi="Arial"/>
          <w:sz w:val="18"/>
          <w:szCs w:val="18"/>
          <w:color w:val="auto"/>
        </w:rPr>
      </w:pPr>
    </w:p>
    <w:p>
      <w:pPr>
        <w:ind w:left="1020" w:hanging="503"/>
        <w:spacing w:after="0" w:line="307"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4080"/>
        <w:spacing w:after="0" w:line="377"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From April 2005 through April 2023, our Board of Directors cumulatively authorized the repurchase of up to $2.3 billion of our common stock under our stock repurchase program, which will expire at the end of July 2025. As of September 2023, the remaining amount authorized for the repurchase of our common stock was $893.9 million. During the three months ended September 2023, we did not repurchase any shares under our common stock repurchase program.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21" w:lineRule="exact"/>
        <w:rPr>
          <w:sz w:val="20"/>
          <w:szCs w:val="20"/>
          <w:color w:val="auto"/>
        </w:rPr>
      </w:pPr>
    </w:p>
    <w:p>
      <w:pPr>
        <w:ind w:right="280" w:firstLine="554"/>
        <w:spacing w:after="0" w:line="263" w:lineRule="auto"/>
        <w:rPr>
          <w:sz w:val="20"/>
          <w:szCs w:val="20"/>
          <w:color w:val="auto"/>
        </w:rPr>
      </w:pPr>
      <w:r>
        <w:rPr>
          <w:rFonts w:ascii="Arial" w:cs="Arial" w:eastAsia="Arial" w:hAnsi="Arial"/>
          <w:sz w:val="18"/>
          <w:szCs w:val="18"/>
          <w:color w:val="auto"/>
        </w:rPr>
        <w:t>During the fiscal quarter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 except as described below:</w:t>
      </w:r>
    </w:p>
    <w:p>
      <w:pPr>
        <w:spacing w:after="0" w:line="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On July 20, 2023, Dean Butler, our Senior Vice President and Chief Financial Officer, terminated his 10b5-1 trading arrangement (as such term is defined in Item 408 of Regulation S-K) intended to satisfy the affirmative defense of Rule 10b5-1(c) originally adopted on August 24, 2022, for the sale of up to 14,659 shares of the Company’s common stock until August 24, 2023, of which 1,443 shares remain unsold at the date his 10b5-1 arrangement was terminated.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040" w:type="dxa"/>
            <w:vAlign w:val="bottom"/>
            <w:gridSpan w:val="8"/>
          </w:tcPr>
          <w:p>
            <w:pPr>
              <w:spacing w:after="0"/>
              <w:rPr>
                <w:rFonts w:ascii="Arial" w:cs="Arial" w:eastAsia="Arial" w:hAnsi="Arial"/>
                <w:sz w:val="18"/>
                <w:szCs w:val="18"/>
                <w:color w:val="0000FF"/>
                <w:w w:val="90"/>
              </w:rPr>
            </w:pPr>
            <w:hyperlink r:id="rId244">
              <w:r>
                <w:rPr>
                  <w:rFonts w:ascii="Arial" w:cs="Arial" w:eastAsia="Arial" w:hAnsi="Arial"/>
                  <w:sz w:val="18"/>
                  <w:szCs w:val="18"/>
                  <w:color w:val="0000FF"/>
                  <w:w w:val="90"/>
                </w:rPr>
                <w:t>Synaptics Incorporated Amended and Restated Certificate of Incorporation (incorporated by reference to the registrant's Current Report on</w:t>
              </w:r>
            </w:hyperlink>
          </w:p>
        </w:tc>
      </w:tr>
      <w:tr>
        <w:trPr>
          <w:trHeight w:val="20"/>
        </w:trPr>
        <w:tc>
          <w:tcPr>
            <w:tcW w:w="1160" w:type="dxa"/>
            <w:vAlign w:val="bottom"/>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rPr>
            </w:pPr>
            <w:hyperlink r:id="rId244">
              <w:r>
                <w:rPr>
                  <w:rFonts w:ascii="Arial" w:cs="Arial" w:eastAsia="Arial" w:hAnsi="Arial"/>
                  <w:sz w:val="18"/>
                  <w:szCs w:val="18"/>
                  <w:color w:val="0000FF"/>
                </w:rPr>
                <w:t>Form 8-K as filed with the SEC on October 26,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20" w:type="dxa"/>
            <w:vAlign w:val="bottom"/>
            <w:tcBorders>
              <w:left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gridSpan w:val="8"/>
          </w:tcPr>
          <w:p>
            <w:pPr>
              <w:spacing w:after="0"/>
              <w:rPr>
                <w:rFonts w:ascii="Arial" w:cs="Arial" w:eastAsia="Arial" w:hAnsi="Arial"/>
                <w:sz w:val="18"/>
                <w:szCs w:val="18"/>
                <w:color w:val="0000FF"/>
                <w:w w:val="90"/>
              </w:rPr>
            </w:pPr>
            <w:hyperlink r:id="rId245">
              <w:r>
                <w:rPr>
                  <w:rFonts w:ascii="Arial" w:cs="Arial" w:eastAsia="Arial" w:hAnsi="Arial"/>
                  <w:sz w:val="18"/>
                  <w:szCs w:val="18"/>
                  <w:color w:val="0000FF"/>
                  <w:w w:val="90"/>
                </w:rPr>
                <w:t>Synaptics Incorporated Amended and Restated 2019 Equity and Incentive Compensation Plan, effective October 24, 2023 (incorporated by</w:t>
              </w:r>
            </w:hyperlink>
          </w:p>
        </w:tc>
      </w:tr>
      <w:tr>
        <w:trPr>
          <w:trHeight w:val="20"/>
        </w:trPr>
        <w:tc>
          <w:tcPr>
            <w:tcW w:w="1160" w:type="dxa"/>
            <w:vAlign w:val="bottom"/>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rPr>
            </w:pPr>
            <w:hyperlink r:id="rId245">
              <w:r>
                <w:rPr>
                  <w:rFonts w:ascii="Arial" w:cs="Arial" w:eastAsia="Arial" w:hAnsi="Arial"/>
                  <w:sz w:val="18"/>
                  <w:szCs w:val="18"/>
                  <w:color w:val="0000FF"/>
                </w:rPr>
                <w:t>reference to the registrant’s Current Report on Form 8-K as filed with the SEC on October 26,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gridSpan w:val="8"/>
          </w:tcPr>
          <w:p>
            <w:pPr>
              <w:spacing w:after="0"/>
              <w:rPr>
                <w:rFonts w:ascii="Arial" w:cs="Arial" w:eastAsia="Arial" w:hAnsi="Arial"/>
                <w:sz w:val="18"/>
                <w:szCs w:val="18"/>
                <w:color w:val="0000FF"/>
                <w:w w:val="98"/>
              </w:rPr>
            </w:pPr>
            <w:hyperlink r:id="rId246">
              <w:r>
                <w:rPr>
                  <w:rFonts w:ascii="Arial" w:cs="Arial" w:eastAsia="Arial" w:hAnsi="Arial"/>
                  <w:sz w:val="18"/>
                  <w:szCs w:val="18"/>
                  <w:color w:val="0000FF"/>
                  <w:w w:val="98"/>
                </w:rPr>
                <w:t>Third Amendment to the Second Amended and Restated Credit Agreement, dated as of July 28, 2023, by and among Synaptics</w:t>
              </w:r>
            </w:hyperlink>
          </w:p>
        </w:tc>
      </w:tr>
      <w:tr>
        <w:trPr>
          <w:trHeight w:val="20"/>
        </w:trPr>
        <w:tc>
          <w:tcPr>
            <w:tcW w:w="1160" w:type="dxa"/>
            <w:vAlign w:val="bottom"/>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w w:val="99"/>
              </w:rPr>
            </w:pPr>
            <w:hyperlink r:id="rId246">
              <w:r>
                <w:rPr>
                  <w:rFonts w:ascii="Arial" w:cs="Arial" w:eastAsia="Arial" w:hAnsi="Arial"/>
                  <w:sz w:val="18"/>
                  <w:szCs w:val="18"/>
                  <w:color w:val="0000FF"/>
                  <w:w w:val="99"/>
                </w:rPr>
                <w:t>Incorporated, the Revolving Credit Lenders party thereto, and Wells Fargo Bank, National Association, as Administrative Agent</w:t>
              </w:r>
            </w:hyperlink>
          </w:p>
        </w:tc>
      </w:tr>
      <w:tr>
        <w:trPr>
          <w:trHeight w:val="20"/>
        </w:trPr>
        <w:tc>
          <w:tcPr>
            <w:tcW w:w="1160" w:type="dxa"/>
            <w:vAlign w:val="bottom"/>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8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rPr>
            </w:pPr>
            <w:hyperlink r:id="rId246">
              <w:r>
                <w:rPr>
                  <w:rFonts w:ascii="Arial" w:cs="Arial" w:eastAsia="Arial" w:hAnsi="Arial"/>
                  <w:sz w:val="18"/>
                  <w:szCs w:val="18"/>
                  <w:color w:val="0000FF"/>
                </w:rPr>
                <w:t>(incorporated by reference to the registrant’s Current Report on Form 8-K as filed with the SEC on August 3,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8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gridSpan w:val="8"/>
          </w:tcPr>
          <w:p>
            <w:pPr>
              <w:spacing w:after="0"/>
              <w:rPr>
                <w:sz w:val="20"/>
                <w:szCs w:val="20"/>
                <w:color w:val="auto"/>
              </w:rPr>
            </w:pPr>
            <w:r>
              <w:rPr>
                <w:rFonts w:ascii="Arial" w:cs="Arial" w:eastAsia="Arial" w:hAnsi="Arial"/>
                <w:sz w:val="18"/>
                <w:szCs w:val="18"/>
                <w:color w:val="0000FF"/>
              </w:rPr>
              <w:t>Section 1350 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2"/>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8"/>
          </w:tcPr>
          <w:p>
            <w:pPr>
              <w:spacing w:after="0"/>
              <w:rPr>
                <w:sz w:val="20"/>
                <w:szCs w:val="20"/>
                <w:color w:val="auto"/>
              </w:rPr>
            </w:pPr>
            <w:r>
              <w:rPr>
                <w:rFonts w:ascii="Arial" w:cs="Arial" w:eastAsia="Arial" w:hAnsi="Arial"/>
                <w:sz w:val="18"/>
                <w:szCs w:val="18"/>
                <w:color w:val="0000FF"/>
              </w:rPr>
              <w:t>Section 1350 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2"/>
            <w:shd w:val="clear" w:color="auto" w:fill="0000FF"/>
          </w:tcPr>
          <w:p>
            <w:pPr>
              <w:spacing w:after="0" w:line="20" w:lineRule="exact"/>
              <w:rPr>
                <w:sz w:val="1"/>
                <w:szCs w:val="1"/>
                <w:color w:val="auto"/>
              </w:rPr>
            </w:pPr>
          </w:p>
        </w:tc>
        <w:tc>
          <w:tcPr>
            <w:tcW w:w="6240" w:type="dxa"/>
            <w:vAlign w:val="bottom"/>
            <w:gridSpan w:val="6"/>
          </w:tcPr>
          <w:p>
            <w:pPr>
              <w:spacing w:after="0" w:line="20" w:lineRule="exact"/>
              <w:rPr>
                <w:sz w:val="1"/>
                <w:szCs w:val="1"/>
                <w:color w:val="auto"/>
              </w:rPr>
            </w:pPr>
          </w:p>
        </w:tc>
      </w:tr>
      <w:tr>
        <w:trPr>
          <w:trHeight w:val="397"/>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8"/>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004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2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61" w:lineRule="exact"/>
        <w:rPr>
          <w:sz w:val="20"/>
          <w:szCs w:val="20"/>
          <w:color w:val="auto"/>
        </w:rPr>
      </w:pPr>
    </w:p>
    <w:p>
      <w:pPr>
        <w:ind w:left="1160" w:right="240" w:hanging="1139"/>
        <w:spacing w:after="0" w:line="277"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85" w:lineRule="exact"/>
        <w:rPr>
          <w:rFonts w:ascii="Arial" w:cs="Arial" w:eastAsia="Arial" w:hAnsi="Arial"/>
          <w:sz w:val="18"/>
          <w:szCs w:val="18"/>
          <w:color w:val="auto"/>
        </w:rPr>
      </w:pPr>
    </w:p>
    <w:p>
      <w:pPr>
        <w:ind w:left="520" w:hanging="509"/>
        <w:spacing w:after="0" w:line="277" w:lineRule="auto"/>
        <w:rPr>
          <w:rFonts w:ascii="Arial" w:cs="Arial" w:eastAsia="Arial" w:hAnsi="Arial"/>
          <w:sz w:val="18"/>
          <w:szCs w:val="18"/>
          <w:color w:val="auto"/>
        </w:rPr>
      </w:pPr>
      <w:r>
        <w:rPr>
          <w:rFonts w:ascii="Arial" w:cs="Arial" w:eastAsia="Arial" w:hAnsi="Arial"/>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14300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2820"/>
              <w:spacing w:after="0"/>
              <w:rPr>
                <w:sz w:val="20"/>
                <w:szCs w:val="20"/>
                <w:color w:val="auto"/>
              </w:rPr>
            </w:pPr>
            <w:r>
              <w:rPr>
                <w:rFonts w:ascii="Arial" w:cs="Arial" w:eastAsia="Arial" w:hAnsi="Arial"/>
                <w:sz w:val="18"/>
                <w:szCs w:val="18"/>
                <w:b w:val="1"/>
                <w:bCs w:val="1"/>
                <w:color w:val="auto"/>
              </w:rPr>
              <w:t>SYNAPTICS INCORPORATED</w:t>
            </w:r>
          </w:p>
        </w:tc>
      </w:tr>
      <w:tr>
        <w:trPr>
          <w:trHeight w:val="499"/>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E. Hurlston</w:t>
            </w:r>
          </w:p>
        </w:tc>
      </w:tr>
      <w:tr>
        <w:trPr>
          <w:trHeight w:val="208"/>
        </w:trPr>
        <w:tc>
          <w:tcPr>
            <w:tcW w:w="3680" w:type="dxa"/>
            <w:vAlign w:val="bottom"/>
          </w:tcPr>
          <w:p>
            <w:pPr>
              <w:spacing w:after="0"/>
              <w:rPr>
                <w:sz w:val="18"/>
                <w:szCs w:val="18"/>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Michael E. Hurlston</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715"/>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 Butler</w:t>
            </w:r>
          </w:p>
        </w:tc>
      </w:tr>
      <w:tr>
        <w:trPr>
          <w:trHeight w:val="208"/>
        </w:trPr>
        <w:tc>
          <w:tcPr>
            <w:tcW w:w="3680" w:type="dxa"/>
            <w:vAlign w:val="bottom"/>
          </w:tcPr>
          <w:p>
            <w:pPr>
              <w:spacing w:after="0"/>
              <w:rPr>
                <w:sz w:val="18"/>
                <w:szCs w:val="18"/>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Dean Butler</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472"/>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9, 2023</w:t>
            </w:r>
          </w:p>
        </w:tc>
        <w:tc>
          <w:tcPr>
            <w:tcW w:w="3480" w:type="dxa"/>
            <w:vAlign w:val="bottom"/>
          </w:tcPr>
          <w:p>
            <w:pPr>
              <w:ind w:left="28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Kermit Nolan</w:t>
            </w:r>
          </w:p>
        </w:tc>
      </w:tr>
      <w:tr>
        <w:trPr>
          <w:trHeight w:val="208"/>
        </w:trPr>
        <w:tc>
          <w:tcPr>
            <w:tcW w:w="3680" w:type="dxa"/>
            <w:vAlign w:val="bottom"/>
          </w:tcPr>
          <w:p>
            <w:pPr>
              <w:spacing w:after="0"/>
              <w:rPr>
                <w:sz w:val="18"/>
                <w:szCs w:val="18"/>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Kermit Nolan</w:t>
            </w:r>
          </w:p>
        </w:tc>
      </w:tr>
      <w:tr>
        <w:trPr>
          <w:trHeight w:val="230"/>
        </w:trPr>
        <w:tc>
          <w:tcPr>
            <w:tcW w:w="3680" w:type="dxa"/>
            <w:vAlign w:val="bottom"/>
          </w:tcPr>
          <w:p>
            <w:pPr>
              <w:spacing w:after="0"/>
              <w:rPr>
                <w:sz w:val="20"/>
                <w:szCs w:val="20"/>
                <w:color w:val="auto"/>
              </w:rPr>
            </w:pPr>
          </w:p>
        </w:tc>
        <w:tc>
          <w:tcPr>
            <w:tcW w:w="3480" w:type="dxa"/>
            <w:vAlign w:val="bottom"/>
          </w:tcPr>
          <w:p>
            <w:pPr>
              <w:ind w:left="28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w w:val="92"/>
              </w:rPr>
              <w:t>Corporate Vice President and Chief Accounting Officer</w:t>
            </w:r>
          </w:p>
        </w:tc>
      </w:tr>
      <w:tr>
        <w:trPr>
          <w:trHeight w:val="661"/>
        </w:trPr>
        <w:tc>
          <w:tcPr>
            <w:tcW w:w="3680" w:type="dxa"/>
            <w:vAlign w:val="bottom"/>
          </w:tcPr>
          <w:p>
            <w:pPr>
              <w:spacing w:after="0"/>
              <w:rPr>
                <w:sz w:val="24"/>
                <w:szCs w:val="24"/>
                <w:color w:val="auto"/>
              </w:rPr>
            </w:pPr>
          </w:p>
        </w:tc>
        <w:tc>
          <w:tcPr>
            <w:tcW w:w="3480" w:type="dxa"/>
            <w:vAlign w:val="bottom"/>
          </w:tcPr>
          <w:p>
            <w:pPr>
              <w:ind w:left="1860"/>
              <w:spacing w:after="0"/>
              <w:rPr>
                <w:sz w:val="20"/>
                <w:szCs w:val="20"/>
                <w:color w:val="auto"/>
              </w:rPr>
            </w:pPr>
            <w:r>
              <w:rPr>
                <w:rFonts w:ascii="Arial" w:cs="Arial" w:eastAsia="Arial" w:hAnsi="Arial"/>
                <w:sz w:val="18"/>
                <w:szCs w:val="18"/>
                <w:color w:val="auto"/>
              </w:rPr>
              <w:t>48</w:t>
            </w:r>
          </w:p>
        </w:tc>
        <w:tc>
          <w:tcPr>
            <w:tcW w:w="408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8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41" w:lineRule="auto"/>
        <w:tabs>
          <w:tab w:leader="none" w:pos="6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63" w:lineRule="auto"/>
        <w:tabs>
          <w:tab w:leader="none" w:pos="121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63"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41" w:lineRule="auto"/>
        <w:tabs>
          <w:tab w:leader="none" w:pos="121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80" w:firstLine="506"/>
        <w:spacing w:after="0" w:line="263"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07" w:lineRule="auto"/>
        <w:tabs>
          <w:tab w:leader="none" w:pos="121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9" w:name="page50"/>
    <w:bookmarkEnd w:id="49"/>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83"/>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41" w:lineRule="auto"/>
        <w:tabs>
          <w:tab w:leader="none" w:pos="6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63" w:lineRule="auto"/>
        <w:tabs>
          <w:tab w:leader="none" w:pos="12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63" w:lineRule="auto"/>
        <w:tabs>
          <w:tab w:leader="none" w:pos="12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41" w:lineRule="auto"/>
        <w:tabs>
          <w:tab w:leader="none" w:pos="121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80" w:firstLine="506"/>
        <w:spacing w:after="0" w:line="263" w:lineRule="auto"/>
        <w:tabs>
          <w:tab w:leader="none" w:pos="12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07" w:lineRule="auto"/>
        <w:tabs>
          <w:tab w:leader="none" w:pos="121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connection with the Quarterly Report on Form 10-Q of Synaptics Incorporated (the “Company”) for the quarterly period ended September 30, 2023,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9"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right="300" w:firstLine="509"/>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September 30, 2023,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0"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9" w:lineRule="exact"/>
        <w:rPr>
          <w:rFonts w:ascii="Arial" w:cs="Arial" w:eastAsia="Arial" w:hAnsi="Arial"/>
          <w:sz w:val="16"/>
          <w:szCs w:val="16"/>
          <w:color w:val="auto"/>
        </w:rPr>
      </w:pPr>
    </w:p>
    <w:p>
      <w:pPr>
        <w:ind w:left="520" w:hanging="512"/>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2"/>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44" Type="http://schemas.openxmlformats.org/officeDocument/2006/relationships/hyperlink" Target="https://www.sec.gov/Archives/edgar/data/817720/000119312523264071/d511153dex31.htm" TargetMode="External"/><Relationship Id="rId245" Type="http://schemas.openxmlformats.org/officeDocument/2006/relationships/hyperlink" Target="https://www.sec.gov/Archives/edgar/data/817720/000119312523264071/d511153dex101.htm" TargetMode="External"/><Relationship Id="rId246" Type="http://schemas.openxmlformats.org/officeDocument/2006/relationships/hyperlink" Target="https://www.sec.gov/Archives/edgar/data/817720/000095017023037965/syn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2023-11-09T16:11:10Z</dcterms:created>
  <dcterms:modified xsi:type="dcterms:W3CDTF">2023-11-09T16:11:10Z</dcterms:modified>
</cp:coreProperties>
</file>