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90805</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1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-95885</wp:posOffset>
            </wp:positionV>
            <wp:extent cx="1011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16" w:lineRule="exact"/>
        <w:rPr>
          <w:sz w:val="24"/>
          <w:szCs w:val="24"/>
          <w:color w:val="auto"/>
        </w:rPr>
      </w:pPr>
    </w:p>
    <w:p>
      <w:pPr>
        <w:ind w:left="4380" w:right="3740" w:hanging="4372"/>
        <w:spacing w:after="0" w:line="322" w:lineRule="auto"/>
        <w:tabs>
          <w:tab w:leader="none" w:pos="462"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June 26, 2021</w:t>
      </w:r>
    </w:p>
    <w:p>
      <w:pPr>
        <w:jc w:val="center"/>
        <w:spacing w:after="0"/>
        <w:rPr>
          <w:sz w:val="20"/>
          <w:szCs w:val="20"/>
          <w:color w:val="auto"/>
        </w:rPr>
      </w:pPr>
      <w:r>
        <w:rPr>
          <w:rFonts w:ascii="Arial" w:cs="Arial" w:eastAsia="Arial" w:hAnsi="Arial"/>
          <w:sz w:val="14"/>
          <w:szCs w:val="14"/>
          <w:b w:val="1"/>
          <w:bCs w:val="1"/>
          <w:color w:val="auto"/>
        </w:rPr>
        <w:t>Or</w:t>
      </w:r>
    </w:p>
    <w:p>
      <w:pPr>
        <w:spacing w:after="0" w:line="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680" w:type="dxa"/>
            <w:vAlign w:val="bottom"/>
            <w:gridSpan w:val="3"/>
          </w:tcPr>
          <w:p>
            <w:pPr>
              <w:ind w:left="780"/>
              <w:spacing w:after="0"/>
              <w:rPr>
                <w:sz w:val="20"/>
                <w:szCs w:val="20"/>
                <w:color w:val="auto"/>
              </w:rPr>
            </w:pPr>
            <w:r>
              <w:rPr>
                <w:rFonts w:ascii="Arial" w:cs="Arial" w:eastAsia="Arial" w:hAnsi="Arial"/>
                <w:sz w:val="14"/>
                <w:szCs w:val="14"/>
                <w:b w:val="1"/>
                <w:bCs w:val="1"/>
                <w:color w:val="auto"/>
                <w:w w:val="95"/>
              </w:rPr>
              <w:t>For the transition period from</w:t>
            </w:r>
          </w:p>
        </w:tc>
        <w:tc>
          <w:tcPr>
            <w:tcW w:w="500" w:type="dxa"/>
            <w:vAlign w:val="bottom"/>
            <w:tcBorders>
              <w:bottom w:val="single" w:sz="8" w:color="auto"/>
            </w:tcBorders>
            <w:gridSpan w:val="3"/>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60" w:type="dxa"/>
            <w:vAlign w:val="bottom"/>
          </w:tcPr>
          <w:p>
            <w:pPr>
              <w:spacing w:after="0"/>
              <w:rPr>
                <w:sz w:val="18"/>
                <w:szCs w:val="18"/>
                <w:color w:val="auto"/>
              </w:rPr>
            </w:pPr>
          </w:p>
        </w:tc>
        <w:tc>
          <w:tcPr>
            <w:tcW w:w="3180" w:type="dxa"/>
            <w:vAlign w:val="bottom"/>
            <w:gridSpan w:val="6"/>
          </w:tcPr>
          <w:p>
            <w:pPr>
              <w:jc w:val="center"/>
              <w:ind w:left="868"/>
              <w:spacing w:after="0"/>
              <w:rPr>
                <w:sz w:val="20"/>
                <w:szCs w:val="20"/>
                <w:color w:val="auto"/>
              </w:rPr>
            </w:pPr>
            <w:r>
              <w:rPr>
                <w:rFonts w:ascii="Arial" w:cs="Arial" w:eastAsia="Arial" w:hAnsi="Arial"/>
                <w:sz w:val="14"/>
                <w:szCs w:val="14"/>
                <w:b w:val="1"/>
                <w:bCs w:val="1"/>
                <w:color w:val="auto"/>
                <w:w w:val="93"/>
              </w:rPr>
              <w:t>Commission File Number 000-49602</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5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3180" w:type="dxa"/>
            <w:vAlign w:val="bottom"/>
            <w:gridSpan w:val="6"/>
          </w:tcPr>
          <w:p>
            <w:pPr>
              <w:jc w:val="center"/>
              <w:ind w:left="888"/>
              <w:spacing w:after="0"/>
              <w:rPr>
                <w:sz w:val="20"/>
                <w:szCs w:val="20"/>
                <w:color w:val="auto"/>
              </w:rPr>
            </w:pPr>
            <w:r>
              <w:rPr>
                <w:rFonts w:ascii="Arial" w:cs="Arial" w:eastAsia="Arial" w:hAnsi="Arial"/>
                <w:sz w:val="14"/>
                <w:szCs w:val="14"/>
                <w:b w:val="1"/>
                <w:bCs w:val="1"/>
                <w:color w:val="auto"/>
              </w:rPr>
              <w:t>SYNAPTICS INCORPORATED</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43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60" w:type="dxa"/>
            <w:vAlign w:val="bottom"/>
            <w:vMerge w:val="restart"/>
          </w:tcPr>
          <w:p>
            <w:pPr>
              <w:jc w:val="center"/>
              <w:ind w:left="868"/>
              <w:spacing w:after="0"/>
              <w:rPr>
                <w:sz w:val="20"/>
                <w:szCs w:val="20"/>
                <w:color w:val="auto"/>
              </w:rPr>
            </w:pPr>
            <w:r>
              <w:rPr>
                <w:rFonts w:ascii="Arial" w:cs="Arial" w:eastAsia="Arial" w:hAnsi="Arial"/>
                <w:sz w:val="14"/>
                <w:szCs w:val="14"/>
                <w:b w:val="1"/>
                <w:bCs w:val="1"/>
                <w:color w:val="auto"/>
                <w:w w:val="94"/>
              </w:rPr>
              <w:t>Delaware</w:t>
            </w: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vMerge w:val="restart"/>
          </w:tcPr>
          <w:p>
            <w:pPr>
              <w:jc w:val="right"/>
              <w:ind w:right="1828"/>
              <w:spacing w:after="0"/>
              <w:rPr>
                <w:sz w:val="20"/>
                <w:szCs w:val="20"/>
                <w:color w:val="auto"/>
              </w:rPr>
            </w:pPr>
            <w:r>
              <w:rPr>
                <w:rFonts w:ascii="Arial" w:cs="Arial" w:eastAsia="Arial" w:hAnsi="Arial"/>
                <w:sz w:val="14"/>
                <w:szCs w:val="14"/>
                <w:b w:val="1"/>
                <w:bCs w:val="1"/>
                <w:color w:val="auto"/>
              </w:rPr>
              <w:t>77-0118518</w:t>
            </w:r>
          </w:p>
        </w:tc>
        <w:tc>
          <w:tcPr>
            <w:tcW w:w="0" w:type="dxa"/>
            <w:vAlign w:val="bottom"/>
          </w:tcPr>
          <w:p>
            <w:pPr>
              <w:spacing w:after="0"/>
              <w:rPr>
                <w:sz w:val="1"/>
                <w:szCs w:val="1"/>
                <w:color w:val="auto"/>
              </w:rPr>
            </w:pPr>
          </w:p>
        </w:tc>
      </w:tr>
      <w:tr>
        <w:trPr>
          <w:trHeight w:val="241"/>
        </w:trPr>
        <w:tc>
          <w:tcPr>
            <w:tcW w:w="356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560" w:type="dxa"/>
            <w:vAlign w:val="bottom"/>
          </w:tcPr>
          <w:p>
            <w:pPr>
              <w:jc w:val="center"/>
              <w:ind w:left="8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tcPr>
          <w:p>
            <w:pPr>
              <w:jc w:val="center"/>
              <w:ind w:right="112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60" w:type="dxa"/>
            <w:vAlign w:val="bottom"/>
          </w:tcPr>
          <w:p>
            <w:pPr>
              <w:jc w:val="center"/>
              <w:ind w:left="888"/>
              <w:spacing w:after="0"/>
              <w:rPr>
                <w:sz w:val="20"/>
                <w:szCs w:val="20"/>
                <w:color w:val="auto"/>
              </w:rPr>
            </w:pPr>
            <w:r>
              <w:rPr>
                <w:rFonts w:ascii="Arial" w:cs="Arial" w:eastAsia="Arial" w:hAnsi="Arial"/>
                <w:sz w:val="14"/>
                <w:szCs w:val="14"/>
                <w:b w:val="1"/>
                <w:bCs w:val="1"/>
                <w:color w:val="auto"/>
                <w:w w:val="94"/>
              </w:rPr>
              <w:t>incorporation or organization)</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32"/>
        </w:trPr>
        <w:tc>
          <w:tcPr>
            <w:tcW w:w="3560" w:type="dxa"/>
            <w:vAlign w:val="bottom"/>
          </w:tcPr>
          <w:p>
            <w:pPr>
              <w:jc w:val="center"/>
              <w:ind w:left="888"/>
              <w:spacing w:after="0"/>
              <w:rPr>
                <w:sz w:val="20"/>
                <w:szCs w:val="20"/>
                <w:color w:val="auto"/>
              </w:rPr>
            </w:pPr>
            <w:r>
              <w:rPr>
                <w:rFonts w:ascii="Arial" w:cs="Arial" w:eastAsia="Arial" w:hAnsi="Arial"/>
                <w:sz w:val="14"/>
                <w:szCs w:val="14"/>
                <w:b w:val="1"/>
                <w:bCs w:val="1"/>
                <w:color w:val="auto"/>
                <w:w w:val="97"/>
              </w:rPr>
              <w:t>1251 McKay Drive</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vMerge w:val="restart"/>
          </w:tcPr>
          <w:p>
            <w:pPr>
              <w:jc w:val="right"/>
              <w:ind w:right="1988"/>
              <w:spacing w:after="0"/>
              <w:rPr>
                <w:sz w:val="20"/>
                <w:szCs w:val="20"/>
                <w:color w:val="auto"/>
              </w:rPr>
            </w:pPr>
            <w:r>
              <w:rPr>
                <w:rFonts w:ascii="Arial" w:cs="Arial" w:eastAsia="Arial" w:hAnsi="Arial"/>
                <w:sz w:val="14"/>
                <w:szCs w:val="14"/>
                <w:b w:val="1"/>
                <w:bCs w:val="1"/>
                <w:color w:val="auto"/>
              </w:rPr>
              <w:t>95131</w:t>
            </w:r>
          </w:p>
        </w:tc>
        <w:tc>
          <w:tcPr>
            <w:tcW w:w="0" w:type="dxa"/>
            <w:vAlign w:val="bottom"/>
          </w:tcPr>
          <w:p>
            <w:pPr>
              <w:spacing w:after="0"/>
              <w:rPr>
                <w:sz w:val="1"/>
                <w:szCs w:val="1"/>
                <w:color w:val="auto"/>
              </w:rPr>
            </w:pPr>
          </w:p>
        </w:tc>
      </w:tr>
      <w:tr>
        <w:trPr>
          <w:trHeight w:val="148"/>
        </w:trPr>
        <w:tc>
          <w:tcPr>
            <w:tcW w:w="356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2"/>
              </w:rPr>
              <w:t>San Jose, California</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60" w:type="dxa"/>
            <w:vAlign w:val="bottom"/>
          </w:tcPr>
          <w:p>
            <w:pPr>
              <w:jc w:val="center"/>
              <w:ind w:left="8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jc w:val="center"/>
              <w:ind w:right="108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p>
        </w:tc>
        <w:tc>
          <w:tcPr>
            <w:tcW w:w="2680" w:type="dxa"/>
            <w:vAlign w:val="bottom"/>
            <w:gridSpan w:val="3"/>
          </w:tcPr>
          <w:p>
            <w:pPr>
              <w:jc w:val="center"/>
              <w:ind w:left="1368"/>
              <w:spacing w:after="0"/>
              <w:rPr>
                <w:sz w:val="20"/>
                <w:szCs w:val="20"/>
                <w:color w:val="auto"/>
              </w:rPr>
            </w:pPr>
            <w:r>
              <w:rPr>
                <w:rFonts w:ascii="Arial" w:cs="Arial" w:eastAsia="Arial" w:hAnsi="Arial"/>
                <w:sz w:val="14"/>
                <w:szCs w:val="14"/>
                <w:b w:val="1"/>
                <w:bCs w:val="1"/>
                <w:color w:val="auto"/>
                <w:w w:val="91"/>
              </w:rPr>
              <w:t>(408) 904-1100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43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43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Trading Symbol</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32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0"/>
        </w:trPr>
        <w:tc>
          <w:tcPr>
            <w:tcW w:w="3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1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SYNA</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5"/>
              </w:rPr>
              <w:t>The Nasdaq Global Select Market</w:t>
            </w:r>
          </w:p>
        </w:tc>
        <w:tc>
          <w:tcPr>
            <w:tcW w:w="0" w:type="dxa"/>
            <w:vAlign w:val="bottom"/>
          </w:tcPr>
          <w:p>
            <w:pPr>
              <w:spacing w:after="0"/>
              <w:rPr>
                <w:sz w:val="1"/>
                <w:szCs w:val="1"/>
                <w:color w:val="auto"/>
              </w:rPr>
            </w:pPr>
          </w:p>
        </w:tc>
      </w:tr>
      <w:tr>
        <w:trPr>
          <w:trHeight w:val="301"/>
        </w:trPr>
        <w:tc>
          <w:tcPr>
            <w:tcW w:w="3560" w:type="dxa"/>
            <w:vAlign w:val="bottom"/>
          </w:tcPr>
          <w:p>
            <w:pPr>
              <w:spacing w:after="0"/>
              <w:rPr>
                <w:sz w:val="24"/>
                <w:szCs w:val="24"/>
                <w:color w:val="auto"/>
              </w:rPr>
            </w:pPr>
          </w:p>
        </w:tc>
        <w:tc>
          <w:tcPr>
            <w:tcW w:w="43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820" w:type="dxa"/>
            <w:vAlign w:val="bottom"/>
            <w:gridSpan w:val="3"/>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gridSpan w:val="4"/>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7920" w:type="dxa"/>
            <w:vAlign w:val="bottom"/>
            <w:gridSpan w:val="9"/>
          </w:tcPr>
          <w:p>
            <w:pPr>
              <w:ind w:left="56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332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0"/>
        </w:trPr>
        <w:tc>
          <w:tcPr>
            <w:tcW w:w="7920" w:type="dxa"/>
            <w:vAlign w:val="bottom"/>
            <w:gridSpan w:val="9"/>
          </w:tcPr>
          <w:p>
            <w:pPr>
              <w:ind w:left="56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33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jc w:val="both"/>
        <w:ind w:firstLine="546"/>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20" w:firstLine="546"/>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firstLine="546"/>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48"/>
        </w:trPr>
        <w:tc>
          <w:tcPr>
            <w:tcW w:w="2480" w:type="dxa"/>
            <w:vAlign w:val="bottom"/>
          </w:tcPr>
          <w:p>
            <w:pPr>
              <w:spacing w:after="0" w:line="148" w:lineRule="exact"/>
              <w:rPr>
                <w:sz w:val="20"/>
                <w:szCs w:val="20"/>
                <w:color w:val="auto"/>
              </w:rPr>
            </w:pPr>
            <w:r>
              <w:rPr>
                <w:rFonts w:ascii="Arial" w:cs="Arial" w:eastAsia="Arial" w:hAnsi="Arial"/>
                <w:sz w:val="14"/>
                <w:szCs w:val="14"/>
                <w:color w:val="auto"/>
              </w:rPr>
              <w:t>Large accelerated filer</w:t>
            </w:r>
          </w:p>
        </w:tc>
        <w:tc>
          <w:tcPr>
            <w:tcW w:w="3120" w:type="dxa"/>
            <w:vAlign w:val="bottom"/>
          </w:tcPr>
          <w:p>
            <w:pPr>
              <w:ind w:left="118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1840"/>
              <w:spacing w:after="0" w:line="148" w:lineRule="exact"/>
              <w:rPr>
                <w:sz w:val="20"/>
                <w:szCs w:val="20"/>
                <w:color w:val="auto"/>
              </w:rPr>
            </w:pPr>
            <w:r>
              <w:rPr>
                <w:rFonts w:ascii="Arial" w:cs="Arial" w:eastAsia="Arial" w:hAnsi="Arial"/>
                <w:sz w:val="14"/>
                <w:szCs w:val="14"/>
                <w:color w:val="auto"/>
              </w:rPr>
              <w:t>Accelerated filer</w:t>
            </w:r>
          </w:p>
        </w:tc>
        <w:tc>
          <w:tcPr>
            <w:tcW w:w="118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20" w:type="dxa"/>
            <w:vAlign w:val="bottom"/>
          </w:tcPr>
          <w:p>
            <w:pPr>
              <w:ind w:left="118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1840"/>
              <w:spacing w:after="0"/>
              <w:rPr>
                <w:sz w:val="20"/>
                <w:szCs w:val="20"/>
                <w:color w:val="auto"/>
              </w:rPr>
            </w:pPr>
            <w:r>
              <w:rPr>
                <w:rFonts w:ascii="Arial" w:cs="Arial" w:eastAsia="Arial" w:hAnsi="Arial"/>
                <w:sz w:val="14"/>
                <w:szCs w:val="14"/>
                <w:color w:val="auto"/>
              </w:rPr>
              <w:t>Smaller reporting company</w:t>
            </w:r>
          </w:p>
        </w:tc>
        <w:tc>
          <w:tcPr>
            <w:tcW w:w="118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4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440" w:type="dxa"/>
            <w:vAlign w:val="bottom"/>
          </w:tcPr>
          <w:p>
            <w:pPr>
              <w:ind w:left="1840"/>
              <w:spacing w:after="0"/>
              <w:rPr>
                <w:sz w:val="20"/>
                <w:szCs w:val="20"/>
                <w:color w:val="auto"/>
              </w:rPr>
            </w:pPr>
            <w:r>
              <w:rPr>
                <w:rFonts w:ascii="Arial" w:cs="Arial" w:eastAsia="Arial" w:hAnsi="Arial"/>
                <w:sz w:val="14"/>
                <w:szCs w:val="14"/>
                <w:color w:val="auto"/>
              </w:rPr>
              <w:t>Emerging growth company</w:t>
            </w:r>
          </w:p>
        </w:tc>
        <w:tc>
          <w:tcPr>
            <w:tcW w:w="118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 w:lineRule="exact"/>
        <w:rPr>
          <w:sz w:val="24"/>
          <w:szCs w:val="24"/>
          <w:color w:val="auto"/>
        </w:rPr>
      </w:pPr>
    </w:p>
    <w:p>
      <w:pPr>
        <w:jc w:val="both"/>
        <w:ind w:firstLine="546"/>
        <w:spacing w:after="0" w:line="180" w:lineRule="exact"/>
        <w:rPr>
          <w:sz w:val="20"/>
          <w:szCs w:val="20"/>
          <w:color w:val="auto"/>
        </w:rPr>
      </w:pPr>
      <w:r>
        <w:rPr>
          <w:rFonts w:ascii="Arial" w:cs="Arial" w:eastAsia="Arial" w:hAnsi="Arial"/>
          <w:sz w:val="14"/>
          <w:szCs w:val="14"/>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firstLine="546"/>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560"/>
        <w:spacing w:after="0" w:line="161" w:lineRule="exact"/>
        <w:tabs>
          <w:tab w:leader="none" w:pos="71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firstLine="546"/>
        <w:spacing w:after="0" w:line="264" w:lineRule="auto"/>
        <w:rPr>
          <w:sz w:val="20"/>
          <w:szCs w:val="20"/>
          <w:color w:val="auto"/>
        </w:rPr>
      </w:pPr>
      <w:r>
        <w:rPr>
          <w:rFonts w:ascii="Arial" w:cs="Arial" w:eastAsia="Arial" w:hAnsi="Arial"/>
          <w:sz w:val="13"/>
          <w:szCs w:val="13"/>
          <w:color w:val="auto"/>
        </w:rPr>
        <w:t>The aggregate market value of Common Stock held by nonaffiliates of the registrant (22,303,576 shares), based on the closing price of the registrant’s Common Stock as reported on the Nasdaq Global Select Market on December 24, 2020 of $86.15, was $1,921,453,072.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6" w:lineRule="exact"/>
        <w:rPr>
          <w:sz w:val="24"/>
          <w:szCs w:val="24"/>
          <w:color w:val="auto"/>
        </w:rPr>
      </w:pPr>
    </w:p>
    <w:p>
      <w:pPr>
        <w:ind w:left="560"/>
        <w:spacing w:after="0"/>
        <w:rPr>
          <w:sz w:val="20"/>
          <w:szCs w:val="20"/>
          <w:color w:val="auto"/>
        </w:rPr>
      </w:pPr>
      <w:r>
        <w:rPr>
          <w:rFonts w:ascii="Arial" w:cs="Arial" w:eastAsia="Arial" w:hAnsi="Arial"/>
          <w:sz w:val="14"/>
          <w:szCs w:val="14"/>
          <w:color w:val="auto"/>
        </w:rPr>
        <w:t>As of August 13, 2021, there were outstanding 38,854,107 shares of the registrant's Common Stock, par value $.001 per share.</w:t>
      </w:r>
    </w:p>
    <w:p>
      <w:pPr>
        <w:spacing w:after="0" w:line="38"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left="560"/>
        <w:spacing w:after="0"/>
        <w:rPr>
          <w:sz w:val="20"/>
          <w:szCs w:val="20"/>
          <w:color w:val="auto"/>
        </w:rPr>
      </w:pPr>
      <w:r>
        <w:rPr>
          <w:rFonts w:ascii="Arial" w:cs="Arial" w:eastAsia="Arial" w:hAnsi="Arial"/>
          <w:sz w:val="14"/>
          <w:szCs w:val="14"/>
          <w:color w:val="auto"/>
        </w:rPr>
        <w:t>Portions of the registrant's definitive Proxy Statement for the 2021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0" w:type="dxa"/>
            <w:vAlign w:val="bottom"/>
            <w:gridSpan w:val="18"/>
          </w:tcPr>
          <w:p>
            <w:pPr>
              <w:jc w:val="center"/>
              <w:ind w:right="3440"/>
              <w:spacing w:after="0"/>
              <w:rPr>
                <w:sz w:val="20"/>
                <w:szCs w:val="20"/>
                <w:color w:val="auto"/>
              </w:rPr>
            </w:pPr>
            <w:r>
              <w:rPr>
                <w:rFonts w:ascii="Arial" w:cs="Arial" w:eastAsia="Arial" w:hAnsi="Arial"/>
                <w:sz w:val="18"/>
                <w:szCs w:val="18"/>
                <w:b w:val="1"/>
                <w:bCs w:val="1"/>
                <w:color w:val="auto"/>
                <w:w w:val="99"/>
              </w:rPr>
              <w:t>SYNAPTICS INCORPORATED</w:t>
            </w:r>
          </w:p>
        </w:tc>
        <w:tc>
          <w:tcPr>
            <w:tcW w:w="50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0" w:type="dxa"/>
            <w:vAlign w:val="bottom"/>
            <w:gridSpan w:val="18"/>
          </w:tcPr>
          <w:p>
            <w:pPr>
              <w:jc w:val="center"/>
              <w:ind w:right="3420"/>
              <w:spacing w:after="0"/>
              <w:rPr>
                <w:sz w:val="20"/>
                <w:szCs w:val="20"/>
                <w:color w:val="auto"/>
              </w:rPr>
            </w:pPr>
            <w:r>
              <w:rPr>
                <w:rFonts w:ascii="Arial" w:cs="Arial" w:eastAsia="Arial" w:hAnsi="Arial"/>
                <w:sz w:val="18"/>
                <w:szCs w:val="18"/>
                <w:b w:val="1"/>
                <w:bCs w:val="1"/>
                <w:color w:val="auto"/>
                <w:w w:val="99"/>
              </w:rPr>
              <w:t>ANNUAL REPORT ON FORM 10-K</w:t>
            </w:r>
          </w:p>
        </w:tc>
        <w:tc>
          <w:tcPr>
            <w:tcW w:w="50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60" w:type="dxa"/>
            <w:vAlign w:val="bottom"/>
            <w:gridSpan w:val="16"/>
          </w:tcPr>
          <w:p>
            <w:pPr>
              <w:jc w:val="center"/>
              <w:ind w:right="4560"/>
              <w:spacing w:after="0"/>
              <w:rPr>
                <w:sz w:val="20"/>
                <w:szCs w:val="20"/>
                <w:color w:val="auto"/>
              </w:rPr>
            </w:pPr>
            <w:r>
              <w:rPr>
                <w:rFonts w:ascii="Arial" w:cs="Arial" w:eastAsia="Arial" w:hAnsi="Arial"/>
                <w:sz w:val="18"/>
                <w:szCs w:val="18"/>
                <w:b w:val="1"/>
                <w:bCs w:val="1"/>
                <w:color w:val="auto"/>
                <w:w w:val="96"/>
              </w:rPr>
              <w:t>FISCAL 2021</w:t>
            </w:r>
          </w:p>
        </w:tc>
        <w:tc>
          <w:tcPr>
            <w:tcW w:w="500" w:type="dxa"/>
            <w:vAlign w:val="bottom"/>
          </w:tcPr>
          <w:p>
            <w:pPr>
              <w:spacing w:after="0"/>
              <w:rPr>
                <w:sz w:val="20"/>
                <w:szCs w:val="20"/>
                <w:color w:val="auto"/>
              </w:rPr>
            </w:pPr>
          </w:p>
        </w:tc>
      </w:tr>
      <w:tr>
        <w:trPr>
          <w:trHeight w:val="378"/>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80" w:type="dxa"/>
            <w:vAlign w:val="bottom"/>
            <w:gridSpan w:val="17"/>
          </w:tcPr>
          <w:p>
            <w:pPr>
              <w:jc w:val="center"/>
              <w:ind w:right="396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r>
      <w:tr>
        <w:trPr>
          <w:trHeight w:val="310"/>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12"/>
          </w:tcPr>
          <w:p>
            <w:pPr>
              <w:jc w:val="center"/>
              <w:ind w:right="458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500" w:type="dxa"/>
            <w:vAlign w:val="bottom"/>
          </w:tcPr>
          <w:p>
            <w:pPr>
              <w:spacing w:after="0"/>
              <w:rPr>
                <w:sz w:val="24"/>
                <w:szCs w:val="24"/>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5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40" w:type="dxa"/>
            <w:vAlign w:val="bottom"/>
            <w:tcBorders>
              <w:top w:val="single" w:sz="8" w:color="0000EE"/>
            </w:tcBorders>
            <w:gridSpan w:val="2"/>
          </w:tcPr>
          <w:p>
            <w:pPr>
              <w:spacing w:after="0"/>
              <w:rPr>
                <w:sz w:val="24"/>
                <w:szCs w:val="24"/>
                <w:color w:val="auto"/>
              </w:rPr>
            </w:pPr>
          </w:p>
        </w:tc>
        <w:tc>
          <w:tcPr>
            <w:tcW w:w="458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620" w:type="dxa"/>
            <w:vAlign w:val="bottom"/>
            <w:gridSpan w:val="3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8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UNRESOLVED STAFF COMMENTS</w:t>
              </w:r>
            </w:hyperlink>
          </w:p>
        </w:tc>
        <w:tc>
          <w:tcPr>
            <w:tcW w:w="680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PROPERTIES</w:t>
              </w:r>
            </w:hyperlink>
          </w:p>
        </w:tc>
        <w:tc>
          <w:tcPr>
            <w:tcW w:w="8560" w:type="dxa"/>
            <w:vAlign w:val="bottom"/>
            <w:gridSpan w:val="2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620" w:type="dxa"/>
            <w:vAlign w:val="bottom"/>
            <w:gridSpan w:val="3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620" w:type="dxa"/>
            <w:vAlign w:val="bottom"/>
            <w:gridSpan w:val="3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91"/>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PART II</w:t>
              </w:r>
            </w:hyperlink>
          </w:p>
        </w:tc>
        <w:tc>
          <w:tcPr>
            <w:tcW w:w="454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r>
      <w:tr>
        <w:trPr>
          <w:trHeight w:val="290"/>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20" w:type="dxa"/>
            <w:vAlign w:val="bottom"/>
            <w:tcBorders>
              <w:bottom w:val="single" w:sz="8" w:color="0000EE"/>
            </w:tcBorders>
            <w:gridSpan w:val="28"/>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MARKET FOR REGISTRANT'S COMMON EQUITY, RELATED STOCKHOLDER MATTERS AND ISSUER PURCHASES</w:t>
              </w:r>
            </w:hyperlink>
          </w:p>
        </w:tc>
        <w:tc>
          <w:tcPr>
            <w:tcW w:w="30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0" w:type="dxa"/>
            <w:vAlign w:val="bottom"/>
            <w:gridSpan w:val="2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OF EQUITY SECURITIES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RESERVED</w:t>
              </w:r>
            </w:hyperlink>
          </w:p>
        </w:tc>
        <w:tc>
          <w:tcPr>
            <w:tcW w:w="8700" w:type="dxa"/>
            <w:vAlign w:val="bottom"/>
            <w:gridSpan w:val="2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620" w:type="dxa"/>
            <w:vAlign w:val="bottom"/>
            <w:gridSpan w:val="3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61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8"/>
              </w:rPr>
            </w:pPr>
            <w:hyperlink w:anchor="page49">
              <w:r>
                <w:rPr>
                  <w:rFonts w:ascii="Arial" w:cs="Arial" w:eastAsia="Arial" w:hAnsi="Arial"/>
                  <w:sz w:val="18"/>
                  <w:szCs w:val="18"/>
                  <w:color w:val="0000EE"/>
                  <w:w w:val="98"/>
                </w:rPr>
                <w:t>QUANTITATIVE AND QUALITATIVE DISCLOSURES ABOUT MARKET RISK</w:t>
              </w:r>
            </w:hyperlink>
          </w:p>
        </w:tc>
        <w:tc>
          <w:tcPr>
            <w:tcW w:w="2760" w:type="dxa"/>
            <w:vAlign w:val="bottom"/>
            <w:tcBorders>
              <w:top w:val="single" w:sz="8" w:color="0000EE"/>
            </w:tcBorders>
            <w:gridSpan w:val="2"/>
          </w:tcPr>
          <w:p>
            <w:pPr>
              <w:spacing w:after="0"/>
              <w:rPr>
                <w:sz w:val="17"/>
                <w:szCs w:val="17"/>
                <w:color w:val="auto"/>
              </w:rPr>
            </w:pPr>
          </w:p>
        </w:tc>
        <w:tc>
          <w:tcPr>
            <w:tcW w:w="72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66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FINANCIAL STATEMENTS AND SUPPLEMENTARY DATA</w:t>
              </w:r>
            </w:hyperlink>
          </w:p>
        </w:tc>
        <w:tc>
          <w:tcPr>
            <w:tcW w:w="496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620" w:type="dxa"/>
            <w:vAlign w:val="bottom"/>
            <w:gridSpan w:val="3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CHANGES IN AND DISAGREEMENTS WITH ACCOUNTANTS ON ACCOUNTING AND FINANCIAL DISCLOSURE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26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3"/>
              </w:rPr>
            </w:pPr>
            <w:hyperlink w:anchor="page49">
              <w:r>
                <w:rPr>
                  <w:rFonts w:ascii="Arial" w:cs="Arial" w:eastAsia="Arial" w:hAnsi="Arial"/>
                  <w:sz w:val="18"/>
                  <w:szCs w:val="18"/>
                  <w:color w:val="0000EE"/>
                  <w:w w:val="93"/>
                </w:rPr>
                <w:t>CONTROLS AND PROCEDURES</w:t>
              </w:r>
            </w:hyperlink>
          </w:p>
        </w:tc>
        <w:tc>
          <w:tcPr>
            <w:tcW w:w="6480" w:type="dxa"/>
            <w:vAlign w:val="bottom"/>
            <w:tcBorders>
              <w:top w:val="single" w:sz="8" w:color="0000EE"/>
            </w:tcBorders>
            <w:gridSpan w:val="16"/>
          </w:tcPr>
          <w:p>
            <w:pPr>
              <w:spacing w:after="0"/>
              <w:rPr>
                <w:sz w:val="17"/>
                <w:szCs w:val="17"/>
                <w:color w:val="auto"/>
              </w:rPr>
            </w:pPr>
          </w:p>
        </w:tc>
        <w:tc>
          <w:tcPr>
            <w:tcW w:w="54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620" w:type="dxa"/>
            <w:vAlign w:val="bottom"/>
            <w:gridSpan w:val="3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90"/>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14"/>
          </w:tcPr>
          <w:p>
            <w:pPr>
              <w:jc w:val="center"/>
              <w:ind w:right="4520"/>
              <w:spacing w:after="0"/>
              <w:rPr>
                <w:rFonts w:ascii="Arial" w:cs="Arial" w:eastAsia="Arial" w:hAnsi="Arial"/>
                <w:sz w:val="18"/>
                <w:szCs w:val="18"/>
                <w:color w:val="0000EE"/>
                <w:w w:val="96"/>
              </w:rPr>
            </w:pPr>
            <w:hyperlink w:anchor="page51">
              <w:r>
                <w:rPr>
                  <w:rFonts w:ascii="Arial" w:cs="Arial" w:eastAsia="Arial" w:hAnsi="Arial"/>
                  <w:sz w:val="18"/>
                  <w:szCs w:val="18"/>
                  <w:color w:val="0000EE"/>
                  <w:w w:val="96"/>
                </w:rPr>
                <w:t>PART III</w:t>
              </w:r>
            </w:hyperlink>
          </w:p>
        </w:tc>
        <w:tc>
          <w:tcPr>
            <w:tcW w:w="5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91"/>
        </w:trPr>
        <w:tc>
          <w:tcPr>
            <w:tcW w:w="11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620" w:type="dxa"/>
            <w:vAlign w:val="bottom"/>
            <w:gridSpan w:val="3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DIRECTORS, EXECUTIVE OFFICERS AND CORPORATE GOVERNANCE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24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EXECUTIVE COMPENSATION</w:t>
              </w:r>
            </w:hyperlink>
          </w:p>
        </w:tc>
        <w:tc>
          <w:tcPr>
            <w:tcW w:w="3340" w:type="dxa"/>
            <w:vAlign w:val="bottom"/>
            <w:tcBorders>
              <w:top w:val="single" w:sz="8" w:color="0000EE"/>
            </w:tcBorders>
            <w:gridSpan w:val="13"/>
          </w:tcPr>
          <w:p>
            <w:pPr>
              <w:spacing w:after="0"/>
              <w:rPr>
                <w:sz w:val="17"/>
                <w:szCs w:val="17"/>
                <w:color w:val="auto"/>
              </w:rPr>
            </w:pPr>
          </w:p>
        </w:tc>
        <w:tc>
          <w:tcPr>
            <w:tcW w:w="384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620" w:type="dxa"/>
            <w:vAlign w:val="bottom"/>
            <w:gridSpan w:val="30"/>
          </w:tcPr>
          <w:p>
            <w:pPr>
              <w:spacing w:after="0" w:line="196"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SECURITY OWNERSHIP OF CERTAIN BENEFICIAL OWNERS AND MANAGEMENT AND RELATED STOCKHOLDER</w:t>
              </w:r>
            </w:hyperlink>
          </w:p>
        </w:tc>
        <w:tc>
          <w:tcPr>
            <w:tcW w:w="5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MATTERS</w:t>
              </w:r>
            </w:hyperlink>
          </w:p>
        </w:tc>
        <w:tc>
          <w:tcPr>
            <w:tcW w:w="8320" w:type="dxa"/>
            <w:vAlign w:val="bottom"/>
            <w:tcBorders>
              <w:top w:val="single" w:sz="8" w:color="0000EE"/>
            </w:tcBorders>
            <w:gridSpan w:val="25"/>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70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CERTAIN RELATIONSHIPS AND RELATED TRANSACTIONS, AND DIRECTOR INDEPENDENCE</w:t>
              </w:r>
            </w:hyperlink>
          </w:p>
        </w:tc>
        <w:tc>
          <w:tcPr>
            <w:tcW w:w="192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620" w:type="dxa"/>
            <w:vAlign w:val="bottom"/>
            <w:gridSpan w:val="3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PRINCIPAL ACCOUNTANT FEES AND SERVICES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318"/>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14"/>
          </w:tcPr>
          <w:p>
            <w:pPr>
              <w:jc w:val="center"/>
              <w:ind w:right="4520"/>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PART IV</w:t>
              </w:r>
            </w:hyperlink>
          </w:p>
        </w:tc>
        <w:tc>
          <w:tcPr>
            <w:tcW w:w="500" w:type="dxa"/>
            <w:vAlign w:val="bottom"/>
          </w:tcPr>
          <w:p>
            <w:pPr>
              <w:spacing w:after="0"/>
              <w:rPr>
                <w:sz w:val="24"/>
                <w:szCs w:val="24"/>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440" w:type="dxa"/>
            <w:vAlign w:val="bottom"/>
            <w:gridSpan w:val="16"/>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EXHIBITS AND FINANCIAL STATEMENT SCHEDULES</w:t>
              </w:r>
            </w:hyperlink>
          </w:p>
        </w:tc>
        <w:tc>
          <w:tcPr>
            <w:tcW w:w="660" w:type="dxa"/>
            <w:vAlign w:val="bottom"/>
            <w:tcBorders>
              <w:top w:val="single" w:sz="8" w:color="0000EE"/>
            </w:tcBorders>
            <w:gridSpan w:val="6"/>
          </w:tcPr>
          <w:p>
            <w:pPr>
              <w:spacing w:after="0"/>
              <w:rPr>
                <w:sz w:val="24"/>
                <w:szCs w:val="24"/>
                <w:color w:val="auto"/>
              </w:rPr>
            </w:pPr>
          </w:p>
        </w:tc>
        <w:tc>
          <w:tcPr>
            <w:tcW w:w="452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16.</w:t>
            </w:r>
          </w:p>
        </w:tc>
        <w:tc>
          <w:tcPr>
            <w:tcW w:w="44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FORM 10-K SUMMARY</w:t>
              </w:r>
            </w:hyperlink>
          </w:p>
        </w:tc>
        <w:tc>
          <w:tcPr>
            <w:tcW w:w="520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318"/>
        </w:trPr>
        <w:tc>
          <w:tcPr>
            <w:tcW w:w="1120" w:type="dxa"/>
            <w:vAlign w:val="bottom"/>
            <w:gridSpan w:val="2"/>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SIGNATURES</w:t>
              </w:r>
            </w:hyperlink>
          </w:p>
        </w:tc>
        <w:tc>
          <w:tcPr>
            <w:tcW w:w="2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100" w:type="dxa"/>
            <w:vAlign w:val="bottom"/>
            <w:shd w:val="clear" w:color="auto" w:fill="0000EE"/>
          </w:tcPr>
          <w:p>
            <w:pPr>
              <w:spacing w:after="0" w:line="20" w:lineRule="exact"/>
              <w:rPr>
                <w:sz w:val="1"/>
                <w:szCs w:val="1"/>
                <w:color w:val="auto"/>
              </w:rPr>
            </w:pPr>
          </w:p>
        </w:tc>
        <w:tc>
          <w:tcPr>
            <w:tcW w:w="3360" w:type="dxa"/>
            <w:vAlign w:val="bottom"/>
            <w:gridSpan w:val="14"/>
          </w:tcPr>
          <w:p>
            <w:pPr>
              <w:spacing w:after="0" w:line="20" w:lineRule="exact"/>
              <w:rPr>
                <w:sz w:val="1"/>
                <w:szCs w:val="1"/>
                <w:color w:val="auto"/>
              </w:rPr>
            </w:pPr>
          </w:p>
        </w:tc>
        <w:tc>
          <w:tcPr>
            <w:tcW w:w="6280" w:type="dxa"/>
            <w:vAlign w:val="bottom"/>
            <w:gridSpan w:val="1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446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57">
              <w:r>
                <w:rPr>
                  <w:rFonts w:ascii="Arial" w:cs="Arial" w:eastAsia="Arial" w:hAnsi="Arial"/>
                  <w:sz w:val="18"/>
                  <w:szCs w:val="18"/>
                  <w:color w:val="0000EE"/>
                  <w:w w:val="97"/>
                </w:rPr>
                <w:t>INDEX TO CONSOLIDATED FINANCIAL STATEMENTS</w:t>
              </w:r>
            </w:hyperlink>
          </w:p>
        </w:tc>
        <w:tc>
          <w:tcPr>
            <w:tcW w:w="6280" w:type="dxa"/>
            <w:vAlign w:val="bottom"/>
            <w:gridSpan w:val="1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Forward-Looking Statements</w:t>
      </w:r>
    </w:p>
    <w:p>
      <w:pPr>
        <w:spacing w:after="0" w:line="117" w:lineRule="exact"/>
        <w:rPr>
          <w:sz w:val="20"/>
          <w:szCs w:val="20"/>
          <w:color w:val="auto"/>
        </w:rPr>
      </w:pPr>
    </w:p>
    <w:p>
      <w:pPr>
        <w:jc w:val="both"/>
        <w:ind w:firstLine="546"/>
        <w:spacing w:after="0" w:line="243" w:lineRule="auto"/>
        <w:rPr>
          <w:sz w:val="20"/>
          <w:szCs w:val="20"/>
          <w:color w:val="auto"/>
        </w:rPr>
      </w:pPr>
      <w:r>
        <w:rPr>
          <w:rFonts w:ascii="Arial" w:cs="Arial" w:eastAsia="Arial" w:hAnsi="Arial"/>
          <w:sz w:val="13"/>
          <w:szCs w:val="13"/>
          <w:color w:val="auto"/>
        </w:rPr>
        <w:t>This report on Form 10-K for the year ended June 26, 2021 contains forward-looking statements that are subject to the safe harbors created under the Securities Act of 1933, as amended (the “Securities Act”), and the Securities Act of 1934, as amended (the “Exchange Act”). Forward-looking statements give our current expectations and projections relating to our financial condition, results of operations, plans, objectives, future performance and business, including our expectations regarding the potential impacts on our business of the COVID-19 pandemic,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in this report on Form 10-K, and other risks as identified from time to time in our Securities and Exchange Commission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77"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4"/>
          <w:szCs w:val="14"/>
          <w:color w:val="auto"/>
        </w:rPr>
        <w:t>Statements made in this report, unless the context otherwise requires, include the use of the terms “us,” “we,” “our,” the “company” and “Synaptics” to refer to Synaptics Incorporated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On March 11, 2020, the World Health Organization declared the COVID-19 outbreak a global pandemic. In response to the outbreak, governmental authorities implemented numerous containment measures, including travel bans and restrictions, quarantines, shelter-in-place orders, and business restrictions and shutdowns, resulting in rapidly changing market and economic conditions. In certain countries in which we operate, governments took swift and effective measures to stem the spread, while in other countries in which we operate governments were slow to react or missed opportunities to effectively contain the spread. Although some of these restrictions and other containment measures have since been lifted or scaled back, ongoing surges of COVID-19 have resulted in the re-imposition of certain restrictions and containment measures and may lead to other restrictions being re-implemented in the future in response to efforts to reduce the rapid spread of COVID-19 and its variants.</w:t>
      </w:r>
    </w:p>
    <w:p>
      <w:pPr>
        <w:spacing w:after="0" w:line="6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The health and wellbeing of our workforce is our highest priority. Many of our employees have worked from home since the COVID-19 outbreak was declared a pandemic in order to minimize the potential risk of spread of COVID-19 in our office environment. As the broad roll out of vaccines continues in various countries in which we operate, many employees have returned to the office environment on a part- or full-time basis. As more employees return to the office, we will continue to adhere to return to work protocols, based on guidance from local and global health organizations and applicable laws and regulations.</w:t>
      </w:r>
    </w:p>
    <w:p>
      <w:pPr>
        <w:spacing w:after="0" w:line="80"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While the severity and duration of business disruption to our customers and suppliers due to the COVID-19 pandemic continues to remain uncertain, we expect that the ongoing global vaccination programs will moderate the overall severity and duration and remain cautiously optimistic the most significant impact has passed. If more infectious COVID-19 variants become resistant to the existing vaccines, however, we could experience renewed and sustained business disruption. To date, we have not incurred significant disruptions to our business or a materially negative impact on our condensed consolidated results of operations and financial condition from the COVID-19 outbreak, and continue to believe our business will not be severely impacted as steps continue to be taken globally to mitigate the spread, vaccinate large portions of the population and achieve herd immunity.</w:t>
      </w:r>
    </w:p>
    <w:p>
      <w:pPr>
        <w:spacing w:after="0" w:line="56"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will continue to evaluate the nature and scope of the impact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are a leading worldwide developer and supplier of custom-designed semiconductor solutions that is changing the way humans engage with connected devices and data, engineering exceptional experiences throughout the home, at work, in the car and on the go. Our current served markets include Internet of Things, or IoT, personal computer, or PC, and Mobile. We deliver complete chip, firmware and software semiconductor solutions that include connectivity products, audio input and output System-On-Chips, or SoCs, high-definition video and vision SoCs, SoCs with artificial intelligence capabilities, touch controllers, touchpads, display drivers and fingerprint biometric sensors.</w:t>
      </w:r>
    </w:p>
    <w:p>
      <w:pPr>
        <w:spacing w:after="0" w:line="188"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We are a market leader in providing premium mixed signal semiconductor solutions to our target markets. Our original equipment manufacturer, or OEM, customers include many of the world’s largest OEMs for smart home devices, automotive solutions, notebook computers and peripherals, smartphones and tablets, and many large OEMs for audio and video products. We generally supply our product solutions to our OEM customers through their contract manufacturers, which take delivery of our products and pay us directly for such products.</w:t>
      </w:r>
    </w:p>
    <w:p>
      <w:pPr>
        <w:spacing w:after="0" w:line="17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u w:val="single" w:color="auto"/>
          <w:color w:val="auto"/>
        </w:rPr>
        <w:t>www.synaptics.com</w:t>
      </w:r>
      <w:r>
        <w:rPr>
          <w:rFonts w:ascii="Arial" w:cs="Arial" w:eastAsia="Arial" w:hAnsi="Arial"/>
          <w:sz w:val="18"/>
          <w:szCs w:val="18"/>
          <w:color w:val="auto"/>
        </w:rPr>
        <w:t>. Through our website, we make available, free of charge, all our Securities and Exchange Commission, or SEC, filings, including our annual reports on Form 10-K, our proxy statements, our quarterly reports on Form 10-Q, and our current reports on Form 8-K, as well as Form 3, Form 4, and Form 5 Reports for our directors, officers, and principal stockholders, together with amendments to those reports filed or furnished pursuant to Sections 13(a), 15(d), or 16 under the Securities Exchange Act of 1934, as amended, or the Exchange Act. These reports are available on our website promptly after their electronic filing with the SEC. You can also read these SEC filings and reports over the Internet at the SEC’s website at www.sec.gov. Our website also includes corporate governance information, including our Code of Conduct, our Code of Ethics for the Chief Executive Officer and Senior Financial Officers, and our Board Committee Charters. The contents of our website are not incorporated into or deemed to be a part of this report.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ind w:firstLine="546"/>
        <w:spacing w:after="0" w:line="263" w:lineRule="auto"/>
        <w:rPr>
          <w:sz w:val="20"/>
          <w:szCs w:val="20"/>
          <w:color w:val="auto"/>
        </w:rPr>
      </w:pPr>
      <w:r>
        <w:rPr>
          <w:rFonts w:ascii="Arial" w:cs="Arial" w:eastAsia="Arial" w:hAnsi="Arial"/>
          <w:sz w:val="18"/>
          <w:szCs w:val="18"/>
          <w:color w:val="auto"/>
        </w:rPr>
        <w:t>We were initially incorporated in California in 1986 and were re-incorporated in Delaware in 2002. Our fiscal year is the 52- or 53-week period ending on the last Saturday in June. The fiscal years presented in this report were the 52-week periods ended June 26, 2021, and June 27, 2020, and the 53-week period ended June 29,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Applications Market</w:t>
      </w:r>
    </w:p>
    <w:p>
      <w:pPr>
        <w:spacing w:after="0" w:line="117"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Our IoT market solutions broadly consist of wireless connectivity (Wi-Fi, Bluetooth and global positioning system, or GPS) products, SoC products, display and touch integrated circuits for use in automobiles, and a wide range of audio and video products and solutions. Our SoC products are used in human experience solutions for enabling smart devices at the edge. We enable products that power smart assistant speakers, over-the-top multimedia devices, wireless speakers, voice driven intelligent devices including those integrating far-field technology, personal voice and audio products, set top boxes, video interface solutions for docking stations, high-speed connectivity for virtual reality devices, video surveillance, SoCs and imaging solutions for use in printers and fax/modems. In addition, our automotive solutions include over a decade of mass production experience in mature touch solutions and display drivers adapted from our mobile consumer business to meet automotive-grade quality standards. Net revenue for our IoT product solutions accounted for approximately 43%, 24%, and 21% of our net revenue for fiscal 2021, 2020 and 2019, respectively.</w:t>
      </w:r>
    </w:p>
    <w:p>
      <w:pPr>
        <w:spacing w:after="0" w:line="17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Within the fast-growing consumer IoT market, we continue to expand our footprint in various devices by bringing converged video, vision, audio, and voice technologies coupled with artificial intelligence and wireless connectivity capabilities. Our deep investment in far-field voice technology, our intellectual property portfolio for video, vision, audio and security, and our significant experience enabling Android-based platforms for service providers, coupled with our focus on enabling high performance, low power, and highly secure SoC solutions enable us to effectively serve our existing customers and position us to grow within the addressable market of consumer IoT devices.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Product Applications Market</w:t>
      </w:r>
    </w:p>
    <w:p>
      <w:pPr>
        <w:spacing w:after="0" w:line="11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provide custom product solutions for navigation, cursor control, and access to devices or applications through fingerprint authentication, for many of the world’s premier PC OEMs. These functions are offered as both stand-alone and integrated touch pads plus fingerprint recognition solutions. In addition to notebook applications, other PC product applications for our technology include peripherals, such as high-end keyboards and accessory touchpads. Net revenue for our product solutions for PC product applications accounted for approximately 27%, 24%, and 18% of our net revenue for fiscal 2021, 2020, and 2019, respectively.</w:t>
      </w:r>
    </w:p>
    <w:p>
      <w:pPr>
        <w:spacing w:after="0" w:line="18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continue to expand our available product offerings through technology development enabling us to increase our product content within each notebook unit. We are also applying our technologies to enable adoption of fingerprint recognition solutions to broaden our market opportunities. Based on the strength of our technology and engineering know-how, we believe we are well positioned to continue to take advantage of opportunities in the PC product applications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Product Applications Markets</w:t>
      </w:r>
    </w:p>
    <w:p>
      <w:pPr>
        <w:spacing w:after="0" w:line="117"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We believe our intellectual property portfolio, engineering know-how, systems engineering experience, technological expertise, and experience in providing human experience product solutions to major OEMs of electronic devices position us to be a key technological enabler for multiple consumer electronic devices targeted to meet the mobile product applications markets. Mobile product applications include smartphones, augmented reality and virtual reality devices, tablets, large touchscreen applications, as well as a variety of mobile, handheld, and entertainment devices. Our array of product solutions for mobile product applications are designed to enrich the interface on smartphones, tablets, and peripherals, and enable the owner to view the screen on these devices and to more seamlessly interact with the content on these devices. We believe our existing technologies, our range of product solutions, and our emphasis on ease of use, advanced functionality, small size, low power consumption, durability, and reliability enable us to serve multiple aspects of the markets for mobile product applications and other electronic devices.</w:t>
      </w:r>
    </w:p>
    <w:p>
      <w:pPr>
        <w:spacing w:after="0" w:line="17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Net revenue for our mobile product applications accounted for approximately 30%, 52%, and 61% of our net revenue for fiscal 2021, 2020, and 2019, respectively. Our ongoing success in serving these markets will depend upon our ability to demonstrate to OEMs the advantages of our product solutions in terms of performance, usability, size, simplified security, durability, power consumption, integration, and industrial design possibilities; and the success of products utilizing our product solutions.</w:t>
      </w:r>
    </w:p>
    <w:p>
      <w:pPr>
        <w:spacing w:after="0" w:line="187"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 virtual reality, or VR, augmented reality, or AR, and mixed reality markets represent growth opportunities for our differentiated display driver products. The AR/VR market is expected to continue to grow, with many large OEMs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developing new products and applications. Our high-performance, low power display driver technology is well-suited to the demands of the AR/VR market.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p>
    <w:p>
      <w:pPr>
        <w:spacing w:after="0" w:line="225"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On July 17, 2020, we entered into a definitive agreement to acquire all of the equity interests in DisplayLink Corporation, or DisplayLink, a leader in high-performance video compression technology. The acquisition closed on July 31, 2020. As of March 27, 2021, our purchase consideration was $444.0 million. The results of DisplayLink are included in our consolidated financial statements for the period from August 1, 2020 through June 26, 2021. For further discussion of the DisplayLink acquisition, see Note 4 Acquisitions, Divestiture and Investment included in the consolidated financial statements contained elsewhere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w:t>
      </w:r>
    </w:p>
    <w:p>
      <w:pPr>
        <w:spacing w:after="0" w:line="225"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On July 2, 2020, we entered into definitive agreements with Broadcom to acquire certain assets and assume certain liabilities of, and obtain non-exclusive licenses relating to, Broadcom’s existing Wi-Fi, Bluetooth and GPS/global navigation satellite system, or GNSS, products and business in the IoT market, or the Broadcom Business Acquisition, for an aggregate consideration of $250.0 million in cash that closed on July 23, 2020. We also entered into certain transition agreements with Broadcom for a period of three years. The results of the Broadcom Business Acquisition are included in our condensed consolidated financial statements for the period from July 24, 2020 through June 26, 2021. For further discussion of the Broadcom Business Acquisition, see Note 4 Acquisitions, Divestiture and Investment included in the consolidated financial statements contained elsewhere in this report.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In December 2020, we completed the sale of limited audio technology intangible assets, received a fully-paid up perpetual license back from the buyer and, as an element of the transaction, licensed other audio technology intangible assets to the buyer under a fully-paid up perpetual license arrangement. Under the asset purchase agreement and the intellectual property license agreement, we received $35.0 million in cash. The gain on the sale of the audio technology assets was $34.2 million.</w:t>
      </w:r>
    </w:p>
    <w:p>
      <w:pPr>
        <w:spacing w:after="0" w:line="79"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In December 2019, we entered into an asset purchase agreement with a third-party to sell the assets of our liquid-crystal display, or LCD, Touch Controller and Display Driver Integration, or TDDI, product line for LCD mobile displays. We retained our automotive TDDI product line and our discrete touch and discrete display driver product lines supporting LCD and organic light-emitting diode, or OLED, for the mobile market. The assets sold under the asset purchase agreement for cash consideration of $138.7 million and had a carrying value of approximately $33.6 million as of the closing date of the transaction in April 2020. The gain on sale of this portion of a product line was $105.1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229"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252525"/>
        </w:rPr>
        <w:t>In December 2020, we invested $5.0 million in Eta Compute in exchange for preferred stock. This investment provides us with a partnership that enables us to better address expanded industry opportunities for artificial intelligence applications. The investment is accounted for under the cost method.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Our objective is to continue to enhance our position as a leading supplier of premium semiconductor product solutions for each of the target markets in which we operate, including the IoT applications market, the PC product applications market, and the mobile product applications markets, with a key focus on expanding our market share. Key aspects of our strategy to achieve this objective include those set forth below.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Extend Our Technological Leadership</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plan to utilize our extensive intellectual property portfolio, engineering know-how, and technological expertise to extend the functionality of our current product solutions and offer new and innovative product solutions to customers across multiple markets. We intend to continue utilizing our technological expertise to reduce the overall size, cost, and power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consumption of our product solutions while increasing their applications, capabilities, and performance. We plan to continue enhancing the ease of use and functionality of our solutions. We plan to invest in our research and development efforts through our engineering activities, including advancement of existing technologies, the hiring of key engineering personnel, and strategic acquisitions and alliances. We believe that these efforts will enable us to meet customer expectations and achieve our goal of supplying, on a timely and cost-effective basis, easy to use, functional human experience semiconductor product solutions to our target markets.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Focus on and Grow in the IoT Market</w:t>
      </w:r>
    </w:p>
    <w:p>
      <w:pPr>
        <w:spacing w:after="0" w:line="117"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We intend to capitalize on the growth of the IoT market including solutions for smart home and home automation, video delivery over wired and wireless, voice enabled assistants, virtual reality, video interface docking, and wearables. We intend to build upon our existing innovative and intuitive and intelligent semiconductor product solutions portfolio and continue to address the evolving portability, connectivity, security, and functionality requirements of these new markets. We will offer our solutions to existing and potential customers to enable increased functionality, reduced size, lower cost, simplified security, enhanced industrial design features, and to enhance the user experience of our OEMs’ products. We plan to utilize our existing technologies as well as aggressively pursue new technologies as new markets evolve that demand new solutions.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 Our Position in the PC Product, Smartphone, and Tablet Application Markets</w:t>
      </w:r>
    </w:p>
    <w:p>
      <w:pPr>
        <w:spacing w:after="0" w:line="117"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color w:val="auto"/>
        </w:rPr>
        <w:t>We intend to continue introducing market-leading human experience product solutions in terms of performance, power consumption, functionality, size, and ease of use for the PC product, smartphone, and tablet applications markets. We plan to continue enhancing our customers’ industrial design options and device functionality through innovative product development, in order to enhance and grow our position within our target markets. As the high-end market for smartphones continues the shift to OLED solutions, we intend to deliver further enhancements to our products to support that market.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Emphasize and Expand Customer Relationships</w:t>
      </w:r>
    </w:p>
    <w:p>
      <w:pPr>
        <w:spacing w:after="0" w:line="11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We intend to emphasize and expand our strong and long-standing customer relationships and seek to build and establish successful relationships with new customers. In each market we serve, we plan to provide the most advanced human experience product solutions for our customers. We believe that our human experience product solutions enable our customers to deliver a positive user experience and to differentiate their products from those of their competitors. We continually strive to enhance the competitive position of our customers by providing them with innovative, distinctive, and high-quality solutions on a timely and cost-effective basis. To do so, we work continually to improve our productivity, reduce costs, and increase the speed of delivery of our product solutions. We focus on providing timely pre- and post-sales support to our customers, assisting with their efforts to develop, integrate, and manufacture their products with our solutions.</w:t>
      </w:r>
    </w:p>
    <w:p>
      <w:pPr>
        <w:spacing w:after="0" w:line="195"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We plan to offer IoT voice, audio, and video solutions, wireless connectivity solutions, touch and display driver solutions, and fingerprint sensor solutions, as well as design tools, technical support and documentation to assist in the development of human experience designs in products such as PC peripherals, digital entertainment devices, smartphones, notebooks, and other applications. We offer our customers a choice of our chip solutions or our custom module solutions. Our chip solution consists of our proprietary integrated circuit, firmware, and software, including customer-specific firmware and software, while our custom module solution enables customers to utilize our proprietary integrated circuit together with third-party components and assembly.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Pursue Strategic Relationships and Acquisitions</w:t>
      </w:r>
    </w:p>
    <w:p>
      <w:pPr>
        <w:spacing w:after="0" w:line="117"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We intend to develop and expand our strategic relationships to enhance our ability to offer value-added semiconductor product solutions to our customers, penetrate new markets, and strengthen the technological leadership of our product solutions. We also intend to evaluate the potential acquisitions of companies and assets in order to expand our technological expertise and to establish or strengthen our presence in selected target markets.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Fabless Semiconductor Manufacturing</w:t>
      </w:r>
    </w:p>
    <w:p>
      <w:pPr>
        <w:spacing w:after="0" w:line="117"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color w:val="auto"/>
        </w:rPr>
        <w:t>We plan to selectively partner with foundries and backend processors to solidify our longstanding key supply chain relationships. This strategy results in a scalable business model, enables us to concentrate on our core competencies of research and development and product design and engineering, and reduces our capital expenditures and working capital requirements. Our fabless semiconductor manufacturing strategy allows us to maintain a variable cost model, in which we do not incur most of our manufacturing costs until our product solutions have been shipped and invoiced to our customers.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We develop advanced human experience technologies that enrich the users’ experience in interacting and engaging with their computing, communications, and entertainment devices. We engage with our customers in the design of their custom products and offer product solutions ranging from chips, which may include customer-specific firmware, to full module solutions. Our innovative and intuitive human experience product solutions are engineered to accommodate diverse platforms, and our expertise in device interfaces and usability help improve the features and functionality of our solutions. Our extensive array of technologies includes chips, firmware, software, mechanical and electrical designs, artificial intelligence, or AI, and algorithm-based pattern recognition, multi-finger touch-sensing technologies, advanced noise mitigation technologies, display driver technologies, image, voice, and multimedia processing.</w:t>
      </w:r>
    </w:p>
    <w:p>
      <w:pPr>
        <w:spacing w:after="0" w:line="195"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Our products are custom-engineered, total solutions including sensor design, module layout, application specific integrated circuits, or ASICs, firmware, and software features for which we provide design, manufacturing, and testing support. This allows us to be a one-stop supplier for complete human experience design from concept prototyping, to product development, manufacturing, testing and support. Through our engineering know-how and technological expertise, we provide our customers with solutions that address their individual design requirements and result in high-performance, feature-rich, and reliable interface solutions. We believe our solutions offer the following characteristics:</w:t>
      </w:r>
    </w:p>
    <w:p>
      <w:pPr>
        <w:spacing w:after="0" w:line="68" w:lineRule="exact"/>
        <w:rPr>
          <w:sz w:val="20"/>
          <w:szCs w:val="20"/>
          <w:color w:val="auto"/>
        </w:rPr>
      </w:pPr>
    </w:p>
    <w:p>
      <w:pPr>
        <w:jc w:val="both"/>
        <w:ind w:left="108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Advanced Functionality</w:t>
      </w:r>
      <w:r>
        <w:rPr>
          <w:rFonts w:ascii="Arial" w:cs="Arial" w:eastAsia="Arial" w:hAnsi="Arial"/>
          <w:sz w:val="18"/>
          <w:szCs w:val="18"/>
          <w:color w:val="auto"/>
        </w:rPr>
        <w:t>. Our solutions offer advanced features, such as voice barge-in, ambient noise cancellation, and video noise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to enhance the user experience, high-performance multimedia encode/decode for high resolution video processing and transport, security and AI algorithms embedded, face detect, force sensing, 240Hz touch report rate, and 144Hz display refresh technology for mobile applications.</w:t>
      </w:r>
    </w:p>
    <w:p>
      <w:pPr>
        <w:spacing w:after="0" w:line="78"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Low Power Consumption</w:t>
      </w:r>
      <w:r>
        <w:rPr>
          <w:rFonts w:ascii="Arial" w:cs="Arial" w:eastAsia="Arial" w:hAnsi="Arial"/>
          <w:sz w:val="18"/>
          <w:szCs w:val="18"/>
          <w:color w:val="auto"/>
        </w:rPr>
        <w:t>. The low power consumption of our solutions enables our customers to offer products with longer battery life</w:t>
      </w:r>
      <w:r>
        <w:rPr>
          <w:rFonts w:ascii="Arial" w:cs="Arial" w:eastAsia="Arial" w:hAnsi="Arial"/>
          <w:sz w:val="18"/>
          <w:szCs w:val="18"/>
          <w:i w:val="1"/>
          <w:iCs w:val="1"/>
          <w:color w:val="auto"/>
        </w:rPr>
        <w:t xml:space="preserve"> </w:t>
      </w:r>
      <w:r>
        <w:rPr>
          <w:rFonts w:ascii="Arial" w:cs="Arial" w:eastAsia="Arial" w:hAnsi="Arial"/>
          <w:sz w:val="18"/>
          <w:szCs w:val="18"/>
          <w:color w:val="auto"/>
        </w:rPr>
        <w:t>and/or smaller battery capacity.</w:t>
      </w:r>
    </w:p>
    <w:p>
      <w:pPr>
        <w:spacing w:after="0" w:line="6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Small Size</w:t>
      </w:r>
      <w:r>
        <w:rPr>
          <w:rFonts w:ascii="Arial" w:cs="Arial" w:eastAsia="Arial" w:hAnsi="Arial"/>
          <w:sz w:val="18"/>
          <w:szCs w:val="18"/>
          <w:color w:val="auto"/>
        </w:rPr>
        <w:t>. The small, thin size of our solutions and reduced number of external components enables our customers to reduce the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size and weight of their products in order to satisfy consumer demand for portability.</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Ease of Use. </w:t>
      </w:r>
      <w:r>
        <w:rPr>
          <w:rFonts w:ascii="Arial" w:cs="Arial" w:eastAsia="Arial" w:hAnsi="Arial"/>
          <w:sz w:val="18"/>
          <w:szCs w:val="18"/>
          <w:color w:val="auto"/>
        </w:rPr>
        <w:t>Our solutions offer the ease of use and intuitive interaction that users demand</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Reliability</w:t>
      </w:r>
      <w:r>
        <w:rPr>
          <w:rFonts w:ascii="Arial" w:cs="Arial" w:eastAsia="Arial" w:hAnsi="Arial"/>
          <w:sz w:val="18"/>
          <w:szCs w:val="18"/>
          <w:color w:val="auto"/>
        </w:rPr>
        <w:t>. The reliability of our solutions satisfies consumer requirements for dependability, which is a major component of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Durability</w:t>
      </w:r>
      <w:r>
        <w:rPr>
          <w:rFonts w:ascii="Arial" w:cs="Arial" w:eastAsia="Arial" w:hAnsi="Arial"/>
          <w:sz w:val="18"/>
          <w:szCs w:val="18"/>
          <w:color w:val="auto"/>
        </w:rPr>
        <w:t>. Our solutions withstand repeated use, harsh physical treatment, and temperature fluctuations while providing an enduring,</w:t>
      </w:r>
      <w:r>
        <w:rPr>
          <w:rFonts w:ascii="Arial" w:cs="Arial" w:eastAsia="Arial" w:hAnsi="Arial"/>
          <w:sz w:val="18"/>
          <w:szCs w:val="18"/>
          <w:i w:val="1"/>
          <w:iCs w:val="1"/>
          <w:color w:val="auto"/>
        </w:rPr>
        <w:t xml:space="preserve"> </w:t>
      </w:r>
      <w:r>
        <w:rPr>
          <w:rFonts w:ascii="Arial" w:cs="Arial" w:eastAsia="Arial" w:hAnsi="Arial"/>
          <w:sz w:val="18"/>
          <w:szCs w:val="18"/>
          <w:color w:val="auto"/>
        </w:rPr>
        <w:t>superior level of performance.</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Simplified Security</w:t>
      </w:r>
      <w:r>
        <w:rPr>
          <w:rFonts w:ascii="Arial" w:cs="Arial" w:eastAsia="Arial" w:hAnsi="Arial"/>
          <w:sz w:val="18"/>
          <w:szCs w:val="18"/>
          <w:color w:val="auto"/>
        </w:rPr>
        <w:t>. Our fingerprint authentication solutions protect the user’s identity, while simplifying the user experience for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devices.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these characteristics will enable us to continue enhancing our position as a technological enabler within our target markets.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family of product solutions allows our customers to solve their interface needs and differentiate their products from those of their competitors.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Ultra-Low Power Edge AI</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ultra-low power edge AI platform includes a highly integrated edge AI SOC designed for battery powered wireless devices equipped with audio or camera capabilities for consumer and industrial IoT applications. These solutions are designed for a wide range of power constrained IoT applications used in office buildings, retail, factories, warehouses, robotics, and smart homes and cities.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Connectivity</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wireless connectivity solutions include state-of-the-art Wi-Fi, Bluetooth, GPS, and GNSS, to address broad IoT market applications including home automation, multimedia streamers, security cameras, wireless speakers, games, drones, printers, wearable and fitness devices, in addition to numerous other applications which require a wireless connection.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AudioSmart®</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AudioSmart products bring forward optimum analog, mixed-signal and digital signal processor, or DSP, technologies for high-fidelity voice and audio processing. Our AudioSmart products include far-field voice technologies that enable accurate voice command recognition from a distance while disregarding other sounds, such as music, in order to activate smart devices such as smart speakers. AudioSmart also includes personal voice and audio solutions for high-performance headsets that enable active noise cancellation.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ConnectSmart</w:t>
      </w:r>
      <w:r>
        <w:rPr>
          <w:rFonts w:ascii="Arial" w:cs="Arial" w:eastAsia="Arial" w:hAnsi="Arial"/>
          <w:sz w:val="15"/>
          <w:szCs w:val="15"/>
          <w:i w:val="1"/>
          <w:iCs w:val="1"/>
          <w:color w:val="auto"/>
        </w:rPr>
        <w:t>™</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ConnectSmart video interface IC portfolio offers a full range of high-speed video/audio/data connectivity solutions that are designed for linking CPUs/GPUs and various endpoints for applications including PC docking stations, travel docks, dongles, protocol converters and virtual reality head mounted displays.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r>
        <w:rPr>
          <w:rFonts w:ascii="Arial" w:cs="Arial" w:eastAsia="Arial" w:hAnsi="Arial"/>
          <w:sz w:val="15"/>
          <w:szCs w:val="15"/>
          <w:i w:val="1"/>
          <w:iCs w:val="1"/>
          <w:color w:val="auto"/>
        </w:rPr>
        <w:t>®</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DisplayLink products utilize highly efficient video encode/decode algorithms to deliver a semiconductor-based solution which transmits compressed video frames across low bandwidth connections. These solutions are used in PC docking applications, conference room video display systems, and video casting applications.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VideoSmart™</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VideoSmart series SoCs include CPUs running at up to 40K Dhrystone Million Instructions per Second, gaming-grade Graphics Processing Unit, or GPUs, voice, and neural network processing units, or NPU. These powerful solutions combine a central processing unit, or CPU, NPU, and GPU, into a single software-enriched SoC. They enable smart multimedia devices including set-top boxes, or STB, over-the-top, or OTT, streaming devices, soundbars, surveillance cameras and smart displays.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ImagingSmart</w:t>
      </w:r>
      <w:r>
        <w:rPr>
          <w:rFonts w:ascii="Arial" w:cs="Arial" w:eastAsia="Arial" w:hAnsi="Arial"/>
          <w:sz w:val="15"/>
          <w:szCs w:val="15"/>
          <w:i w:val="1"/>
          <w:iCs w:val="1"/>
          <w:color w:val="auto"/>
        </w:rPr>
        <w:t>™</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ImagingSmart solutions include a product portfolio that spans four distinct product areas including document and photo imaging controllers, digital video, fax, and modem solutions. ImagingSmart products leverage image processing IP, JPEG encoders and DSP technology to deliver a wide range of fax, modem, digital video and printer solutions for home, mobile and imaging applications.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ID</w:t>
      </w:r>
      <w:r>
        <w:rPr>
          <w:rFonts w:ascii="Arial" w:cs="Arial" w:eastAsia="Arial" w:hAnsi="Arial"/>
          <w:sz w:val="15"/>
          <w:szCs w:val="15"/>
          <w:color w:val="auto"/>
        </w:rPr>
        <w:t>®</w:t>
      </w:r>
    </w:p>
    <w:p>
      <w:pPr>
        <w:spacing w:after="0" w:line="117"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Our Natural ID family of capacitive-based fingerprint ID products is designed for use in automobiles, notebook PCs, PC peripherals, and other applications. Thin form factors provide industrial design flexibility, while robust matching algorithms and anti-spoofing technology provide strong security. Our Natural ID family of products spans a range of form factors, colors, and materials suitable for design on the front, back or side of a device.</w:t>
      </w:r>
    </w:p>
    <w:p>
      <w:pPr>
        <w:spacing w:after="0" w:line="14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Natural ID products are designed to be compatible with Fast IDentity Online, or FIDO, protocols, enhancing security and interoperability with a broad range of solutions. FIDO was formed to enhance online authentication by developing open, scalable technical standards to help facilitate the adoption of robust, easy to use authentication that reduces the reliance on passwords. Natural ID products increase the security of automobile and PC products while maintaining ease of use for the customer.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TouchPad</w:t>
      </w:r>
      <w:r>
        <w:rPr>
          <w:rFonts w:ascii="Arial" w:cs="Arial" w:eastAsia="Arial" w:hAnsi="Arial"/>
          <w:sz w:val="15"/>
          <w:szCs w:val="15"/>
          <w:color w:val="auto"/>
        </w:rPr>
        <w:t>TM</w:t>
      </w:r>
    </w:p>
    <w:p>
      <w:pPr>
        <w:spacing w:after="0" w:line="117"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Our TouchPad family of products, which can take the place of, and exceed the functionality of a mouse, consists of a touch-sensitive pad that senses the position and movement of one or more fingers on its surface through the measurement of capacitance. Our TouchPad provides an accurate, comfortable, and reliable method for screen navigation, cursor movement, and gestures, and provides a platform for interactive input for both the consumer and corporate markets. Our TouchPad solutions allow our OEMs to provide stylish, simple, user-friendly, and intuitive solutions to consumers. Our TouchPad solutions also offer various advanced features, including scrolling, customizable tap zones, tapping and dragging of icons, and device interaction.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SecurePad</w:t>
      </w:r>
      <w:r>
        <w:rPr>
          <w:rFonts w:ascii="Arial" w:cs="Arial" w:eastAsia="Arial" w:hAnsi="Arial"/>
          <w:sz w:val="15"/>
          <w:szCs w:val="15"/>
          <w:color w:val="auto"/>
        </w:rPr>
        <w:t>TM</w:t>
      </w:r>
    </w:p>
    <w:p>
      <w:pPr>
        <w:spacing w:after="0" w:line="117"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SecurePad integrates our Natural ID fingerprint sensor directly into the TouchPad area, improving usability and simplifying the supply chain for notebook PC manufacturers.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ClickPad</w:t>
      </w:r>
      <w:r>
        <w:rPr>
          <w:rFonts w:ascii="Arial" w:cs="Arial" w:eastAsia="Arial" w:hAnsi="Arial"/>
          <w:sz w:val="15"/>
          <w:szCs w:val="15"/>
          <w:color w:val="auto"/>
        </w:rPr>
        <w:t>TM</w:t>
      </w:r>
    </w:p>
    <w:p>
      <w:pPr>
        <w:spacing w:after="0" w:line="11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Our ClickPad introduces a clickable mechanical design to the TouchPad solution, eliminating the need for physical buttons. The button-less design of our ClickPad allows for unique, intuitive industrial design and makes an excellent alternative to conventional input and navigation devices. Our ClickPad is activated by pressing down on the internal tact switch to perform left-button or right-button clicks and provides tactile feedback similar to pressing a physical button. The latest version of ClickPad features ClickEQ</w:t>
      </w:r>
      <w:r>
        <w:rPr>
          <w:rFonts w:ascii="Arial" w:cs="Arial" w:eastAsia="Arial" w:hAnsi="Arial"/>
          <w:sz w:val="15"/>
          <w:szCs w:val="15"/>
          <w:color w:val="auto"/>
        </w:rPr>
        <w:t>TM</w:t>
      </w:r>
      <w:r>
        <w:rPr>
          <w:rFonts w:ascii="Arial" w:cs="Arial" w:eastAsia="Arial" w:hAnsi="Arial"/>
          <w:sz w:val="18"/>
          <w:szCs w:val="18"/>
          <w:color w:val="auto"/>
        </w:rPr>
        <w:t>, a mechanical solution that provides uniform click depth to maximize the surface area available for gestures and improves click performance over hinged designs.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ForcePad®</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ForcePad is a thinner version of our ClickPad, which introduces a new dimension in control through the addition of variable force sensitivity. ForcePad is designed to provide consistent performance across OEM models through its design intelligence and self-calibration features. By detecting the amount of force applied, ForcePad is engineered to enable more intuitive and precise user interactions in operating system controls and applications. Designed with thin and light notebooks in mind, ForcePad is 40% thinner than a conventional touch pad.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ClearPad</w:t>
      </w:r>
      <w:r>
        <w:rPr>
          <w:rFonts w:ascii="Arial" w:cs="Arial" w:eastAsia="Arial" w:hAnsi="Arial"/>
          <w:sz w:val="15"/>
          <w:szCs w:val="15"/>
          <w:color w:val="auto"/>
        </w:rPr>
        <w:t>®</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ClearPad family of products enables the user to interact directly with the display on electronic devices, such as mobile smartphones, tablets, and automobiles. Our ClearPad has distinct advantages, including low-profile form factor; high reliability, durability, and accuracy; and low power consumption. We typically sell our ClearPad solution as a chip, together with customer-specific firmware, to sensor manufacturers, OLED manufacturers or LCD manufacturers, to integrate into their touch-enabled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ClearView</w:t>
      </w:r>
      <w:r>
        <w:rPr>
          <w:rFonts w:ascii="Arial" w:cs="Arial" w:eastAsia="Arial" w:hAnsi="Arial"/>
          <w:sz w:val="15"/>
          <w:szCs w:val="15"/>
          <w:color w:val="auto"/>
        </w:rPr>
        <w:t>TM</w:t>
      </w:r>
    </w:p>
    <w:p>
      <w:pPr>
        <w:spacing w:after="0" w:line="117"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Our ClearView display driver products offer advanced image processing and low power technology for displays on electronic devices, including smartphones and tablets. ClearView products include adaptive image processing that works in concert with proprietary customization options to enable development of efficient and cost-effective high-performance solutions and faster time to market. Our display driver products offer automatic regional control of color balance that optimizes light and dark areas of an image simultaneously, and sunlight readability enhancement capabilities that optimize image quality under various lighting conditions. Our virtual reality bridge and virtual reality display driver integrated circuit, or DDIC, chips enable our customers to move to higher resolution displays that solve the “screen door” effect caused by lower resolution displays.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TouchView</w:t>
      </w:r>
      <w:r>
        <w:rPr>
          <w:rFonts w:ascii="Arial" w:cs="Arial" w:eastAsia="Arial" w:hAnsi="Arial"/>
          <w:sz w:val="15"/>
          <w:szCs w:val="15"/>
          <w:color w:val="auto"/>
        </w:rPr>
        <w:t>TM</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TouchView solutions include our TDDI products that combine two chips, a touch controller, and a display driver, into a single chip that incorporates all the features of our ClearView and ClearPad products. TouchView products enable thinner form factors to help customers minimize component count and add flexibility to their industrial designs. These products are used in large screen devices, including notebooks and tablets, and are also certified for automotive display applications.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Products</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Other product solutions we offer include Dual Pointing Solutions, and TouchStyk</w:t>
      </w:r>
      <w:r>
        <w:rPr>
          <w:rFonts w:ascii="Arial" w:cs="Arial" w:eastAsia="Arial" w:hAnsi="Arial"/>
          <w:sz w:val="15"/>
          <w:szCs w:val="15"/>
          <w:color w:val="auto"/>
        </w:rPr>
        <w:t>TM</w:t>
      </w:r>
      <w:r>
        <w:rPr>
          <w:rFonts w:ascii="Arial" w:cs="Arial" w:eastAsia="Arial" w:hAnsi="Arial"/>
          <w:sz w:val="18"/>
          <w:szCs w:val="18"/>
          <w:color w:val="auto"/>
        </w:rPr>
        <w:t>. Our dual pointing solutions offer TouchPad with a pointing stick in a single notebook computer, enabling users to select their interface of choice. TouchStyk is a self-contained pointing stick module that uses capacitive technology similar to that used in our TouchPad.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Technologies</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have developed and own an extensive array of technologies, encompassing ASICs, firmware, software, mechanical and electrical designs, display systems, pattern recognition, touch-sensing technologies, fingerprint sensing, voice, audio,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imaging, modem, and multimedia technologies. We continue to develop technology in these areas. We believe these technologies and the related intellectual property rights create barriers for competitors and allow us to provide high-value human experience semiconductor product solutions in a variety of high-growth markets.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broad line of semiconductor product solutions is currently based upon the following key technologies:</w:t>
      </w:r>
    </w:p>
    <w:p>
      <w:pPr>
        <w:spacing w:after="0" w:line="117"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Proprietary microcontroller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Proprietary vector co-processor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Multimedia processing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Voice and audio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Pattern recognition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Deep learning and neural network inferencing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Mixed-signal integrated circuit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Wireless connectivity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Video interface and compression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Imaging and modem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Capacitive position and force sensing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Capacitive active pen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Multi-touch technology;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Display systems and circuit technology.</w:t>
      </w:r>
    </w:p>
    <w:p>
      <w:pPr>
        <w:spacing w:after="0" w:line="225"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auto"/>
        </w:rPr>
        <w:t>In addition to these technologies, we develop firmware and device driver software that we incorporate into our products, which provide unique and advanced features. In addition, our ability to integrate all our products to interface with major operating systems provides us with a competitive advantage.</w:t>
      </w:r>
    </w:p>
    <w:p>
      <w:pPr>
        <w:spacing w:after="0" w:line="12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Proprietary Microcontroller Technology</w:t>
      </w:r>
      <w:r>
        <w:rPr>
          <w:rFonts w:ascii="Arial" w:cs="Arial" w:eastAsia="Arial" w:hAnsi="Arial"/>
          <w:sz w:val="18"/>
          <w:szCs w:val="18"/>
          <w:color w:val="auto"/>
        </w:rPr>
        <w:t>. One example of our microcontroller technology is our proprietary 16-bit microcontroller core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embedded in the digital portion of our capacitive touch mixed signal ASICs, which is allowing us to optimize our ASICs for position sensing tasks. Our embedded microcontroller provides great flexibility in customizing our products via firmware, which eliminates the need to design new circuitry for each new application.</w:t>
      </w:r>
    </w:p>
    <w:p>
      <w:pPr>
        <w:spacing w:after="0" w:line="1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 xml:space="preserve">Proprietary Vector Co-Processor Technology. </w:t>
      </w:r>
      <w:r>
        <w:rPr>
          <w:rFonts w:ascii="Arial" w:cs="Arial" w:eastAsia="Arial" w:hAnsi="Arial"/>
          <w:sz w:val="18"/>
          <w:szCs w:val="18"/>
          <w:color w:val="auto"/>
        </w:rPr>
        <w:t>Our vector co-processor technology is designed for use in our ASICs, accompanying either one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own proprietary microcontroller cores or a commercially available one. The co-processor boosts an ASIC’s computational performance by efficiently processing vectors of data for a range of mathematical operations. This allows us to implement more computationally intensive algorithms within our firmware.</w:t>
      </w:r>
    </w:p>
    <w:p>
      <w:pPr>
        <w:spacing w:after="0" w:line="1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Multimedia Processing Technology</w:t>
      </w:r>
      <w:r>
        <w:rPr>
          <w:rFonts w:ascii="Arial" w:cs="Arial" w:eastAsia="Arial" w:hAnsi="Arial"/>
          <w:sz w:val="18"/>
          <w:szCs w:val="18"/>
          <w:color w:val="auto"/>
        </w:rPr>
        <w:t>. This technology allows us to create multimedia SoC products for set-top boxes, soundbars, digital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assistants, smart displays, virtual reality, OTT, audio, and video. Our video processing technology includes hardware and algorithms to reduce analog and digital noise, convert to different video formats, and enhance color and contrast. Our products include security and secure encrypt/decrypt technology, including secure boot and hardware root of trust.</w:t>
      </w:r>
    </w:p>
    <w:p>
      <w:pPr>
        <w:spacing w:after="0" w:line="187"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i w:val="1"/>
          <w:iCs w:val="1"/>
          <w:color w:val="auto"/>
        </w:rPr>
        <w:t xml:space="preserve">Voice and Audio Technology. </w:t>
      </w:r>
      <w:r>
        <w:rPr>
          <w:rFonts w:ascii="Arial" w:cs="Arial" w:eastAsia="Arial" w:hAnsi="Arial"/>
          <w:sz w:val="17"/>
          <w:szCs w:val="17"/>
          <w:color w:val="auto"/>
        </w:rPr>
        <w:t>This technology allows us to develop human experience and communication products based on voice and audio</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interaction. The technology embodies a broad range of analog and mixed signal circuits expertise and audio signal processing algorithms, including:</w:t>
      </w:r>
    </w:p>
    <w:p>
      <w:pPr>
        <w:spacing w:after="0" w:line="38"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Noise suppression;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Acoustic echo cancellation;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Active noise cancellation;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Trigger word detection;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Mid-field and far-field voice processing;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Audio digital signal processor architecture;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Audio codecs;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Audio post processing;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performance audio analog-to-digital converters, or ADCs, and digital-to-analog converters, or DACs;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Audio amplifiers;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 power audio processing;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Speaker protection;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acoustic design.</w:t>
      </w:r>
    </w:p>
    <w:p>
      <w:pPr>
        <w:spacing w:after="0" w:line="225"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i w:val="1"/>
          <w:iCs w:val="1"/>
          <w:color w:val="auto"/>
        </w:rPr>
        <w:t xml:space="preserve">Pattern Recognition Technology. </w:t>
      </w:r>
      <w:r>
        <w:rPr>
          <w:rFonts w:ascii="Arial" w:cs="Arial" w:eastAsia="Arial" w:hAnsi="Arial"/>
          <w:sz w:val="17"/>
          <w:szCs w:val="17"/>
          <w:color w:val="auto"/>
        </w:rPr>
        <w:t>This technology is a set of software algorithms and techniques for converting real world data, such as gestures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handwriting, into a digital form that can be recognized and manipulated within a computer. Our technology provides reliable gesture decoding and handwriting recognition and can be used in other applications such as signature verification for a richer user experience.</w:t>
      </w:r>
    </w:p>
    <w:p>
      <w:pPr>
        <w:spacing w:after="0" w:line="165"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i w:val="1"/>
          <w:iCs w:val="1"/>
          <w:color w:val="auto"/>
        </w:rPr>
        <w:t xml:space="preserve">Deep Learning and Neural Network Inferencing Technology. </w:t>
      </w:r>
      <w:r>
        <w:rPr>
          <w:rFonts w:ascii="Arial" w:cs="Arial" w:eastAsia="Arial" w:hAnsi="Arial"/>
          <w:sz w:val="18"/>
          <w:szCs w:val="18"/>
          <w:color w:val="auto"/>
        </w:rPr>
        <w:t>This technology allows us to create and train deep neural networks for audio, image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video processing and computer vision functions. Some of our products contain hardware designed to evaluate deep neural networks securely and with low latency. We also have technology that allows us to compress our trained neural networks for more efficient AI-at-the-edge on our hardware. These neural network algorithms improve the quality of the sensed data (for example, reduce the noise, or increase the resolution) as well as interpret the sensed data.</w:t>
      </w:r>
    </w:p>
    <w:p>
      <w:pPr>
        <w:spacing w:after="0" w:line="18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Mixed-Signal Integrated Circuit Technology</w:t>
      </w:r>
      <w:r>
        <w:rPr>
          <w:rFonts w:ascii="Arial" w:cs="Arial" w:eastAsia="Arial" w:hAnsi="Arial"/>
          <w:sz w:val="18"/>
          <w:szCs w:val="18"/>
          <w:color w:val="auto"/>
        </w:rPr>
        <w:t>. This hybrid analog-digital integrated circuit technology combines the power of digital computation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ability to interface with non-digital, real-world signals, such as the position of a finger or stylus on a surface. Our patented design techniques permit us to utilize this technology to optimize our core ASIC engine for all our products. Our mixed-signal technology consists of a broad portfolio of circuit expertise in areas such as the following:</w:t>
      </w:r>
    </w:p>
    <w:p>
      <w:pPr>
        <w:spacing w:after="0" w:line="7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High-speed serial interfaces;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Analog-to-digital and digital-to-analog converters;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Electromagnetic emissions suppression and susceptibility hardening;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Very Large Scale Integrated, or VLSI, digital circuits with multiple clock and power domains;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Communications and signal processing circuits;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management (switching converters, charge pumps, and LDOs);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Precision capacitance measurement;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Display timing controllers, or TCONs.</w:t>
      </w:r>
    </w:p>
    <w:p>
      <w:pPr>
        <w:spacing w:after="0" w:line="225"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i w:val="1"/>
          <w:iCs w:val="1"/>
          <w:color w:val="auto"/>
        </w:rPr>
        <w:t xml:space="preserve">Wireless Technology. </w:t>
      </w:r>
      <w:r>
        <w:rPr>
          <w:rFonts w:ascii="Arial" w:cs="Arial" w:eastAsia="Arial" w:hAnsi="Arial"/>
          <w:sz w:val="18"/>
          <w:szCs w:val="18"/>
          <w:color w:val="auto"/>
        </w:rPr>
        <w:t>Our wireless connectivity solutions include discrete and integrated Wi-Fi and Bluetooth solutions, and satellite-based</w:t>
      </w:r>
      <w:r>
        <w:rPr>
          <w:rFonts w:ascii="Arial" w:cs="Arial" w:eastAsia="Arial" w:hAnsi="Arial"/>
          <w:sz w:val="18"/>
          <w:szCs w:val="18"/>
          <w:i w:val="1"/>
          <w:iCs w:val="1"/>
          <w:color w:val="auto"/>
        </w:rPr>
        <w:t xml:space="preserve"> </w:t>
      </w:r>
      <w:r>
        <w:rPr>
          <w:rFonts w:ascii="Arial" w:cs="Arial" w:eastAsia="Arial" w:hAnsi="Arial"/>
          <w:sz w:val="18"/>
          <w:szCs w:val="18"/>
          <w:color w:val="auto"/>
        </w:rPr>
        <w:t>GPS/GNSS mobile navigation receivers. Wi-Fi allows devices on a local area network to communicate wirelessly, adding the convenience of mobility to the utility of high-speed data networks. We offer a family of high performance, low power Wi-Fi chipsets. We offer products which incorporate the latest Wi-Fi standards such as 802.11AX, which is known as Wifi-6. Bluetooth is a low power technology that enables direct connectivity between devices. We offer a family of Bluetooth silicon and software solutions that enable customers to easily and cost-effectively add Bluetooth functionality to virtually any device. These solutions include combination chips that offer integrated Wi-Fi and Bluetooth functionality, which provides significant performance advantages over discrete solutions.</w:t>
      </w:r>
    </w:p>
    <w:p>
      <w:pPr>
        <w:spacing w:after="0" w:line="195"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also offer a family of GPS and GNSS semiconductor products, software, and data services. These products are part of a broad location platform that enable customer devices to wirelessly communicate and receive precise location and navigational data from satellite constellations for use in various location services applications.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ind w:firstLine="546"/>
        <w:spacing w:after="0" w:line="255" w:lineRule="auto"/>
        <w:rPr>
          <w:sz w:val="20"/>
          <w:szCs w:val="20"/>
          <w:color w:val="auto"/>
        </w:rPr>
      </w:pPr>
      <w:r>
        <w:rPr>
          <w:rFonts w:ascii="Arial" w:cs="Arial" w:eastAsia="Arial" w:hAnsi="Arial"/>
          <w:sz w:val="18"/>
          <w:szCs w:val="18"/>
          <w:i w:val="1"/>
          <w:iCs w:val="1"/>
          <w:color w:val="auto"/>
        </w:rPr>
        <w:t xml:space="preserve">Video Compression Technology. </w:t>
      </w:r>
      <w:r>
        <w:rPr>
          <w:rFonts w:ascii="Arial" w:cs="Arial" w:eastAsia="Arial" w:hAnsi="Arial"/>
          <w:sz w:val="18"/>
          <w:szCs w:val="18"/>
          <w:color w:val="auto"/>
        </w:rPr>
        <w:t>Our video interface solutions include our ConnectSmart and DisplayLink portfolios, offering a full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interface solutions that connect devices to external displays and support the latest versions of the most widely used protocols, connectors, and operating systems. Our flexible product lines for connecting devices combine high-performance interface with low power consumption and are designed for both commercial and consumer end-products. Our solutions have been broadly adopted by the top OEMs and original device manufacturers, or ODMs, to enable video expansion and protocol conversion, leverage high-end features, and deliver the bandwidth needed to drive multiple high-resolution external displays simultaneously.</w:t>
      </w:r>
    </w:p>
    <w:p>
      <w:pPr>
        <w:spacing w:after="0" w:line="192"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i w:val="1"/>
          <w:iCs w:val="1"/>
          <w:color w:val="auto"/>
        </w:rPr>
        <w:t>Imaging and Modem Technology</w:t>
      </w:r>
      <w:r>
        <w:rPr>
          <w:rFonts w:ascii="Arial" w:cs="Arial" w:eastAsia="Arial" w:hAnsi="Arial"/>
          <w:sz w:val="18"/>
          <w:szCs w:val="18"/>
          <w:color w:val="auto"/>
        </w:rPr>
        <w:t>. This technology allows us to create a family of SoC integrated circuits and software for printers, video cameras,</w:t>
      </w:r>
      <w:r>
        <w:rPr>
          <w:rFonts w:ascii="Arial" w:cs="Arial" w:eastAsia="Arial" w:hAnsi="Arial"/>
          <w:sz w:val="18"/>
          <w:szCs w:val="18"/>
          <w:i w:val="1"/>
          <w:iCs w:val="1"/>
          <w:color w:val="auto"/>
        </w:rPr>
        <w:t xml:space="preserve"> </w:t>
      </w:r>
      <w:r>
        <w:rPr>
          <w:rFonts w:ascii="Arial" w:cs="Arial" w:eastAsia="Arial" w:hAnsi="Arial"/>
          <w:sz w:val="18"/>
          <w:szCs w:val="18"/>
          <w:color w:val="auto"/>
        </w:rPr>
        <w:t>fax machines and modems. Key functional blocks include:</w:t>
      </w:r>
    </w:p>
    <w:p>
      <w:pPr>
        <w:spacing w:after="0" w:line="6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Image processing hardware accelerators;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Printer imaging pipeline;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Inkjet, laser, and thermal print engine and motor control;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Scan/camera and peripheral control;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and fax modem hardware and firmware.</w:t>
      </w:r>
    </w:p>
    <w:p>
      <w:pPr>
        <w:spacing w:after="0" w:line="225"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i w:val="1"/>
          <w:iCs w:val="1"/>
          <w:color w:val="auto"/>
        </w:rPr>
        <w:t>Capacitive Fingerprint Sensing Technology</w:t>
      </w:r>
      <w:r>
        <w:rPr>
          <w:rFonts w:ascii="Arial" w:cs="Arial" w:eastAsia="Arial" w:hAnsi="Arial"/>
          <w:sz w:val="16"/>
          <w:szCs w:val="16"/>
          <w:color w:val="auto"/>
        </w:rPr>
        <w:t>. Our fingerprint sensing technology simplifies the system or application authentication process by</w:t>
      </w:r>
      <w:r>
        <w:rPr>
          <w:rFonts w:ascii="Arial" w:cs="Arial" w:eastAsia="Arial" w:hAnsi="Arial"/>
          <w:sz w:val="16"/>
          <w:szCs w:val="16"/>
          <w:i w:val="1"/>
          <w:iCs w:val="1"/>
          <w:color w:val="auto"/>
        </w:rPr>
        <w:t xml:space="preserve"> </w:t>
      </w:r>
      <w:r>
        <w:rPr>
          <w:rFonts w:ascii="Arial" w:cs="Arial" w:eastAsia="Arial" w:hAnsi="Arial"/>
          <w:sz w:val="16"/>
          <w:szCs w:val="16"/>
          <w:color w:val="auto"/>
        </w:rPr>
        <w:t>substituting the user’s fingerprint for the login name and password. Our capacitive fingerprint sensing technology provides for fingerprint authentication by scanning and matching an image of a user’s fingerprint, as well as initial fingerprint enrollment. Our sensing technology also incorporates spoof detection and includes many implementation choices including the back of the phone or PC, button integration, touchpad integration, and under glass.</w:t>
      </w:r>
    </w:p>
    <w:p>
      <w:pPr>
        <w:spacing w:after="0" w:line="157"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i w:val="1"/>
          <w:iCs w:val="1"/>
          <w:color w:val="auto"/>
        </w:rPr>
        <w:t>Capacitive Position and Force Sensing Technology</w:t>
      </w:r>
      <w:r>
        <w:rPr>
          <w:rFonts w:ascii="Arial" w:cs="Arial" w:eastAsia="Arial" w:hAnsi="Arial"/>
          <w:sz w:val="18"/>
          <w:szCs w:val="18"/>
          <w:color w:val="auto"/>
        </w:rPr>
        <w:t>. Our Position Sensing technology provides a method for sensing the presence, position,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contact area of one or more fingers or a stylus on a flat or curved surface. Our technology works with very light touch, supports full multi-touch capabilities, and provides highly responsive cursor navigation, scrolling, and selection. It uses no moving parts, can be implemented under plastic or glass, and is extremely durable. Our technology can also track one or more fingers in proximity to the touch surface. Our Force Sensing technology senses the direction and magnitude of a force applied to an object. The object can either move when force is applied, like a typical joystick used for gaming applications, or it can be isometric, with no perceptible motion during use, like our TouchStyk, ForcePad, or ClearForce. The primary competition for this technology is resistive strain gauge technology. Our electronic circuitry determines the magnitude and direction of an applied force, permits very accurate sensing of tiny changes in capacitance, and minimizes electrical interference from other sources. Our capacitive force sensing technology can be integrated with our position sensing technology.</w:t>
      </w:r>
    </w:p>
    <w:p>
      <w:pPr>
        <w:spacing w:after="0" w:line="196"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i w:val="1"/>
          <w:iCs w:val="1"/>
          <w:color w:val="auto"/>
        </w:rPr>
        <w:t>Capacitive Active Pen Technology</w:t>
      </w:r>
      <w:r>
        <w:rPr>
          <w:rFonts w:ascii="Arial" w:cs="Arial" w:eastAsia="Arial" w:hAnsi="Arial"/>
          <w:sz w:val="18"/>
          <w:szCs w:val="18"/>
          <w:color w:val="auto"/>
        </w:rPr>
        <w:t>. This technology allows us to develop a pen that can be used for input on a capacitive touchscreen.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 signal that allows the touchscreen to track the pen, additional data, such as the pen applied force and pen button states, are also communicated to the touchscreen device. Information can also be communicated from the touchscreen to the pen.</w:t>
      </w:r>
    </w:p>
    <w:p>
      <w:pPr>
        <w:spacing w:after="0" w:line="18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 xml:space="preserve">Multi-touch Technology. </w:t>
      </w:r>
      <w:r>
        <w:rPr>
          <w:rFonts w:ascii="Arial" w:cs="Arial" w:eastAsia="Arial" w:hAnsi="Arial"/>
          <w:sz w:val="18"/>
          <w:szCs w:val="18"/>
          <w:color w:val="auto"/>
        </w:rPr>
        <w:t>This technology allows us to create capacitive touch products that simultaneously track the presence, position,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multiple objects in contact with or in close proximity to a flat or curved touch surface. It enables, for example, the recognition of multi-finger gestures, the tracking of a stylus position while the user’s palm is also in contact with the touch surface, and the simultaneous interaction of multiple users with the same touch surface.</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i w:val="1"/>
          <w:iCs w:val="1"/>
          <w:color w:val="auto"/>
        </w:rPr>
        <w:t>Display Systems and Circuit Technology</w:t>
      </w:r>
      <w:r>
        <w:rPr>
          <w:rFonts w:ascii="Arial" w:cs="Arial" w:eastAsia="Arial" w:hAnsi="Arial"/>
          <w:sz w:val="18"/>
          <w:szCs w:val="18"/>
          <w:color w:val="auto"/>
        </w:rPr>
        <w:t>. This technology enables us to develop optimized human experience semiconductor product solutions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compatibility with their application environments. This technology consists of mobile and large format display semiconductor expertise, including the following functional blocks:</w:t>
      </w:r>
    </w:p>
    <w:p>
      <w:pPr>
        <w:spacing w:after="0" w:line="76"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TCONs;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Thin-Film-Transistor, or TFT, gamma references;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Smooth dimming and content adaptive brightness control;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Contrast enhancement;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Color enhancement;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Gamma curve control;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Force, touch, and display synchronization;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area active contrast optimization;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Adaptive image compression and decompression;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Sub-pixel rendering;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Demura compensation;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Rounded corner processing;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Frame rate control;</w:t>
      </w:r>
    </w:p>
    <w:p>
      <w:pPr>
        <w:spacing w:after="0" w:line="117"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High-speed serial interfaces such as mobile industry processor interface display serial interface, or MIPI DSI, and Qualcomm mobile display digital interface, or MDDI; and</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Display power circuits such as inductive switchers, charge pumps, and LDOs.</w:t>
      </w:r>
    </w:p>
    <w:p>
      <w:pPr>
        <w:spacing w:after="0" w:line="22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This technology also enables us to develop advanced products that combine the functions of the display and touch sensing systems to enable highly integrated display and touch functionality with improved performance, thinner form factors, and lower system cost.</w:t>
      </w:r>
    </w:p>
    <w:p>
      <w:pPr>
        <w:spacing w:after="0" w:line="170"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latest addition to our automotive portfolio is an automotive-grade TDDI for indium gallium zinc oxide and amorphous silicon gate-in-panel displays and low-temperature polycrystalline panels up to 4K resolution.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conduct ongoing research and development programs that focus on advancing our existing interface technologies, improving our current product solutions, developing new products, improving design and manufacturing processes, enhancing the quality and performance of our product solutions, and expanding our technologies to serve new markets. Our goal is to provide our customers with innovative solutions that address their needs and improve their competitive positions.</w:t>
      </w:r>
    </w:p>
    <w:p>
      <w:pPr>
        <w:spacing w:after="0" w:line="187"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Our research and development programs focus on the development of accurate, easy to use, reliable, and intuitive human experiences for electronic devices. We believe our innovative interface technologies can be applied to many diverse products, and we believe the interface is a key factor in the differentiation of these products. AI-at-the-edge is a focus area for us in enabling better performance and enhancing user experience in many of these products. We believe that our interface technologies enable us to provide customers with product solutions that have significant advantages over alternative technologies in terms of functionality, size, power consumption, durability, and reliability. We also intend to pursue strategic relationships and acquisitions to enhance our research and development capabilities, leverage our technology, and shorten our time to market with new technological applications.</w:t>
      </w:r>
    </w:p>
    <w:p>
      <w:pPr>
        <w:spacing w:after="0" w:line="16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research, design, and engineering teams frequently work directly with our customers to design custom solutions for specific applications. We focus on enabling our customers to overcome their technical barriers and enhance the performance of their products. We believe our engineering know-how and electronic systems expertise provide significant benefits to our customers by enabling them to concentrate on their core competencies of production and marketing.</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As of the end of fiscal 2021, we employed 1,085 people in our technology, engineering, and product design functions in the United States, or the U.S., China, Taiwan, Japan, the United Kingdom, or the U.K., India, Poland, Korea, and Hong Kong. Our research and development expenses were $313.4 million, $302.5 million, and $342.7 million for fiscal 2021, 2020,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success and ability to compete depend in part on our ability to maintain the proprietary aspects of our technologies and products. We rely on a combination of patents, trademarks, trade secrets, copyrights, confidentiality agreements, and other statutory and contractual provisions to protect our intellectual property, but these measures may provide only limited protection.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jc w:val="both"/>
        <w:ind w:firstLine="546"/>
        <w:spacing w:after="0" w:line="257" w:lineRule="auto"/>
        <w:rPr>
          <w:sz w:val="20"/>
          <w:szCs w:val="20"/>
          <w:color w:val="auto"/>
        </w:rPr>
      </w:pPr>
      <w:r>
        <w:rPr>
          <w:rFonts w:ascii="Arial" w:cs="Arial" w:eastAsia="Arial" w:hAnsi="Arial"/>
          <w:sz w:val="18"/>
          <w:szCs w:val="18"/>
          <w:color w:val="auto"/>
        </w:rPr>
        <w:t>As of June 26, 2021, we held 2,095 active patents and 708 pending patent applications worldwide that expire between 2021 and 2042. Collectively, these patents and patent applications cover various aspects of our key technologies, including those for touch sensing, voice processing, secure biometrics, display drivers, touch and display integration, docks and adapters, video interfaces, WiFi, Bluetooth, GPS, audio processing, video processing, edge computing, open AI tools, and computer vision. Our proprietary firmware and software, including source code, are also protected by copyright laws and applicable trade secret laws.</w:t>
      </w:r>
    </w:p>
    <w:p>
      <w:pPr>
        <w:spacing w:after="0" w:line="188"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Our extensive array of technologies include those related to ICs, firmware, software, and mechanical hardware. Our products rely on a combination of these technologies, making it difficult to use any single technology as the basis for replicating our products. Furthermore, the lengths of our customers’ design cycles and the customizations required within the products we provide to our customers also serve to protect our intellectual property rights.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Our customers include many of the world’s largest mobile and PC OEMs, based on unit shipments, as well as many large IoT OEMs, automotive manufacturers and a variety of consumer electronics manufacturers. Our demonstrated track record of technological leadership, design innovation, product performance, cost-effectiveness, and on-time deliveries have resulted in our leadership position in providing human experience semiconductor product solutions. We believe our strong relationship with our OEM customers, many of which are also currently developing product solutions which are focused in several of our target markets, will continue to position us as a source of supply for their product offerings.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leading OEM customers in fiscal 2021 included the following:</w:t>
      </w:r>
    </w:p>
    <w:p>
      <w:pPr>
        <w:spacing w:after="0" w:line="219" w:lineRule="exact"/>
        <w:rPr>
          <w:sz w:val="20"/>
          <w:szCs w:val="20"/>
          <w:color w:val="auto"/>
        </w:rPr>
      </w:pPr>
    </w:p>
    <w:tbl>
      <w:tblPr>
        <w:tblLayout w:type="fixed"/>
        <w:tblInd w:w="2430" w:type="dxa"/>
        <w:tblCellMar>
          <w:top w:w="0" w:type="dxa"/>
          <w:left w:w="0" w:type="dxa"/>
          <w:bottom w:w="0" w:type="dxa"/>
          <w:right w:w="0" w:type="dxa"/>
        </w:tblCellMar>
      </w:tblPr>
      <w:tr>
        <w:trPr>
          <w:trHeight w:val="230"/>
        </w:trPr>
        <w:tc>
          <w:tcPr>
            <w:tcW w:w="322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Acer</w:t>
            </w:r>
          </w:p>
        </w:tc>
        <w:tc>
          <w:tcPr>
            <w:tcW w:w="322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Microsoft</w:t>
            </w:r>
          </w:p>
        </w:tc>
      </w:tr>
      <w:tr>
        <w:trPr>
          <w:trHeight w:val="209"/>
        </w:trPr>
        <w:tc>
          <w:tcPr>
            <w:tcW w:w="3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Ampak</w:t>
            </w:r>
          </w:p>
        </w:tc>
        <w:tc>
          <w:tcPr>
            <w:tcW w:w="32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Oculus</w:t>
            </w:r>
          </w:p>
        </w:tc>
      </w:tr>
      <w:tr>
        <w:trPr>
          <w:trHeight w:val="209"/>
        </w:trPr>
        <w:tc>
          <w:tcPr>
            <w:tcW w:w="3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Bouygues Telecom</w:t>
            </w:r>
          </w:p>
        </w:tc>
        <w:tc>
          <w:tcPr>
            <w:tcW w:w="32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Oppo Mobile</w:t>
            </w:r>
          </w:p>
        </w:tc>
      </w:tr>
      <w:tr>
        <w:trPr>
          <w:trHeight w:val="210"/>
        </w:trPr>
        <w:tc>
          <w:tcPr>
            <w:tcW w:w="3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Dell</w:t>
            </w:r>
          </w:p>
        </w:tc>
        <w:tc>
          <w:tcPr>
            <w:tcW w:w="32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Poly</w:t>
            </w:r>
          </w:p>
        </w:tc>
      </w:tr>
      <w:tr>
        <w:trPr>
          <w:trHeight w:val="209"/>
        </w:trPr>
        <w:tc>
          <w:tcPr>
            <w:tcW w:w="3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Ford</w:t>
            </w:r>
          </w:p>
        </w:tc>
        <w:tc>
          <w:tcPr>
            <w:tcW w:w="32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Samsung</w:t>
            </w:r>
          </w:p>
        </w:tc>
      </w:tr>
      <w:tr>
        <w:trPr>
          <w:trHeight w:val="210"/>
        </w:trPr>
        <w:tc>
          <w:tcPr>
            <w:tcW w:w="3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Fujitsu</w:t>
            </w:r>
          </w:p>
        </w:tc>
        <w:tc>
          <w:tcPr>
            <w:tcW w:w="32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Sony</w:t>
            </w:r>
          </w:p>
        </w:tc>
      </w:tr>
      <w:tr>
        <w:trPr>
          <w:trHeight w:val="209"/>
        </w:trPr>
        <w:tc>
          <w:tcPr>
            <w:tcW w:w="3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Google</w:t>
            </w:r>
          </w:p>
        </w:tc>
        <w:tc>
          <w:tcPr>
            <w:tcW w:w="32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Targus</w:t>
            </w:r>
          </w:p>
        </w:tc>
      </w:tr>
      <w:tr>
        <w:trPr>
          <w:trHeight w:val="209"/>
        </w:trPr>
        <w:tc>
          <w:tcPr>
            <w:tcW w:w="3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Goodway</w:t>
            </w:r>
          </w:p>
        </w:tc>
        <w:tc>
          <w:tcPr>
            <w:tcW w:w="32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Technicolor</w:t>
            </w:r>
          </w:p>
        </w:tc>
      </w:tr>
      <w:tr>
        <w:trPr>
          <w:trHeight w:val="210"/>
        </w:trPr>
        <w:tc>
          <w:tcPr>
            <w:tcW w:w="3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Hewlett-Packard</w:t>
            </w:r>
          </w:p>
        </w:tc>
        <w:tc>
          <w:tcPr>
            <w:tcW w:w="32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Toshiba</w:t>
            </w:r>
          </w:p>
        </w:tc>
      </w:tr>
      <w:tr>
        <w:trPr>
          <w:trHeight w:val="210"/>
        </w:trPr>
        <w:tc>
          <w:tcPr>
            <w:tcW w:w="3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Honor</w:t>
            </w:r>
          </w:p>
        </w:tc>
        <w:tc>
          <w:tcPr>
            <w:tcW w:w="32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Toyota Motor</w:t>
            </w:r>
          </w:p>
        </w:tc>
      </w:tr>
      <w:tr>
        <w:trPr>
          <w:trHeight w:val="210"/>
        </w:trPr>
        <w:tc>
          <w:tcPr>
            <w:tcW w:w="3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Huawei</w:t>
            </w:r>
          </w:p>
        </w:tc>
        <w:tc>
          <w:tcPr>
            <w:tcW w:w="32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Vivo</w:t>
            </w:r>
          </w:p>
        </w:tc>
      </w:tr>
      <w:tr>
        <w:trPr>
          <w:trHeight w:val="210"/>
        </w:trPr>
        <w:tc>
          <w:tcPr>
            <w:tcW w:w="3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Lenovo</w:t>
            </w:r>
          </w:p>
        </w:tc>
        <w:tc>
          <w:tcPr>
            <w:tcW w:w="32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Winstar</w:t>
            </w:r>
          </w:p>
        </w:tc>
      </w:tr>
      <w:tr>
        <w:trPr>
          <w:trHeight w:val="209"/>
        </w:trPr>
        <w:tc>
          <w:tcPr>
            <w:tcW w:w="3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Logitech</w:t>
            </w:r>
          </w:p>
        </w:tc>
        <w:tc>
          <w:tcPr>
            <w:tcW w:w="32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Xiaomi</w:t>
            </w:r>
          </w:p>
        </w:tc>
      </w:tr>
    </w:tbl>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We generally supply custom-designed products to OEMs through their </w:t>
      </w:r>
      <w:r>
        <w:rPr>
          <w:rFonts w:ascii="Arial" w:cs="Arial" w:eastAsia="Arial" w:hAnsi="Arial"/>
          <w:sz w:val="18"/>
          <w:szCs w:val="18"/>
          <w:b w:val="1"/>
          <w:bCs w:val="1"/>
          <w:color w:val="auto"/>
        </w:rPr>
        <w:t>co</w:t>
      </w:r>
      <w:r>
        <w:rPr>
          <w:rFonts w:ascii="Arial" w:cs="Arial" w:eastAsia="Arial" w:hAnsi="Arial"/>
          <w:sz w:val="18"/>
          <w:szCs w:val="18"/>
          <w:color w:val="auto"/>
        </w:rPr>
        <w:t>ntract manufacturers, supply chain or distributors.</w:t>
      </w:r>
    </w:p>
    <w:p>
      <w:pPr>
        <w:spacing w:after="0" w:line="22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consider both the OEMs and their contract manufacturers or supply chain partners to be our customers, as well as in some cases, our distributors. Both the OEMs and their partners may determine the design and pricing requirements and make the overall decision regarding the use of our human experience semiconductor product solutions in their products. The contract manufacturers and distributors place orders with us for the purchase of our products, take title to the products purchased upon delivery by us, and pay us directly for those purchases. The majority of these customers do not have return rights except for warranty provisions.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sell our product solutions for incorporation into the products of our OEM customers. We generate sales through direct sales employees as well as outside sales representatives, distributors and value-added resellers. Our sales personnel receive substantial technical assistance and support from our internal technical marketing and engineering resources because of the highly technical nature of our product solutions. Sales frequently result from multi-level sales efforts that involve senior management, design engineers, and our sales personnel interacting with our customers' decision makers throughout the product development and order process.</w:t>
      </w:r>
    </w:p>
    <w:p>
      <w:pPr>
        <w:spacing w:after="0" w:line="188"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As of the end of fiscal 2021, we employed 189 sales and marketing professionals. We maintain customer support offices domestically and internationally, which are located in the U.S., Taiwan, China, India, Korea, Japan, and Europe. In addition, we utilize value-added resellers and sales distributors that are primarily located in the U.S., China, Korea and Taiwan.</w:t>
      </w:r>
    </w:p>
    <w:p>
      <w:pPr>
        <w:spacing w:after="0" w:line="184"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International sales constituted over 98% of our revenue for each of fiscal 2021, 2020, and 2019. Approximately 68%, 78%, and 78% of our sales in fiscal 2021, 2020, and 2019, respectively, were made to companies located in China, Japan, and South Korea that provide design and manufacturing services for major notebook computer and mobile product applications OEMs. Our sales are almost exclusively denominated in U.S. dollars. This information should be read in conjunction with Note 12 Segment, Customers, and Geographic Information to the consolidated financial statements contained elsewhere in this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employ a fabless semiconductor manufacturing platform through third-party relationships. We currently utilize third-party semiconductor wafer manufacturers to supply us with silicon wafers integrating our proprietary design specifications. The completed silicon wafers are forwarded to third-party package and test processors for further processing into die and packaged ASICs, as applicable, which are then utilized in our custom interface products or processed as our ASIC-based solution.</w:t>
      </w:r>
    </w:p>
    <w:p>
      <w:pPr>
        <w:spacing w:after="0" w:line="1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After processing and testing, the die and ASICs are consigned to various contract manufacturers for assembly or are shipped directly to our customers. During the assembly process, our die or ASIC is either combined with other components to complete the module for our custom human experience solution or the ASIC is maintained as a standalone finished good. The finished assembled product is subsequently shipped directly to our customers or by our contract manufacturers directly to our customers for integration into their products.</w:t>
      </w:r>
    </w:p>
    <w:p>
      <w:pPr>
        <w:spacing w:after="0" w:line="187" w:lineRule="exact"/>
        <w:rPr>
          <w:sz w:val="20"/>
          <w:szCs w:val="20"/>
          <w:color w:val="auto"/>
        </w:rPr>
      </w:pPr>
    </w:p>
    <w:p>
      <w:pPr>
        <w:jc w:val="both"/>
        <w:ind w:right="20" w:firstLine="546"/>
        <w:spacing w:after="0" w:line="308" w:lineRule="auto"/>
        <w:rPr>
          <w:sz w:val="20"/>
          <w:szCs w:val="20"/>
          <w:color w:val="auto"/>
        </w:rPr>
      </w:pPr>
      <w:r>
        <w:rPr>
          <w:rFonts w:ascii="Arial" w:cs="Arial" w:eastAsia="Arial" w:hAnsi="Arial"/>
          <w:sz w:val="17"/>
          <w:szCs w:val="17"/>
          <w:color w:val="auto"/>
        </w:rPr>
        <w:t>We believe our third-party manufacturing strategy provides a scalable business model, enables us to concentrate on our core competencies of research and development, technological advances, and product design and engineering, and reduces our capital investment.</w:t>
      </w:r>
    </w:p>
    <w:p>
      <w:pPr>
        <w:spacing w:after="0" w:line="146"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Our third-party contract manufacturers and semiconductor fabricators are predominately Asia-based organizations. We generally provide our contract manufacturers with six-month rolling forecasts of our production requirements. As a result of recent supply constraints and capacity shortages affecting the global semiconductor industry, we have entered into long-term capacity and pricing agreements with some suppliers. Our reliance on these parties exposes us to vulnerability owing to our dependence on a few sources of supply. We believe, however, that other sources of supply are available. In some cases, we have alternative sources of suppliers to mitigate supplier risk; however, in the current environment, all of them could be constrained. We may establish relationships with other contract manufacturers in order to reduce our dependence on any one source of supply.</w:t>
      </w:r>
    </w:p>
    <w:p>
      <w:pPr>
        <w:spacing w:after="0" w:line="16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Periodically, we purchase inventory from our contract manufacturers when a customer delays its delivery schedule or cancels its order. In those circumstances in which our customer has cancelled its order and we purchase inventory from our contract manufacturers, we consider a write-down to reduce the carrying value of the inventory purchased to its net realizable value. We charge write-downs to reduce the carrying value of obsolete, slow moving, and non-usable inventory to its net realizable value and charge such write-downs to cost of revenue. We also record a liability and charge to cost of revenue for estimated losses on inventory we are obligated to purchase from our contract manufacturers when such losses become probable from customer delays or order cancellations. In addition, the impact of entering into long-term capacity agreements could create significant inventory write-down if the end customer demand declines.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w:t>
      </w:r>
    </w:p>
    <w:p>
      <w:pPr>
        <w:spacing w:after="0" w:line="11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Our SoC solutions enable new forms of media consumption and integrate video processing, far-field voice and linguistics processing products are sold into market segments that offer significant potential growth, ranging from home automation applications, smart assistant platforms, surveillance cameras, to STB/OTT platforms. The markets for STB/OTT products, surveillance cameras, home automation, and smart assistant solutions require strong technology innovation and deep systems and systems engineering expertise. Our principal competition in these markets include Broadcom, MediaTek, AmLogic, and Ambarella, among others.</w:t>
      </w:r>
    </w:p>
    <w:p>
      <w:pPr>
        <w:spacing w:after="0" w:line="18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provide voice processing silicon and software solutions for voice-enabled devices, consumer and commercial imaging, and next-generation audio applications. In addition to our voice solutions, we support the audio headphone and virtual reality/mixed reality head mounted display industry with universal serial bus-c, or USB-C, audio codec solutions for next generation wireless audio devices and wearables. Our competitors in the sale of audio products include Cirrus Logic, DSP Group, BES Technic, and Realtek.</w:t>
      </w:r>
    </w:p>
    <w:p>
      <w:pPr>
        <w:spacing w:after="0" w:line="1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wireless products for use in IoT application markets include our technologies such as Wi-Fi, Bluetooth, Wi-Fi-Bluetooth combinations, and GPS/GNSS support our customers’ need to develop products which can wirelessly communicate to networks, remote control of edge-devices, machine-to-machine communication, among other purposes. Our principal competition includes Infineon, Qualcomm, MediaTek, NXP, and Silicon Labs, among others.</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automotive products include touch, display driver, and TDDI solutions for major automotive OEMs. Our principal competitors for these products include Focaltech, Himax, and Microchip. Our IoT video interface products are sold into PC and smartphone docks and wireless adapter market applications. Our principal competitors in the sale of IoT interface products are Parade, Megachips, and Realtek.</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also provide fax, modem and print silicon and software solutions for printers, fax machines, point of sale terminals, and medical applications.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competitors in these markets are Marvell and Qbit.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and Mobile</w:t>
      </w:r>
    </w:p>
    <w:p>
      <w:pPr>
        <w:spacing w:after="0" w:line="117"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Our touch, display and fingerprint-based semiconductor products are sold into markets for PC product applications, mobile product applications, and other electronic devices. The markets for touchscreen products are characterized by rapidly changing technology and intense competition. Our principal competition in the sale of touchscreen products includes Samsung LSI, Broadcom, Goodix and various other companies involved in human experience semiconductor product solutions. Our principal competitors in the sale of notebook touch pads are Cirque Corporation, Elan Microelectronics and Goodix. Our principal competitors in the sale of display driver products for the PC and mobile product applications markets include Focaltech, Novatek Microelectronics, Samsung LSI and SiliconWorks. Our principal competitors in the sale of fingerprint authentication solutions for PC product applications markets are Egis Technology, Elan Microelectronics, and Goodix.</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2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Synaptics strives to be a leading corporate citizen. We uphold the most ethical standards in our business practices and policies, and we believe that sustainable corporate practices and consistent attention to social and governance priorities will help enhance long-term value for our stockholders. Our Board of Directors is responsible for overseeing our environmental, social, and governance policies and practices. With guidance from the Board of Directors, our management team applies an integrated methodology to financial matters, corporate governance, and corporate responsibility, leading to increased accountability, better decision making and ultimately creating better long-term value. This focus on environmental, social and governance factors influences everything we do.</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117"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We have implemented internal green programs and initiatives to reinforce our commitment to minimizing natural resource consumption, improving sustainability, disposing of end-of-life products in an environmentally safe manner, reducing waste, and increasing reuse and recycling programs company-wide. For example, our headquarters uses 100% renewable energy sources, and we follow the European Union’s rules regarding the Restriction of Hazardous Substances in Electrical and Electronic Equipment in the design and manufacture of all our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w:t>
      </w:r>
    </w:p>
    <w:p>
      <w:pPr>
        <w:spacing w:after="0" w:line="117"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Our employees and communities are the heart of our company, and we take pride in our social responsibility to them as well becoming better global citizens. We support our local communities through charitable causes and events, and we have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numerous programs in place around the world that promote our commitments to diversity, equality of opportunity, non-discrimination, and the highest standards of human rights. We are committed to the use of a socially responsible supply chain. Our efforts include maintaining a supplier policy that bars the use of forced or child labor and governs the use and distribution of conflict minerals.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117" w:lineRule="exact"/>
        <w:rPr>
          <w:sz w:val="20"/>
          <w:szCs w:val="20"/>
          <w:color w:val="auto"/>
        </w:rPr>
      </w:pPr>
    </w:p>
    <w:p>
      <w:pPr>
        <w:jc w:val="both"/>
        <w:ind w:right="20" w:firstLine="546"/>
        <w:spacing w:after="0" w:line="308" w:lineRule="auto"/>
        <w:rPr>
          <w:sz w:val="20"/>
          <w:szCs w:val="20"/>
          <w:color w:val="auto"/>
        </w:rPr>
      </w:pPr>
      <w:r>
        <w:rPr>
          <w:rFonts w:ascii="Arial" w:cs="Arial" w:eastAsia="Arial" w:hAnsi="Arial"/>
          <w:sz w:val="17"/>
          <w:szCs w:val="17"/>
          <w:color w:val="auto"/>
        </w:rPr>
        <w:t>We are dedicated to supporting leading corporate governance and board practices to ensure oversight accountability and transparency in our business practices. We place a high value on ethical actions, individual integrity, and fair dealing in every aspect of what we do.</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Accountability</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Board of Directors and management are strongly committed to our corporate responsibility policies and will continue to regularly evaluate these policies to ensure an effective outcome and strict adherence by our employees, suppliers, vendors, and partners. We actively monitor and audit our internal compliance with our Code of Conduct and other corporate social responsibility policies and programs.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company has been built on the collective contributions from people of many countries, religions, and ethnic backgrounds. People are our most critical asset and our success depends on them. We want to attract, develop, and retain the world’s best talent.</w:t>
      </w:r>
    </w:p>
    <w:p>
      <w:pPr>
        <w:spacing w:after="0" w:line="170"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Competition for talent in our industry is extremely intense. Our human resource strategy and programs are focused on attracting, engaging, and retaining this talent.</w:t>
      </w:r>
    </w:p>
    <w:p>
      <w:pPr>
        <w:spacing w:after="0" w:line="170"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Our Board of Directors and Board committees provide oversight on certain human capital matters. The Audit Committee provides oversight of business risks and our company’s Code of Business Conduct and Ethics, both of which have relevance for human capital. The Nominations and Corporate Governance Committee has oversight for environment, social, and governance strategy, which includes talent attraction and retention and inclusion and diversity. The Compensation Committee provides oversight of our overall compensation philosophy, policies, and programs, and assesses whether our compensation establishes appropriate incentives for executive officers and employees</w:t>
      </w:r>
    </w:p>
    <w:p>
      <w:pPr>
        <w:spacing w:after="0" w:line="176"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As of June 26, 2021, we employed 1,463 employees. We have employees in North America, Asia/Pacific and Europe which represent approximately 27%, 62% and 11%, respectively, of our employee population as of June 26,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Compensation and Benefits</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provide competitive compensation, benefits, and wellness offerings to our employees. We have a strong pay for performance philosophy. We align executive compensation with our corporate strategies, business objectives and the creation of long-term value for our stockholders without encouraging unnecessary or excessive risk-taking.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 and Development</w:t>
      </w:r>
    </w:p>
    <w:p>
      <w:pPr>
        <w:spacing w:after="0" w:line="117"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color w:val="auto"/>
        </w:rPr>
        <w:t>We strive to create exceptional employee experiences. Our focus is on creating a space for employees to do their best work and feel valued and engaged. We also provide opportunities for employees to connect and use their time, talent, and resources to enhance the communities where we live and work. We have created multiple channels of communication between our Chief Executive Officer, or CEO, and our employees. We gather insights into successes, challenges, solutions to problems and what is top of mind for employees across the business through formal and informal channels.</w:t>
      </w:r>
    </w:p>
    <w:p>
      <w:pPr>
        <w:spacing w:after="0" w:line="49"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Employees have various opportunities to learn though technical, compliance and other professional trainings. We offer career advancement opportunities to employees at Synaptics and are focused on leadership development.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Inclusion &amp; Diversity</w:t>
      </w:r>
    </w:p>
    <w:p>
      <w:pPr>
        <w:spacing w:after="0" w:line="117"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We believe that diverse teams are more innovative and productive. Our goal is to cultivate an environment that not only allows for, but also encourages, everyone to collaborate and participate equally to foster individual and company growth.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our executive officers as of August 13,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Age</w:t>
            </w:r>
          </w:p>
        </w:tc>
        <w:tc>
          <w:tcPr>
            <w:tcW w:w="712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Hurlston</w:t>
            </w:r>
          </w:p>
        </w:tc>
        <w:tc>
          <w:tcPr>
            <w:tcW w:w="1420" w:type="dxa"/>
            <w:vAlign w:val="bottom"/>
            <w:tcBorders>
              <w:top w:val="single" w:sz="8" w:color="auto"/>
            </w:tcBorders>
          </w:tcPr>
          <w:p>
            <w:pPr>
              <w:jc w:val="right"/>
              <w:ind w:right="293"/>
              <w:spacing w:after="0" w:line="195" w:lineRule="exact"/>
              <w:rPr>
                <w:sz w:val="20"/>
                <w:szCs w:val="20"/>
                <w:color w:val="auto"/>
              </w:rPr>
            </w:pPr>
            <w:r>
              <w:rPr>
                <w:rFonts w:ascii="Arial" w:cs="Arial" w:eastAsia="Arial" w:hAnsi="Arial"/>
                <w:sz w:val="18"/>
                <w:szCs w:val="18"/>
                <w:color w:val="auto"/>
              </w:rPr>
              <w:t>54</w:t>
            </w:r>
          </w:p>
        </w:tc>
        <w:tc>
          <w:tcPr>
            <w:tcW w:w="620" w:type="dxa"/>
            <w:vAlign w:val="bottom"/>
          </w:tcPr>
          <w:p>
            <w:pPr>
              <w:spacing w:after="0"/>
              <w:rPr>
                <w:sz w:val="16"/>
                <w:szCs w:val="16"/>
                <w:color w:val="auto"/>
              </w:rPr>
            </w:pPr>
          </w:p>
        </w:tc>
        <w:tc>
          <w:tcPr>
            <w:tcW w:w="7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Dean Butler</w:t>
            </w:r>
          </w:p>
        </w:tc>
        <w:tc>
          <w:tcPr>
            <w:tcW w:w="1420" w:type="dxa"/>
            <w:vAlign w:val="bottom"/>
          </w:tcPr>
          <w:p>
            <w:pPr>
              <w:jc w:val="right"/>
              <w:ind w:right="293"/>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Saleel Awsare</w:t>
            </w:r>
          </w:p>
        </w:tc>
        <w:tc>
          <w:tcPr>
            <w:tcW w:w="1420" w:type="dxa"/>
            <w:vAlign w:val="bottom"/>
          </w:tcPr>
          <w:p>
            <w:pPr>
              <w:jc w:val="right"/>
              <w:ind w:right="293"/>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Senior Vice President and General Manager, PC &amp; Peripherals Division</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John McFarland</w:t>
            </w:r>
          </w:p>
        </w:tc>
        <w:tc>
          <w:tcPr>
            <w:tcW w:w="1420" w:type="dxa"/>
            <w:vAlign w:val="bottom"/>
          </w:tcPr>
          <w:p>
            <w:pPr>
              <w:jc w:val="right"/>
              <w:ind w:right="293"/>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Craig Stein</w:t>
            </w:r>
          </w:p>
        </w:tc>
        <w:tc>
          <w:tcPr>
            <w:tcW w:w="1420" w:type="dxa"/>
            <w:vAlign w:val="bottom"/>
          </w:tcPr>
          <w:p>
            <w:pPr>
              <w:jc w:val="right"/>
              <w:ind w:right="293"/>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Senior Vice President and General Manager, Mobile and IoT Divisions</w:t>
            </w:r>
          </w:p>
        </w:tc>
      </w:tr>
    </w:tbl>
    <w:p>
      <w:pPr>
        <w:spacing w:after="0" w:line="202" w:lineRule="exact"/>
        <w:rPr>
          <w:sz w:val="20"/>
          <w:szCs w:val="20"/>
          <w:color w:val="auto"/>
        </w:rPr>
      </w:pPr>
    </w:p>
    <w:p>
      <w:pPr>
        <w:jc w:val="both"/>
        <w:ind w:firstLine="546"/>
        <w:spacing w:after="0" w:line="269" w:lineRule="auto"/>
        <w:rPr>
          <w:sz w:val="20"/>
          <w:szCs w:val="20"/>
          <w:color w:val="auto"/>
        </w:rPr>
      </w:pPr>
      <w:r>
        <w:rPr>
          <w:rFonts w:ascii="Arial" w:cs="Arial" w:eastAsia="Arial" w:hAnsi="Arial"/>
          <w:sz w:val="17"/>
          <w:szCs w:val="17"/>
          <w:i w:val="1"/>
          <w:iCs w:val="1"/>
          <w:color w:val="auto"/>
        </w:rPr>
        <w:t xml:space="preserve">Michael Hurlston </w:t>
      </w:r>
      <w:r>
        <w:rPr>
          <w:rFonts w:ascii="Arial" w:cs="Arial" w:eastAsia="Arial" w:hAnsi="Arial"/>
          <w:sz w:val="17"/>
          <w:szCs w:val="17"/>
          <w:color w:val="auto"/>
        </w:rPr>
        <w:t>has been the President and Chief Executive Officer of our company since August 19, 2019. Prior to joining our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Hurlston served as the Chief Executive Officer and a member of the Board of Directors of Finisar Corporation (“Finisar”) from January 2018 to August 2019. Prior to joining Finisar, he served as Senior Vice President and General Manager of the Mobile Connectivity Products/Wireless Communications and Connectivity Division and held senior leadership positions in sales, marketing, and general management at Broadcom Limited (“Broadcom”) and its predecessor corporation from November 2001 through October 2017. Prior to joining Broadcom in 2001, Mr. Hurlston held senior marketing and engineering positions at Oren Semiconductor, Inc., Avasem, Integrated Circuit Systems, Micro Power Systems, Exar and IC Works from 1991 until 2001. Mr. Hurlston is a member of the board of directors of Flex Ltd. Mr. Hurlston serves on the Board of Executive Trustees of the UC Davis Foundation and on the Dean’s Executive Committee for the College of Engineering and the Dean’s Advisory Counsel for the Graduate School of Management at the University of California, Davis. Mr. Hurlston holds Bachelor of Science and Master of Science degrees in Electrical Engineering and a Master of Business Administration degree from the University of California, Davis.</w:t>
      </w:r>
    </w:p>
    <w:p>
      <w:pPr>
        <w:spacing w:after="0" w:line="185"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i w:val="1"/>
          <w:iCs w:val="1"/>
          <w:color w:val="auto"/>
        </w:rPr>
        <w:t xml:space="preserve">Dean Butler </w:t>
      </w:r>
      <w:r>
        <w:rPr>
          <w:rFonts w:ascii="Arial" w:cs="Arial" w:eastAsia="Arial" w:hAnsi="Arial"/>
          <w:sz w:val="18"/>
          <w:szCs w:val="18"/>
          <w:color w:val="auto"/>
        </w:rPr>
        <w:t>has been the Chief Financial Officer of our company since October 21, 2019. Prior to joining our company, Mr. Butler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Finance at Marvell Technology Group Ltd. (“Marvell”) from July 2016 to October 2019. Prior to joining Marvell, he served as Controller of the Ethernet Switching Division at Broadcom from January 2015 through July 2016. Prior to joining Broadcom, Mr. Butler held senior finance positions at Maxim Integrated from May 2007 to December 2014. Mr. Butler holds a Bachelor of Business Administration degree in Finance from the University of Minnesota Duluth.</w:t>
      </w:r>
    </w:p>
    <w:p>
      <w:pPr>
        <w:spacing w:after="0" w:line="188" w:lineRule="exact"/>
        <w:rPr>
          <w:sz w:val="20"/>
          <w:szCs w:val="20"/>
          <w:color w:val="auto"/>
        </w:rPr>
      </w:pPr>
    </w:p>
    <w:p>
      <w:pPr>
        <w:jc w:val="both"/>
        <w:ind w:firstLine="546"/>
        <w:spacing w:after="0" w:line="288" w:lineRule="auto"/>
        <w:rPr>
          <w:sz w:val="20"/>
          <w:szCs w:val="20"/>
          <w:color w:val="auto"/>
        </w:rPr>
      </w:pPr>
      <w:r>
        <w:rPr>
          <w:rFonts w:ascii="Arial" w:cs="Arial" w:eastAsia="Arial" w:hAnsi="Arial"/>
          <w:sz w:val="16"/>
          <w:szCs w:val="16"/>
          <w:i w:val="1"/>
          <w:iCs w:val="1"/>
          <w:color w:val="auto"/>
        </w:rPr>
        <w:t xml:space="preserve">Saleel Awsare </w:t>
      </w:r>
      <w:r>
        <w:rPr>
          <w:rFonts w:ascii="Arial" w:cs="Arial" w:eastAsia="Arial" w:hAnsi="Arial"/>
          <w:sz w:val="16"/>
          <w:szCs w:val="16"/>
          <w:color w:val="auto"/>
        </w:rPr>
        <w:t>has been the Senior Vice President and General Manager of our PC and Peripherals unit since July 2020. Previously, Saleel was the</w:t>
      </w:r>
      <w:r>
        <w:rPr>
          <w:rFonts w:ascii="Arial" w:cs="Arial" w:eastAsia="Arial" w:hAnsi="Arial"/>
          <w:sz w:val="16"/>
          <w:szCs w:val="16"/>
          <w:i w:val="1"/>
          <w:iCs w:val="1"/>
          <w:color w:val="auto"/>
        </w:rPr>
        <w:t xml:space="preserve"> </w:t>
      </w:r>
      <w:r>
        <w:rPr>
          <w:rFonts w:ascii="Arial" w:cs="Arial" w:eastAsia="Arial" w:hAnsi="Arial"/>
          <w:sz w:val="16"/>
          <w:szCs w:val="16"/>
          <w:color w:val="auto"/>
        </w:rPr>
        <w:t>Senior Vice President and General Manager of our IoT Division from April 2019 to July 2020 and the Senior Vice President of Corporate Marketing &amp; Investor Relations from December 2018 until April 2019. Prior to joining our company as Corporate Vice President and General Manager of Audio &amp; Imaging Products in July 2017, he was President of Conexant Systems, LLC (“Conexant”) from March 2016 to July 2017, and Senior Vice President &amp; General Manager of Audio &amp; Imaging from April 2012 to March 2016. Synaptics acquired Conexant in July 2017. Prior to joining Conexant, Mr. Awsare served as President of Nuvoton Technology Corporation's (“Nuvoton”) U.S. operations and General Manager of Nuvoton’s audio and voice divisions from December 2008 to March 2012. Prior to joining Nuvoton, Mr. Awsare was the Executive Vice President and General Manager of mixed signal products for Winbond Electronics Corporation America (“Winbond”). Prior to joining Winbond, Mr. Awsare was a director of engineering for Information Storage Devices. Mr. Awsare is a member of the Board of Trustees of Stevens Institute of Technology. Mr. Awsare holds a Bachelor of Science degree in Electrical Engineering from Stevens Institute of Technology and a Master of Science degree in Engineering Management from Santa Clara University.</w:t>
      </w:r>
    </w:p>
    <w:p>
      <w:pPr>
        <w:spacing w:after="0" w:line="16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i w:val="1"/>
          <w:iCs w:val="1"/>
          <w:color w:val="auto"/>
        </w:rPr>
        <w:t xml:space="preserve">John McFarland </w:t>
      </w:r>
      <w:r>
        <w:rPr>
          <w:rFonts w:ascii="Arial" w:cs="Arial" w:eastAsia="Arial" w:hAnsi="Arial"/>
          <w:sz w:val="18"/>
          <w:szCs w:val="18"/>
          <w:color w:val="auto"/>
        </w:rPr>
        <w:t>has been the Senior Vice President, General Counsel and Secretary of our company since November 2013. Prior to joining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Mr. McFarland served for nine years as the Executive Vice President, General Counsel and Secretary of Magnachip Semiconductor. Mr. McFarland spent his early career at law firms in Palo Alto, California, and Seoul, Korea. Mr. McFarland holds a Bachelor of Arts degree in Asian Studies, conferred with highest distinction from the University of Michigan, and a Juris Doctor degree from the University of California, Los Angeles, School of Law.</w:t>
      </w:r>
    </w:p>
    <w:p>
      <w:pPr>
        <w:spacing w:after="0" w:line="188"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i w:val="1"/>
          <w:iCs w:val="1"/>
          <w:color w:val="auto"/>
        </w:rPr>
        <w:t xml:space="preserve">Craig Stein </w:t>
      </w:r>
      <w:r>
        <w:rPr>
          <w:rFonts w:ascii="Arial" w:cs="Arial" w:eastAsia="Arial" w:hAnsi="Arial"/>
          <w:sz w:val="18"/>
          <w:szCs w:val="18"/>
          <w:color w:val="auto"/>
        </w:rPr>
        <w:t>has been the Senior Vice President and General Manager, Mobile &amp; IoT Division since March 2021. Previously, Mr. Stein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of Product Development from September 2020 to March 2021. Prior to joining our company, Mr. Stein was Vice President &amp; General Manager in the Data Center Products Group at Intel Corporation (“Intel”) and Head of Engineering &amp; General Manager, Data Center Group from May 2016 to August 2018. Prior to joining Intel, Mr. Stein held key leadership positions at other semiconductor, technology, and transportation companies, including Chief Operating Officer and General Manager at Polara Engineering, Vice President of Research &amp; Development at Knowles Corp., Director of Engineering at Broadcom, and Research &amp; Development Manager at Hewlett Packard. Mr. Stein has five issued patents and five others pending. Mr. Stein holds a Bachelor of Science degree in Electrical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Engineering from the University of California, Berkeley, and a Master of Science degree in Electrical Engineering from San Jose State University.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0"/>
        <w:spacing w:after="0"/>
        <w:tabs>
          <w:tab w:leader="none" w:pos="1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You should carefully consider the following factors, together with all the other information included in this report, in evaluating our company and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Markets and Customers</w:t>
      </w:r>
    </w:p>
    <w:p>
      <w:pPr>
        <w:spacing w:after="0" w:line="33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currently depend on our solutions for the Internet of Things (IoT), PC, and mobile product applications markets for a substantial portion of our revenue, and any downturn in sales of these products would adversely affect our business, revenue, operating results, and financial condition.</w:t>
      </w:r>
    </w:p>
    <w:p>
      <w:pPr>
        <w:spacing w:after="0" w:line="1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currently depend on our solutions for the IoT, PC, and mobile product applications markets for a substantial portion of our revenue. Any downturn in sales of our products into any of these markets would adversely affect our business, revenue, operating results, and financial condition. Similarly, a softening of demand in any of these markets, or a slowdown of growth in any of these markets because of changes in customer preferences, the emergence of applications not including our solutions, or other factors would cause our business, operating results, and financial position to suffer.</w:t>
      </w:r>
    </w:p>
    <w:p>
      <w:pPr>
        <w:spacing w:after="0" w:line="2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portion of our sales comes from one or more large customers, the loss of which could harm our business, financial condition, and operating results.</w:t>
      </w:r>
    </w:p>
    <w:p>
      <w:pPr>
        <w:spacing w:after="0" w:line="58"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Historically, we have relied on a limited number of customers for a substantial portion of our total revenue. If we lost key customers, or if key customers reduced or stopped placing orders for our high-volume products, our financial results could be adversely affected. Sales to three direct customers each accounted for 10% or more of our net revenue in fiscal 2021. During fiscal 2021, we had three OEM customers that integrated our products into their products representing approximately 22%, 17% and 11% of our revenue; we sold to these customers primarily indirectly through multiple distributors. Significant reductions in sales to our largest customers, the loss of other major customers, or a general decrease in demand for our products within a short period of time could adversely affect our revenue, financial condition, and business.</w:t>
      </w:r>
    </w:p>
    <w:p>
      <w:pPr>
        <w:spacing w:after="0" w:line="178"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We sell to contract manufacturers that serve our OEM customers. Any material delay, cancellation, or reduction of orders from any one or more of these contract manufacturers or the OEMs they serve could harm our business, financial condition, and operating results. The adverse effect could be more substantial if our other customers do not increase their orders or if we are unsuccessful in generating orders for our solutions with new customers. Many of these contract manufacturers sell to the same OEMs, and therefore our concentration with certain OEMs may be higher than with any individual contract manufacturer. Concentration in our customer base may make fluctuations in revenue and earnings more severe and make business planning more difficult.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industry downturns and cyclicality in our target markets that may result in fluctuations in our operating results.</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The consumer electronics industry has experienced significant economic downturns at various times. These downturns are characterized by diminished product demand, accelerated erosion of average selling prices, and production overcapacity. In addition, the consumer electronics industry is cyclical in nature. We seek to reduce our exposure to industry downturns and cyclicality by providing design and production services for leading companies in rapidly expanding industry segments. We may, however, experience substantial period-to-period fluctuations in future operating results because of general industry conditions or events occurring in the general economy.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spacing w:after="0" w:line="282" w:lineRule="auto"/>
        <w:rPr>
          <w:sz w:val="20"/>
          <w:szCs w:val="20"/>
          <w:color w:val="auto"/>
        </w:rPr>
      </w:pPr>
      <w:r>
        <w:rPr>
          <w:rFonts w:ascii="Arial" w:cs="Arial" w:eastAsia="Arial" w:hAnsi="Arial"/>
          <w:sz w:val="18"/>
          <w:szCs w:val="18"/>
          <w:b w:val="1"/>
          <w:bCs w:val="1"/>
          <w:color w:val="auto"/>
        </w:rPr>
        <w:t>We cannot assure you that our product solutions for new markets will be successful or that we will be able to continue to generate significant revenue from these markets.</w:t>
      </w:r>
    </w:p>
    <w:p>
      <w:pPr>
        <w:spacing w:after="0" w:line="58"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Our product solutions may not be successful in new markets. Various target markets for our product solutions, such as IoT, may develop slower than anticipated or could utilize competing technologies. The markets for certain of these products depend in part upon the continued development and deployment of wireless and other technologies, which may or may not address the needs of the users of these products.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ability to generate significant revenue from new markets will depend on various factors, including the following:</w:t>
      </w:r>
    </w:p>
    <w:p>
      <w:pPr>
        <w:spacing w:after="0" w:line="117"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and growth of these markets;</w:t>
      </w:r>
    </w:p>
    <w:p>
      <w:pPr>
        <w:spacing w:after="0" w:line="117"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technologies and product solutions to address the needs of these markets, the price and performance requirements of OEMs, and the preferences of end users; and</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provide OEMs with solutions that provide advantages in terms of size, power consumption, reliability, durability, performance, and value-added features compared with alternative solutions.</w:t>
      </w:r>
    </w:p>
    <w:p>
      <w:pPr>
        <w:spacing w:after="0" w:line="170"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Many manufacturers of these products have well-established relationships with competitive suppliers. Our ongoing success in these markets will require us to offer better performance alternatives to other solutions at competitive costs. The failure of any of these target markets to develop as we expect, or our failure to serve these markets to a significant extent, will impede our sales growth and could result in substantially reduced earnings and a restructuring of our operations. We cannot predict the size or growth rate of these markets or the market share we will achieve or maintain in these markets in the future.</w:t>
      </w:r>
    </w:p>
    <w:p>
      <w:pPr>
        <w:spacing w:after="0" w:line="2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and build relationships with our customers, or our customers’ products that utilize our solutions do not gain widespread market acceptance, our revenue may stagnate or decline.</w:t>
      </w:r>
    </w:p>
    <w:p>
      <w:pPr>
        <w:spacing w:after="0" w:line="58"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We do not sell any products to end users and we do not control or influence the manufacture, promotion, distribution, or pricing of the products that incorporate our solutions. Instead, we design various solutions that our OEM customers incorporate into their products, and we depend on such OEM customers to successfully manufacture and distribute products incorporating our solutions and to generate consumer demand through marketing and promotional activities. As a result of this, our success depends almost entirely upon the widespread market acceptance of our OEM customers’ products that incorporate our solutions. Even if our technologies successfully meet our customers' price and performance goals, our sales could decline or fail to develop if our customers do not achieve commercial success in selling their products that incorporate our solutions.</w:t>
      </w:r>
    </w:p>
    <w:p>
      <w:pPr>
        <w:spacing w:after="0" w:line="178"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We must maintain our relationships with our existing customers and expand our relationships with OEMs in new markets. Our customers generally do not provide us with firm, long-term volume purchase commitments, opting instead to issue purchase orders that they can cancel, reduce, or delay, subject to certain limitations. In order to meet the expectations of our customers, we must provide innovative solutions on a timely and cost-effective basis. This requires us to match our design and production capacity with customer demand, maintain satisfactory delivery schedules, and meet performance goals. If we are unable to achieve these goals for any reason, our sales may decline or fail to develop, which would result in decreasing revenue.</w:t>
      </w:r>
    </w:p>
    <w:p>
      <w:pPr>
        <w:spacing w:after="0" w:line="16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In addition to maintaining and expanding our customer relationships, we must also identify areas of significant growth potential in other markets, establish relationships with OEMs in those markets, and assist those OEMs in developing products that incorporate our solutions. Our failure to identify potential growth opportunities in the markets in which we operate, particularly in the IoT market, or our failure to establish and maintain relationships with OEMs in those markets, would prevent our business from growing in those markets.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Supply Chain</w:t>
      </w:r>
    </w:p>
    <w:p>
      <w:pPr>
        <w:spacing w:after="0" w:line="33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depend on third parties to maintain satisfactory manufacturing yields and delivery schedules, and their inability to do so could increase our costs, disrupt our supply chain, and result in our inability to deliver our products, which would adversely affect our operating results.</w:t>
      </w:r>
    </w:p>
    <w:p>
      <w:pPr>
        <w:spacing w:after="0" w:line="12"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depend on our contract manufacturers and semiconductor fabricators to maintain high levels of productivity and satisfactory delivery schedules at manufacturing and assembly facilities located primarily in Asia. We provide our contract manufacturers with six-month rolling forecasts of our production requirements. We generally do not, however, have long-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jc w:val="both"/>
        <w:spacing w:after="0" w:line="269" w:lineRule="auto"/>
        <w:rPr>
          <w:sz w:val="20"/>
          <w:szCs w:val="20"/>
          <w:color w:val="auto"/>
        </w:rPr>
      </w:pPr>
      <w:r>
        <w:rPr>
          <w:rFonts w:ascii="Arial" w:cs="Arial" w:eastAsia="Arial" w:hAnsi="Arial"/>
          <w:sz w:val="17"/>
          <w:szCs w:val="17"/>
          <w:color w:val="auto"/>
        </w:rPr>
        <w:t>term agreements with our contract manufacturers that guarantee production capacity, prices, lead times, or delivery schedules. In our fiscal year 2021, we faced manufacturing capacity constraints as a result of the supply constraints and capacity shortages affecting the global semiconductor industry that materially limited our ability to meet our customers’ demand forecasts, thereby limiting our potential revenue growth during the fiscal year. As a result of the supply shortages, we have entered into long-term capacity and pricing agreements with certain of our suppliers. If end customer demand declines, these long-term capacity agreements could result in significant write-downs of inventory. On occasion, customers require rapid increases in production, which can strain our resources and reduce our margins. Although we have been able to obtain increased production capacity from our third-party contract manufacturers in the past, there is no guarantee that our contract manufacturers will be able to increase production capacity to enable us to meet our customer demands in the future. Our contract manufacturers also serve other customers, a number of which have greater production requirements than we do. As a result, our contract manufacturers could determine to prioritize production capacity for other customers or reduce or eliminate deliveries to us on short notice.</w:t>
      </w:r>
    </w:p>
    <w:p>
      <w:pPr>
        <w:spacing w:after="0" w:line="7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Qualifying new contract manufacturers, and specifically semiconductor foundries, is time consuming and might result in unforeseen manufacturing and operations problems. We may also encounter lower manufacturing yields and longer delivery schedules in commencing volume production of new products that we introduce, which could increase our costs or disrupt our supply of such products. The loss of relationships with our contract manufacturers or assemblers, or their inability to conduct their manufacturing and assembly services for us as anticipated in terms of capacity, cost, quality, and timeliness could adversely affect our ability to fill customer orders in accordance with required delivery, quality, and performance requirements, and adversely affect our operating results.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Shortages of components and materials may delay or reduce our sales and increase our costs, thereby harming our operating results.</w:t>
      </w:r>
    </w:p>
    <w:p>
      <w:pPr>
        <w:spacing w:after="0" w:line="133"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The inability to obtain sufficient quantities of components and other materials necessary for the production of our products could result in reduced or delayed sales or lost orders. Many of the materials used in the production of our products are available only from a limited number of foreign suppliers, particularly suppliers located in Asia. In most cases, neither we nor our contract manufacturers have long-term supply contracts with these suppliers. As a result, we are subject to increased costs, supply interruptions, and difficulties in obtaining materials. Our customers also may encounter difficulties or increased costs in obtaining the materials necessary to produce their products into which our product solutions are incorporated. Supply shortages in our fiscal year 2021 have resulted in increased product costs, not all of which we passed on to our customers. Future shortages of materials and components, including potential supply constraints of silicon, could cause delayed shipments and customer dissatisfaction, which may result in lower revenue.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Product Development</w:t>
      </w:r>
    </w:p>
    <w:p>
      <w:pPr>
        <w:spacing w:after="0" w:line="3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lengthy development periods and product acceptance cycles, which can result in development and engineering costs without any future revenue.</w:t>
      </w:r>
    </w:p>
    <w:p>
      <w:pPr>
        <w:spacing w:after="0" w:line="58"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We provide solutions that are incorporated by OEMs into the products they sell. OEMs make the determination during their product development programs whether to incorporate our solutions or pursue other alternatives. This process requires us to make significant investments of time and resources in the design of solutions for our OEMs’ products well before our customers introduce their products incorporating our interface solutions into the market, and before we can be sure that we will generate any significant sales to our customers or even recover our investment. During a customer’s entire product development process, we face the risk that our interfaces will fail to meet our customer’s technical, performance, or cost requirements, or that our products will be replaced by competitive products or alternative technological solutions. Even if we complete our design process in a manner satisfactory to our customer, the customer may delay or terminate its product development efforts. The occurrence of any of these events could cause sales to not materialize, be deferred, or be cancelled, which could adversely affect our operating results.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that could result in our losing or failing to gain market share and suffering reduced revenue.</w:t>
      </w:r>
    </w:p>
    <w:p>
      <w:pPr>
        <w:spacing w:after="0" w:line="121"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color w:val="auto"/>
        </w:rPr>
        <w:t>We serve intensely competitive markets that are characterized by price erosion, rapid technological change, and competition from major domestic and international companies. This intense competition could result in pricing pressures, lower sales, reduced margins, and lower market share. Depressed economic conditions, a slowdown in the markets in which we operate, the emergence of new products not including our product solutions, rapid changes in the markets in which we operate, and competitive pressures may result in lower demand for our product solutions and reduced unit margins.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jc w:val="both"/>
        <w:ind w:firstLine="546"/>
        <w:spacing w:after="0" w:line="255" w:lineRule="auto"/>
        <w:rPr>
          <w:sz w:val="20"/>
          <w:szCs w:val="20"/>
          <w:color w:val="auto"/>
        </w:rPr>
      </w:pPr>
      <w:r>
        <w:rPr>
          <w:rFonts w:ascii="Arial" w:cs="Arial" w:eastAsia="Arial" w:hAnsi="Arial"/>
          <w:sz w:val="18"/>
          <w:szCs w:val="18"/>
          <w:color w:val="auto"/>
        </w:rPr>
        <w:t>Some of our competitors have greater market recognition, larger customer bases, and substantially greater financial, technical, marketing, distribution, and other resources than we possess and that afford them greater competitive advantages. As a result, they may be able to devote greater resources to the promotion and sale of products, negotiate lower prices for raw materials and components, deliver competitive products at lower prices, and introduce new product solutions and respond to customer requirements more quickly than we can. Our competitive position could suffer if one or more of our customers determine not to utilize our custom engineered, total solutions approach and instead, decide to design and manufacture their own interfaces, contract with our competitors, or use alternative technologies.</w:t>
      </w:r>
    </w:p>
    <w:p>
      <w:pPr>
        <w:spacing w:after="0" w:line="2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do not keep pace with technological innovations, our products may not remain competitive and our revenue and operating results may suffer.</w:t>
      </w:r>
    </w:p>
    <w:p>
      <w:pPr>
        <w:spacing w:after="0" w:line="5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We operate in rapidly changing, highly competitive markets. Technological advances, the introduction of new products and new design techniques could adversely affect our business unless we are able to adapt to changing conditions. Technological advances could render our solutions less competitive or obsolete, and we may not be able to respond effectively to the technological requirements of evolving markets. Therefore, we may be required to expend substantial funds for and commit significant resources to enhancing and developing new technology, which may include purchasing advanced design tools and test equipment, hiring additional highly qualified engineering and other technical personnel, and continuing and expanding research and development activities on existing and potential solutions.</w:t>
      </w:r>
    </w:p>
    <w:p>
      <w:pPr>
        <w:spacing w:after="0" w:line="192"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Our research and development efforts with respect to new technologies may not result in customer or market acceptance. Some or all of those technologies may not successfully make the transition from the research and development stage to cost-effective production as a result of technology problems, competitive cost issues, yield problems, and other factors. Even if we successfully complete a research and development effort with respect to a particular technology, our customers may decide not to introduce or may terminate products utilizing the technology for a variety of reasons, including difficulties with other suppliers of components for the products, superior technologies developed by our competitors and unfavorable comparisons of our solutions with these technologies, price considerations and lack of anticipated or actual market demand for the products.</w:t>
      </w:r>
    </w:p>
    <w:p>
      <w:pPr>
        <w:spacing w:after="0" w:line="164"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business could be harmed if we are unable to develop and utilize new technologies that address the needs of our customers, or our competitors or customers develop and utilize new technologies more effectively or more quickly than we can. Any investments made to enhance or develop new technologies that are not successful could have an adverse effect on our net revenue and operating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enhance our existing product solutions and develop new product solutions in a timely manner.</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future operating results will depend to a significant extent on our ability to continue to provide new solutions that compare favorably with alternative solutions on the basis of time to introduction, cost, performance, and end user preferences. Our success in maintaining existing customers, attracting new customers, and developing new business depends on various factors, including the following:</w:t>
      </w:r>
    </w:p>
    <w:p>
      <w:pPr>
        <w:spacing w:after="0" w:line="76"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innovative development of new solutions for customer products;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utilization of advances in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maintenance of quality standards;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advantages;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efficient and cost-effective solutions;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completion of the design and introduction of new solutions.</w:t>
      </w:r>
    </w:p>
    <w:p>
      <w:pPr>
        <w:spacing w:after="0" w:line="22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inability to enhance our existing product solutions and develop new product solutions on a timely basis could harm our operating results and impede our growth.</w:t>
      </w:r>
    </w:p>
    <w:p>
      <w:pPr>
        <w:spacing w:after="0" w:line="2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become subject to product returns or claims resulting from defects in our products, we may incur significant costs resulting in a decrease in revenue.</w:t>
      </w:r>
    </w:p>
    <w:p>
      <w:pPr>
        <w:spacing w:after="0" w:line="58"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develop complex products in an evolving marketplace and generally warrant our products for a period of 12 months from the date of delivery. Despite testing by us and our customers, defects may be found in existing or new products. Manufacturing errors or product defects could result in a delay in recognition or loss of revenue, loss of market share,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failure to achieve market acceptance. Additionally, defects could result in financial or other damages to our customers, causing us to incur significant warranty, support, and repair costs, and diverting the attention of our engineering personnel from key product development efforts.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finance the growth of our business and the development of new products, which could have an adverse effect on our operating results.</w:t>
      </w:r>
    </w:p>
    <w:p>
      <w:pPr>
        <w:spacing w:after="0" w:line="144"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To remain competitive, we must continue to make significant investments in research and development, marketing, and business development. Our failure to sufficiently increase our net revenue to offset these increased costs would adversely affect our operating results.</w:t>
      </w:r>
    </w:p>
    <w:p>
      <w:pPr>
        <w:spacing w:after="0" w:line="170"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From time to time, we may seek additional equity or debt financing to provide for funds required to expand our business, including through acquisitions. We cannot predict the timing or amount of any such requirements at this time. If such financing is not available to us on satisfactory terms, we may be unable to expand our business or to develop new business at the rate desired and our operating results may suffer. If obtained, the financing itself carries risks including the following: (i) debt financing increases expenses and must be repaid regardless of operating results; and (ii) equity financing, including the issuance of convertible notes or additional shares in connection with acquisitions, could result in dilution to existing stockholders and could adversely affect the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International Sales and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to import, export and economic sanction laws may expose us to liability, increase our costs and adversely affect our operating results.</w:t>
      </w:r>
    </w:p>
    <w:p>
      <w:pPr>
        <w:spacing w:after="0" w:line="144"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As a global company headquartered in the U.S., we are subject to U.S. laws and regulations, including import, export, and economic sanction laws. These laws may include prohibitions on the sale or supply of certain products to embargoed or sanctioned countries, regions, governments, persons, and entities, may require an export license prior to the export of the controlled item, or may otherwise limit and restrict the export of certain products and technologies. Many of our customers, suppliers and contract manufacturers are foreign companies or have significant foreign operations. The imposition of new or additional economic and trade sanctions against our major customers, suppliers or contract manufacturers could result in our inability to sell to, and generate revenue from such customer, supplier, or contract manufacturer. As a result of restrictive export laws, our customers may also develop their own solutions to replace our products or seek to obtain a greater supply of similar or substitute products from our competitors that are not subject to these restrictions, which could material and adversely affect our business and operating results.</w:t>
      </w:r>
    </w:p>
    <w:p>
      <w:pPr>
        <w:spacing w:after="0" w:line="17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In addition, compliance with additional export regulations may result in increased costs to the company. Although we have an export compliance program, maintaining and adapting our export controls program to new and shifting regulations is expensive, time-consuming and requires significant management attention. Failure to comply with trade or economic sanctions could subject the company to legal liabilities and fines from the U.S. government. We must also comply with export restrictions and laws imposed by other countries affecting trade and investments. Although these restrictions and laws have not materially restricted our operations in the recent past, there is a significant risk that they could do so in the future, which would materially and adversely affect our business and operating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jc w:val="both"/>
        <w:ind w:right="20"/>
        <w:spacing w:after="0" w:line="282" w:lineRule="auto"/>
        <w:rPr>
          <w:sz w:val="20"/>
          <w:szCs w:val="20"/>
          <w:color w:val="auto"/>
        </w:rPr>
      </w:pPr>
      <w:r>
        <w:rPr>
          <w:rFonts w:ascii="Arial" w:cs="Arial" w:eastAsia="Arial" w:hAnsi="Arial"/>
          <w:sz w:val="18"/>
          <w:szCs w:val="18"/>
          <w:b w:val="1"/>
          <w:bCs w:val="1"/>
          <w:color w:val="auto"/>
        </w:rPr>
        <w:t>Changes to international trade policy and rising concerns of international tariffs, including tariffs applied to goods traded between the U.S. and China, could materially and adversely affect our business and results of operations.</w:t>
      </w:r>
    </w:p>
    <w:p>
      <w:pPr>
        <w:spacing w:after="0" w:line="5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Many of the materials used in the production of our products are available only from a limited number of foreign suppliers, particularly suppliers located in Asia. The imposition of tariffs against foreign imports of certain materials could make it more difficult or expensive for us or our OEMs to obtain sufficient quantities of components and other materials necessary for the production of our products or products which incorporate our product solutions. Any interruptions to supply could result in delay or cancellation of our products, which could adversely affect our business and operating results.</w:t>
      </w:r>
    </w:p>
    <w:p>
      <w:pPr>
        <w:spacing w:after="0" w:line="18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In addition, the institution of trade tariffs both globally and between the U.S. and China carry the risk that China’s overall economic condition may be negatively affected, which could affect our China operations, including the manufacturing operations on which we rely in China. Further, imposition of tariffs could cause a decrease in the sales of our products to customers located in China or to our OEMs selling to customers in China, which could impact our business, revenue, and operating results.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sales and manufacturing risks could adversely affect our operating results.</w:t>
      </w:r>
    </w:p>
    <w:p>
      <w:pPr>
        <w:spacing w:after="0" w:line="12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manufacturing and assembly operations are primarily conducted in Taiwan, China, and Korea by contract manufacturers and semiconductor fabricators. We have sales and logistics operations in Hong Kong, and sales and engineering design support operations in China, India, Japan, Korea, Poland, Switzerland, Taiwan, and the U.K. These international operations expose us to various economic, political, regulatory, and other risks that could adversely affect our operations and operating results, including the following:</w:t>
      </w:r>
    </w:p>
    <w:p>
      <w:pPr>
        <w:spacing w:after="0" w:line="7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and costs of staffing and managing a multinational organization;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environmental laws and regulations, including in response to climate change;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employee turnover or labor unrest;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burdens and costs of compliance with a variety of foreign laws;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volatility of currency exchange rates;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or economic instability in certain parts of the world;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including earthquakes or tsunamis.</w:t>
      </w:r>
    </w:p>
    <w:p>
      <w:pPr>
        <w:spacing w:after="0" w:line="22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If any of these risks associated with international operations materialize, our operations could significantly increase in cost or be disrupted, which would negatively affect our revenue and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could be adversely affected by fluctuations in the value of the U.S. dollar against foreign currencies.</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transact business predominantly in U.S. dollars, and we invoice and collect our sales in U.S. dollars. A weakening of the U.S. dollar could cause our overseas vendors to require renegotiation of either the prices or currency we pay for their goods and services. In the future, customers may negotiate pricing and make payments in non-U.S. currencies. For fiscal 2021, approximately 13% of our costs were denominated in non-U.S. currencies, including British pounds, Canadian dollars, European Union euro, Hong Kong dollars, Indian rupee, New Taiwan dollars, Japanese yen, Korean won, Chinese yuan, Polish zloty, and Swiss francs.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jc w:val="both"/>
        <w:ind w:firstLine="546"/>
        <w:spacing w:after="0" w:line="259" w:lineRule="auto"/>
        <w:rPr>
          <w:sz w:val="20"/>
          <w:szCs w:val="20"/>
          <w:color w:val="auto"/>
        </w:rPr>
      </w:pPr>
      <w:r>
        <w:rPr>
          <w:rFonts w:ascii="Arial" w:cs="Arial" w:eastAsia="Arial" w:hAnsi="Arial"/>
          <w:sz w:val="18"/>
          <w:szCs w:val="18"/>
          <w:color w:val="auto"/>
        </w:rPr>
        <w:t>If our overseas vendors or customers require us to transact business in non-U.S. currencies, fluctuations in foreign currency exchange rates could affect our cost of goods, operating expenses, and operating margins, and could result in exchange losses. In addition, currency devaluation could result in a loss to us if we hold deposits of that currency. Hedging foreign currencies can be difficult, especially if the currency is not freely traded. We cannot predict the impact of future exchange rate fluctuations on our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Employees</w:t>
      </w:r>
    </w:p>
    <w:p>
      <w:pPr>
        <w:spacing w:after="0" w:line="3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key personnel who would be difficult to replace, and our business will likely be harmed if we lose their services or cannot hire additional qualified personnel.</w:t>
      </w:r>
    </w:p>
    <w:p>
      <w:pPr>
        <w:spacing w:after="0" w:line="5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Our success depends substantially on the efforts and abilities of our senior management and other key personnel. The competition for qualified management and key personnel, especially engineers, is intense. Although we maintain nondisclosure covenants with most of our key personnel, and our key executives have change of control severance agreements, we do not have employment agreements with many of them. The loss of services of one or more of our key employees or the inability to hire, train, and retain key personnel, especially engineers and technical support personnel, and capable sales and customer-support employees outside the U.S., could delay the development and sale of our products, disrupt our business, and interfere with our ability to execute our business plan.</w:t>
      </w:r>
    </w:p>
    <w:p>
      <w:pPr>
        <w:spacing w:after="0" w:line="29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obtain stockholder approval of share-based compensation award programs or additional shares for such programs, we could be at a competitive disadvantage in the marketplace for qualified personnel or may be required to increase the cash element of our compensation program.</w:t>
      </w:r>
    </w:p>
    <w:p>
      <w:pPr>
        <w:spacing w:after="0" w:line="7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Competition for qualified personnel in our industry is extremely intense, particularly for engineering and other technical personnel. Our compensation program, which includes cash and share-based compensation award components, has been instrumental in attracting, hiring, motivating, and retaining qualified personnel. Our success depends on our continued ability to use our share-based compensation programs to effectively compete for engineering and other technical personnel and professional talent without significantly increasing cash compensation costs. In the future, if we are unable to obtain stockholder approval of our share-based compensation programs or additional shares for such programs, we could be at a competitive disadvantage in the marketplace for qualified personnel or we may be required to increase the cash elements of our compensation program to account for this disadvantage.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3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compete successfully and continue growing as a company depends on our ability to adequately protect our proprietary technology and confidential information.</w:t>
      </w:r>
    </w:p>
    <w:p>
      <w:pPr>
        <w:spacing w:after="0" w:line="58" w:lineRule="exact"/>
        <w:rPr>
          <w:sz w:val="20"/>
          <w:szCs w:val="20"/>
          <w:color w:val="auto"/>
        </w:rPr>
      </w:pPr>
    </w:p>
    <w:p>
      <w:pPr>
        <w:jc w:val="both"/>
        <w:ind w:firstLine="546"/>
        <w:spacing w:after="0" w:line="290" w:lineRule="auto"/>
        <w:rPr>
          <w:sz w:val="20"/>
          <w:szCs w:val="20"/>
          <w:color w:val="auto"/>
        </w:rPr>
      </w:pPr>
      <w:r>
        <w:rPr>
          <w:rFonts w:ascii="Arial" w:cs="Arial" w:eastAsia="Arial" w:hAnsi="Arial"/>
          <w:sz w:val="16"/>
          <w:szCs w:val="16"/>
          <w:color w:val="auto"/>
        </w:rPr>
        <w:t>We protect our proprietary technology and confidential information through the use of patents, trade secrets, trademarks, copyrights, confidentiality agreements and other contractual provisions. The process of seeking patent protection is lengthy and expensive. Further, there can be no assurance that even if a patent is issued, that it will not be challenged, invalidated, or circumvented, or that the rights granted under the patents will provide us with meaningful protection or any commercial advantage. Failure to obtain trademark registrations could compromise our ability to fully protect our trademarks and brands and could increase the risk of challenge from third parties to our use of our trademarks and brands. Effective intellectual property protection may be unavailable or limited in some foreign countries in which we operate. In particular, the validity, enforceability and scope of protection of intellectual property in China, where we derive a significant portion of our net sales, and certain other countries where we derive net sales, are still evolving and historically, have not protected and may not protect in the future, intellectual property rights to the same extent as laws developed in the U.S.</w:t>
      </w:r>
    </w:p>
    <w:p>
      <w:pPr>
        <w:spacing w:after="0" w:line="165"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We do not consistently rely on written agreements with our customers, suppliers, manufacturers, and other recipients of our technologies and products and therefore, some trade secret protection may be lost and our ability to enforce our intellectual property rights may be limited. Confidentiality and non-disclosure agreements that are in place may not be adequate to protect our proprietary technologies or may be breached by other parties. Additionally, our customers, suppliers, manufacturers, and other recipients of our technologies and products may seek to use our technologies and products without appropriate limitations. In the past, we did not consistently require our employees and consultants to enter into confidentiality, employment, or proprietary information and invention assignment agreements. Therefore, our former employees and consultants may try to claim some ownership interest in our technologies and products or may use our technologies and products competitively and without appropriate limitations. Unauthorized parties may attempt to copy 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spacing w:after="0" w:line="311" w:lineRule="auto"/>
        <w:rPr>
          <w:sz w:val="20"/>
          <w:szCs w:val="20"/>
          <w:color w:val="auto"/>
        </w:rPr>
      </w:pPr>
      <w:r>
        <w:rPr>
          <w:rFonts w:ascii="Arial" w:cs="Arial" w:eastAsia="Arial" w:hAnsi="Arial"/>
          <w:sz w:val="16"/>
          <w:szCs w:val="16"/>
          <w:color w:val="auto"/>
        </w:rPr>
        <w:t>otherwise use aspects of our technologies and products that we regard as proprietary. Other companies, including our competitors, may independently develop technologies that are similar or superior to our technologies, duplicate our technologies, or design around our patents. If our intellectual property protection is insufficient to protect our intellectual property rights, we could face increased competition in the markets for our technologies and products.</w:t>
      </w:r>
    </w:p>
    <w:p>
      <w:pPr>
        <w:spacing w:after="0" w:line="149"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may pursue, and from time to time defend, litigation to enforce our intellectual property rights, to protect our trade secrets, and to determine the validity and scope of the proprietary rights of others. Litigation whether successful or unsuccessful, could result in substantial costs and diversion of resources, which could have a material adverse effect on our business, financial condition, and operating results.</w:t>
      </w:r>
    </w:p>
    <w:p>
      <w:pPr>
        <w:spacing w:after="0" w:line="2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Any claims that our technologies infringe the intellectual property rights of third parties could result in significant costs and have a material adverse effect on our business.</w:t>
      </w:r>
    </w:p>
    <w:p>
      <w:pPr>
        <w:spacing w:after="0" w:line="58" w:lineRule="exact"/>
        <w:rPr>
          <w:sz w:val="20"/>
          <w:szCs w:val="20"/>
          <w:color w:val="auto"/>
        </w:rPr>
      </w:pPr>
    </w:p>
    <w:p>
      <w:pPr>
        <w:jc w:val="both"/>
        <w:ind w:firstLine="546"/>
        <w:spacing w:after="0" w:line="290" w:lineRule="auto"/>
        <w:rPr>
          <w:sz w:val="20"/>
          <w:szCs w:val="20"/>
          <w:color w:val="auto"/>
        </w:rPr>
      </w:pPr>
      <w:r>
        <w:rPr>
          <w:rFonts w:ascii="Arial" w:cs="Arial" w:eastAsia="Arial" w:hAnsi="Arial"/>
          <w:sz w:val="16"/>
          <w:szCs w:val="16"/>
          <w:color w:val="auto"/>
        </w:rPr>
        <w:t>We cannot be certain that our technologies and products do not and will not infringe issued patents or other third-party proprietary rights. Any claims, with or without merit, could result in significant litigation costs and diversion of resources, including the attention of management, and could require us to enter into royalty or licensing agreements, any of which could have a material adverse effect on our business. There can be no assurance that such licenses could be obtained on commercially reasonable terms, if at all, or that the terms of any offered licenses would be acceptable to us. We may also have to pay substantial damages to third parties or indemnify customers or licensees for damages they suffer if the products they purchase from us or the technology they license from us violates any third-party intellectual property rights. An adverse determination in a judicial or administrative proceeding, or a failure to obtain necessary licenses to use such third-party technology could prevent us from manufacturing, using, or selling certain of our products, and there is no guarantee that we will be able to develop or acquire alternate non-infringing technology.</w:t>
      </w:r>
    </w:p>
    <w:p>
      <w:pPr>
        <w:spacing w:after="0" w:line="16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In addition, we license certain technology used in and for our products from third parties. These third-party licenses are granted with restrictions, and there can be no assurances that such third-party technology will remain available to us on commercially acceptable terms.</w:t>
      </w:r>
    </w:p>
    <w:p>
      <w:pPr>
        <w:spacing w:after="0" w:line="17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If third-party technology currently utilized in our products is no longer available to us on commercially acceptable terms, or if any third-party initiates litigation against us for alleged infringement of their proprietary rights, we may not be able to sell certain of our products and we could incur significant costs in defending against litigation or attempting to develop or acquire alternate non-infringing products, which would have an adverse effect on our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Acquisitions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acquisitions that we undertake could be difficult to integrate, disrupt our business, dilute stockholder value, and harm our operating results.</w:t>
      </w:r>
    </w:p>
    <w:p>
      <w:pPr>
        <w:spacing w:after="0" w:line="144"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7"/>
          <w:szCs w:val="17"/>
          <w:color w:val="auto"/>
        </w:rPr>
        <w:t>We expect to continue to pursue opportunities to acquire other businesses and technologies in order to complement our current solutions, expand the breadth of our markets, enhance our technical capabilities, or otherwise create growth opportunities. We cannot accurately predict the timing, size, and success of any currently planned or future acquisitions. We 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Acquisitions may also become more difficult in the future as we or others acquire the most attractive candidates. Unforeseen expenses, difficulties, and delays frequently encountered in connection with rapid expansion through acquisitions could inhibit our growth and negatively impact our operating results. If we make any future acquisitions, we could issue stock that would dilute existing stockholders' percentage ownership, incur substantial debt, assume contingent liabilities, or experience higher operating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both"/>
        <w:ind w:firstLine="546"/>
        <w:spacing w:after="0" w:line="257" w:lineRule="auto"/>
        <w:rPr>
          <w:sz w:val="20"/>
          <w:szCs w:val="20"/>
          <w:color w:val="auto"/>
        </w:rPr>
      </w:pPr>
      <w:r>
        <w:rPr>
          <w:rFonts w:ascii="Arial" w:cs="Arial" w:eastAsia="Arial" w:hAnsi="Arial"/>
          <w:sz w:val="18"/>
          <w:szCs w:val="18"/>
          <w:color w:val="auto"/>
        </w:rPr>
        <w:t>We may be unable to effectively complete an integration of the management, operations, facilities, and accounting and information systems of acquired businesses with our own; efficiently manage, combine or restructure the operations of the acquired businesses with our operations; achieve our operating, growth, and performance goals for acquired businesses; achieve additional revenue as a result of our expanded operations; or achieve operating efficiencies or otherwise realize cost savings as a result of anticipated acquisition synergies. The integration of acquired businesses involves numerous risks, including the following:</w:t>
      </w:r>
    </w:p>
    <w:p>
      <w:pPr>
        <w:spacing w:after="0" w:line="80"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disruption of our core business;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strain on our financial and managerial controls, reporting systems and procedures;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relating to liabilities which we agree to assume;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assimilating the purchased operations, technologies, or products;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entering markets and businesses in which we have little or no prior experience;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acquired businesses to achieve expected results;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retain key customers, suppliers, or personnel of acquired businesses;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inability to create uniform standards, controls, procedures, policies, and information systems.</w:t>
      </w:r>
    </w:p>
    <w:p>
      <w:pPr>
        <w:spacing w:after="0" w:line="22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cannot assure you that we would be successful in overcoming problems encountered in connection with any acquisitions, and our inability to do so could disrupt our operations, result in goodwill or intangible asset impairment charges, and adversely affect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strategic alliances may not achieve their objectives, and the failure to do so could impede our growth.</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have entered, and we anticipate that we will continue to enter, into strategic alliances. We continually explore strategic alliances designed to enhance or complement our technology or to work in conjunction with our technology; to provide necessary know-how, components, or supplies; and to develop, introduce, and distribute products utilizing our technology. Certain strategic alliances may not achieve their intended objectives, and parties to our strategic alliances may not perform as contemplated. The failure of these alliances to achieve their objectives may impede our ability to introduce new products and enter new markets.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material environmental liabilities as a result of prior operations at an acquired company.</w:t>
      </w:r>
    </w:p>
    <w:p>
      <w:pPr>
        <w:spacing w:after="0" w:line="135" w:lineRule="exact"/>
        <w:rPr>
          <w:sz w:val="20"/>
          <w:szCs w:val="20"/>
          <w:color w:val="auto"/>
        </w:rPr>
      </w:pPr>
    </w:p>
    <w:p>
      <w:pPr>
        <w:jc w:val="both"/>
        <w:ind w:firstLine="546"/>
        <w:spacing w:after="0" w:line="289" w:lineRule="auto"/>
        <w:rPr>
          <w:sz w:val="20"/>
          <w:szCs w:val="20"/>
          <w:color w:val="auto"/>
        </w:rPr>
      </w:pPr>
      <w:r>
        <w:rPr>
          <w:rFonts w:ascii="Arial" w:cs="Arial" w:eastAsia="Arial" w:hAnsi="Arial"/>
          <w:sz w:val="16"/>
          <w:szCs w:val="16"/>
          <w:color w:val="auto"/>
        </w:rPr>
        <w:t>In connection with our acquisition in July 2017 of Conexant Systems, we agreed to assume certain environmental liabilities, including remediation of environmental impacts at a property formerly owned and operated by Conexant (the “Conexant Site”) and for potential future claims alleging personal injury or property damage related to the environmental impacts at and about the Conexant Site. We continue to incur costs to investigate and remediate the Conexant Site’s environmental impacts, and we are at risk for future personal injury and property damage claims related to the Conexant Site. Various federal, state, and local authorities regulate the release of hazardous substances into the environment and can impose substantial fines if our remediation efforts at or about the Conexant Site fail or are deemed inadequate. In addition, changes in laws, regulations and enforcement policies, the discovery of previously unknown contamination at the Conexant Site, the implementation of new technology at the Conexant Site, or the establishment or imposition of stricter federal, state, or local cleanup standards or requirements with respect to the Conexant Site could require us to incur additional costs in the future that could have a negative effect on our financial condition or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Risks Factors Related to Our Indebtedness</w:t>
      </w:r>
    </w:p>
    <w:p>
      <w:pPr>
        <w:spacing w:after="0" w:line="333"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Our indebtedness could adversely affect our financial condition or operating flexibility and prevent us from fulfilling our obligations outstanding under our credit agreement, our 4.000% senior notes due 2029, or the Senior Notes, and other indebtedness we may incur from time to time.</w:t>
      </w:r>
    </w:p>
    <w:p>
      <w:pPr>
        <w:spacing w:after="0" w:line="1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On March 11, 2021, we completed the offering of the Senior Notes in the aggregate principal amount of $400.0 million, with a corresponding amendment and restatement of our credit agreement, or as amended and supplemented, the Credit Agreement, with the lenders party thereto, or the Lenders, and Wells Fargo Bank, National Association, or the Administrative Agent, as administrative agent for the Lenders. The Senior Notes include a mandatory semi-annual payment of a 4.000% coupon. We are permitted under the indenture governing our Senior Notes and the Credit Agreement to incur additional debt under certain conditions, including additional secured debt. If new debt were to be incurred in the future, the related risks that we now face could intensify.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level of indebtedness could have important consequences on our future operations, including:</w:t>
      </w:r>
    </w:p>
    <w:p>
      <w:pPr>
        <w:spacing w:after="0" w:line="117" w:lineRule="exact"/>
        <w:rPr>
          <w:sz w:val="20"/>
          <w:szCs w:val="20"/>
          <w:color w:val="auto"/>
        </w:rPr>
      </w:pPr>
    </w:p>
    <w:p>
      <w:pPr>
        <w:ind w:left="10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it more difficult for us to satisfy our payment and other obligations under the Notes, the Credit Agreement, or our other outstanding debt from time to time;</w:t>
      </w:r>
    </w:p>
    <w:p>
      <w:pPr>
        <w:spacing w:after="0" w:line="62"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risking an event of default if we fail to comply with the financial and other covenants contained in the Notes indenture or the Credit Agreement, which could result in the Senior Notes or any outstanding bank debt becoming immediately due and payable and could permit the lenders under the Credit Agreement to foreclose on the assets securing such bank debt;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debt with variable interest rates, including the debt that we may incur under the Credit Agreement;</w:t>
      </w:r>
    </w:p>
    <w:p>
      <w:pPr>
        <w:spacing w:after="0" w:line="6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London interbank offered rate, or LIBOR, index is expected to be discontinued at the end of June 2023 and the replacement rate could be more volatile or more costly, resulting in a higher cost of borrowing under our Credit Agreement;</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 and</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or are less leveraged.</w:t>
      </w:r>
    </w:p>
    <w:p>
      <w:pPr>
        <w:spacing w:after="0" w:line="225"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to us under the Credit Agreement, the indenture governing the Senior Notes or otherwise in an amount sufficient to enable us to pay our debt or to fund our other liquidity needs.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covenants in the Credit Agreement impose restrictions that may limit our operating and financial flexibility.</w:t>
      </w:r>
    </w:p>
    <w:p>
      <w:pPr>
        <w:spacing w:after="0" w:line="12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The Credit Agreement includes certain covenants that limit (subject to certain exceptions) our ability to, among other things: (i) incur or guarantee additional indebtedness; (ii) incur or suffer to exist liens securing indebtedness; (iii) make investments; (iv) consolidate, merge or transfer all or substantially all of our assets; (v) sell assets; (vi) pay dividends or other distributions on, redeem or repurchase capital stock; (vii) enter into transactions with affiliates; (viii) amend, modify, prepay or redeem subordinated indebtedness; (ix) enter into certain restrictive agreements; and (x) engage in a new line of business. In addition, the Credit Agreement contains financial covenants that (i) require the ratio of the amount of our consolidated total indebtedness to consolidated EBITDA to be less than certain maximum ratio levels, and (ii) require the ratio of the amount of our consolidated EBITDA to consolidated interest expense to be greater than a certain minimum ratio level.</w:t>
      </w:r>
    </w:p>
    <w:p>
      <w:pPr>
        <w:spacing w:after="0" w:line="195"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If we violate these covenants and are unable to obtain waivers, our debt under the Credit Agreement would be in default and could be accelerated, and could permit, in the case of secured debt, the lenders to foreclose on our assets securing the Credit Agreement.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results of operations or financial condition could be materially and adversely affected. In addition, complying with these covenants may also cause us to take actions that may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make it more difficult for us to successfully execute our business strategy and compete against companies that are not subject to such restrictions.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33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(including liquidity) and prospects may be materially and adversely affected by health epidemics, including the COVID-19 pandemic.</w:t>
      </w:r>
    </w:p>
    <w:p>
      <w:pPr>
        <w:spacing w:after="0" w:line="71"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suppliers and customers. Any of these public health threats and related consequences could adversely affect our operating results and financial condition.</w:t>
      </w:r>
    </w:p>
    <w:p>
      <w:pPr>
        <w:spacing w:after="0" w:line="165"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COVID-19 has spread rapidly and enveloped most of the world, causing a global public health crisis</w:t>
      </w:r>
      <w:r>
        <w:rPr>
          <w:rFonts w:ascii="Arial" w:cs="Arial" w:eastAsia="Arial" w:hAnsi="Arial"/>
          <w:sz w:val="17"/>
          <w:szCs w:val="17"/>
          <w:color w:val="252525"/>
        </w:rPr>
        <w:t>. On March 11, 2020, the World Health</w:t>
      </w:r>
      <w:r>
        <w:rPr>
          <w:rFonts w:ascii="Arial" w:cs="Arial" w:eastAsia="Arial" w:hAnsi="Arial"/>
          <w:sz w:val="17"/>
          <w:szCs w:val="17"/>
          <w:color w:val="auto"/>
        </w:rPr>
        <w:t xml:space="preserve"> </w:t>
      </w:r>
      <w:r>
        <w:rPr>
          <w:rFonts w:ascii="Arial" w:cs="Arial" w:eastAsia="Arial" w:hAnsi="Arial"/>
          <w:sz w:val="17"/>
          <w:szCs w:val="17"/>
          <w:color w:val="252525"/>
        </w:rPr>
        <w:t>Organization characterized the COVID-19 outbreak as a pandemic. Governments in affected countries continue to periodically impose travel bans, quarantines, and other emergency public health measures. In response to the virus, national and local governments in numerous countries around the world have implemented substantial lockdown measures. These restrictions, and prevention and mitigation measures, have had an adverse impact on global economic conditions, which could materially adversely affect our future operations. Uncertainties regarding the economic impact of the COVID-19 outbreak have resulted in market turmoil, which could also negatively impact our business, financial condition, and cash flows.</w:t>
      </w:r>
    </w:p>
    <w:p>
      <w:pPr>
        <w:spacing w:after="0" w:line="178"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252525"/>
        </w:rPr>
        <w:t>These measures have impacted and may further impact our workforce and operations, the operations of our customers, and those of our respective vendors, suppliers, and partners. The disruptions to our operations caused by the COVID-19 outbreak may result in inefficiencies, delays and additional costs in our product development, sales, marketing, and customer service efforts that we cannot fully mitigate through remote or other alternative work arrangements. Also, some suppliers of materials used in the production of our products may be located in areas more severely or repeatedly impacted by COVID-19 and its variants, which could limit our ability to obtain sufficient materials for our products. In addition, the severe global economic disruption caused by COVID-19 may cause our customers and end-users of our products to suffer significant economic hardship, which could result in decreased demand for our products in the future and materially adversely affect our business, operating results, financial condition (including liquidity) and prospects.</w:t>
      </w:r>
    </w:p>
    <w:p>
      <w:pPr>
        <w:spacing w:after="0" w:line="2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manage our growth effectively, our infrastructure, management, and resources could be strained, our ability to effectively manage our business could be diminished, and our operating results could suffer.</w:t>
      </w:r>
    </w:p>
    <w:p>
      <w:pPr>
        <w:spacing w:after="0" w:line="58"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failure to manage our planned growth effectively could strain our resources, which would impede our ability to increase revenue. We have increased the number of our solutions in the past and may plan to further expand the number and diversity of our solutions and their use in the future. Our ability to manage our planned diversification and growth effectively will require us to:</w:t>
      </w:r>
    </w:p>
    <w:p>
      <w:pPr>
        <w:spacing w:after="0" w:line="76"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hire, train, retain, and motivate additional employees, including employees outside the U.S.;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efficiently plan, expand, or cost-effectively reduce our facilities to meet headcount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global operational, financial, and management infrastructure;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development and production capacity.</w:t>
      </w:r>
    </w:p>
    <w:p>
      <w:pPr>
        <w:spacing w:after="0" w:line="225"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In connection with the expansion and diversification of our product and customer base, we may increase our personnel and make other expenditures to meet demand for our expanding product offerings, including offerings in the IoT market, the PC applications market, and the mobile product applications market. Any increase in expenses or investments in infrastructure and facilities in anticipation of future orders that do not materialize would adversely affect our profitability. Our customers also may require rapid increases in design and production services that place an excessive short-term burden on our resources and the resources of our contract manufacturers. An inability to quickly expand our development, design or production capacity or an inability of our third-party manufacturers to quickly expand development, design, or production capacity to meet this customer demand could result in a decrease to our revenue or operating results. If we cannot manage our growth effectively, our business and operating results could suffer.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We face risks associated with security breaches or cyberattacks.</w:t>
      </w:r>
    </w:p>
    <w:p>
      <w:pPr>
        <w:spacing w:after="0" w:line="121" w:lineRule="exact"/>
        <w:rPr>
          <w:sz w:val="20"/>
          <w:szCs w:val="20"/>
          <w:color w:val="auto"/>
        </w:rPr>
      </w:pPr>
    </w:p>
    <w:p>
      <w:pPr>
        <w:jc w:val="both"/>
        <w:ind w:firstLine="546"/>
        <w:spacing w:after="0" w:line="268" w:lineRule="auto"/>
        <w:rPr>
          <w:sz w:val="20"/>
          <w:szCs w:val="20"/>
          <w:color w:val="auto"/>
        </w:rPr>
      </w:pPr>
      <w:r>
        <w:rPr>
          <w:rFonts w:ascii="Arial" w:cs="Arial" w:eastAsia="Arial" w:hAnsi="Arial"/>
          <w:sz w:val="17"/>
          <w:szCs w:val="17"/>
          <w:color w:val="auto"/>
        </w:rPr>
        <w:t>We face risks associated with security breaches or cyberattacks of our computer systems or those of our third-party representatives, vendors, and service providers. Although we have implemented security procedures and controls to address these threats, our systems may still be vulnerable to data theft, computer viruses, programming errors, ransomware, and other attacks by third parties, or similar disruptive problems. If our systems, or systems owned by third parties affiliated with our company, were breached or attacked, the proprietary and confidential information of our company, our employees and our customers could be disclosed and we may be required to incur substantial costs and liabilities, including the following: liability for stolen assets or information; fines imposed on us by governmental authorities for failure to comply with privacy laws or for disclosure of any personally identifiable information as a part of such attack; costs of repairing damage to our systems; lost revenue and income resulting from any system downtime caused by such breach or attack; loss of competitive advantage if our proprietary information is obtained by competitors as a result of such breach or attack; increased costs of cyber security protection; costs of incentives we may be required to offer to our customers or business partners to retain their business; damage to our reputation; and expenses to rectify the consequences of the security breach or cyberattack. In addition, any compromise of security from a security breach or cyberattack could deter customers or business partners from entering into transactions that involve providing confidential information to us. As a result, any compromise to the security of our systems could have a material adverse effect on our business, reputation, financial condition, and operating results.</w:t>
      </w:r>
    </w:p>
    <w:p>
      <w:pPr>
        <w:spacing w:after="0" w:line="29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If tax laws change in the jurisdictions in which we do business or if we receive a material tax assessment in connection with an examination of our income tax returns, our consolidated financial position, results of operations and cash flows could be adversely affected.</w:t>
      </w:r>
    </w:p>
    <w:p>
      <w:pPr>
        <w:spacing w:after="0" w:line="12" w:lineRule="exact"/>
        <w:rPr>
          <w:sz w:val="20"/>
          <w:szCs w:val="20"/>
          <w:color w:val="auto"/>
        </w:rPr>
      </w:pPr>
    </w:p>
    <w:p>
      <w:pPr>
        <w:jc w:val="both"/>
        <w:ind w:firstLine="546"/>
        <w:spacing w:after="0" w:line="269" w:lineRule="auto"/>
        <w:rPr>
          <w:sz w:val="20"/>
          <w:szCs w:val="20"/>
          <w:color w:val="auto"/>
        </w:rPr>
      </w:pPr>
      <w:r>
        <w:rPr>
          <w:rFonts w:ascii="Arial" w:cs="Arial" w:eastAsia="Arial" w:hAnsi="Arial"/>
          <w:sz w:val="17"/>
          <w:szCs w:val="17"/>
          <w:color w:val="auto"/>
        </w:rPr>
        <w:t>We are subject to U.S. federal, state, and foreign income taxes in the various jurisdictions in which we do business. In addition, we are required to pay U.S. federal taxes on the operating earnings of certain of our foreign subsidiaries. Our future effective tax rates and the value of our deferred tax assets could be adversely affected by changes in tax laws in the U.S. or in the foreign jurisdictions in which we operate. In addition, we are subject to the examination of our income tax returns by the tax authorities in the jurisdictions in which we do business. The calculation of tax liabilities involves significant judgment in estimating the impact of uncertainties in the application of highly complex tax laws.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While we believe we have adequately provided for reasonably foreseeable outcomes in connection with the resolution of income tax uncertainties, the resolution of these uncertainties in a manner inconsistent with our expectations could have a material impact on our consolidated financial position, result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governmental laws, regulations and other legal obligations related to privacy and data protection.</w:t>
      </w:r>
    </w:p>
    <w:p>
      <w:pPr>
        <w:spacing w:after="0" w:line="121"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We collect, use, and store personally identifiable information, or PII, as part of our business and operations. We are subject to federal, state, and international laws relating to the collection, use, retention, security, and transfer of PII. The legislative and regulatory framework for privacy and data protection issues worldwide is rapidly evolving and is likely to remain uncertain for the foreseeable future. The cost of complying with and implementing these privacy-related and data governance measures could be significant as they may create additional burdensome security, business process, business record or data localization requirements. The theft, loss or misuse of PII collected, used, stored or transferred by us, our any inability, or perceived inability, to adequately address privacy and data protection concerns, even if unfounded, or our failure to comply with applicable laws, regulations, policies, industry standards, contractual obligations or other legal obligations, could result in additional cost and liability to us, including litigation, which could have an adverse effect on our business, operating results, cash flows, and financial condition.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could make it more difficult for a third-party to acquire us and discourage a takeover.</w:t>
      </w:r>
    </w:p>
    <w:p>
      <w:pPr>
        <w:spacing w:after="0" w:line="121"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color w:val="auto"/>
        </w:rPr>
        <w:t>Our certificate of incorporation and the Delaware General Corporation Law contain provisions that may have the effect of making more difficult or delaying attempts by others to obtain control of our company, even when such attempts may be in the best interests of our stockholders. Our certificate of incorporation also authorizes our Board of Directors, without stockholder approval, to issue one or more series of preferred stock, which could have voting and conversion rights that adversely affect or dilute the voting power of the holders of our common stock. Delaware law also imposes conditions 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7"/>
          <w:szCs w:val="17"/>
          <w:color w:val="auto"/>
        </w:rPr>
        <w:t>certain business combination transactions with “interested stockholders.” Our certificate of incorporation divides our Board of Directors into three classes, with one class to stand for election each year for a three-year term after the election. The classification of directors tends to discourage a third-party from initiating a proxy solicitation or otherwise attempting to obtain control of our company and may maintain the incumbency of our Board of Directors, as this structure generally increases the difficulty of, or may delay, replacing a majority of directors. Our certificate of incorporation authorizes our Board of Directors to fill vacancies or newly created directorships. A majority of the directors then in office may elect a successor to fill any vacancies or newly created directorships, thereby increasing the difficulty of, or delaying a third-party’s efforts in, replacing a majority of directors.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has been and may continue to be volatile.</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 trading price of our common stock has been and may continue to be subject to wide fluctuations in response to various factors, including the following:</w:t>
      </w:r>
    </w:p>
    <w:p>
      <w:pPr>
        <w:spacing w:after="0" w:line="6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quarterly results;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guidance we may provide to the public, any changes in such guidance, or our failure to meet such guidance;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by industry or securities analysts or our failure to meet such estimates;</w:t>
      </w:r>
    </w:p>
    <w:p>
      <w:pPr>
        <w:spacing w:after="0" w:line="117"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various market factors or perceived market factors, including rumors, whether or not correct, involving us, our customers, our suppliers, our competitors, or a potential acquisition of our company;</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our competitors, or our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introductions of new products or new pricing policies by us, our competitors, or our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or strategic alliances by us, our competitors, or our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gain or loss of significant orders;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our industry, the industries of our customers, and the economy as a whole;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positions held by investors;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federal and state laws and regulations affecting our industry; and</w:t>
      </w:r>
    </w:p>
    <w:p>
      <w:pPr>
        <w:spacing w:after="0" w:line="117"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financial market conditions or occurrences, including market volatility resulting from geopolitical risks, and rivalries, acts of war, terrorist attacks, cybersecurity attacks, health pandemics, financial market technological glitches and interruptions of trading activity.</w:t>
      </w:r>
    </w:p>
    <w:p>
      <w:pPr>
        <w:spacing w:after="0" w:line="14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In addition, stocks of technology companies have experienced extreme price and volume fluctuations that often have been unrelated or disproportionate to these companies’ operating performance. Public announcements by technology companies concerning, among other things, their performance, accounting practices, or legal problems could cause the market price of our common stock to decline regardless of our actual operating performance.</w:t>
      </w:r>
    </w:p>
    <w:p>
      <w:pPr>
        <w:spacing w:after="0" w:line="29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Our principal executive offices, as well as our principal research and development, sales, marketing, and administrative functions, are located in San Jose, California, where we own and utilize approximately 161,000 square feet of facilities. We also have research and development functions in leased offices in California, Georgia, and Massachusetts. Our two Asia/Pacific principal offices are located in leased offices in Hong Kong and Japan, where we have sales, operations, and research and development functions. We have leased facilities with logistics operations in Hong Kong and Japan, leased facilities with sales and support operations in China, Hong Kong, Japan, Korea, Switzerland, and Taiwan, and leased facilities with engineering design support operations in China, India, Japan, Korea, Poland, Switzerland, Taiwan, the U.K. and California,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184"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For further information regarding current legal proceedings, see Note 7 Leases, Commitments and Contingencies to the consolidated financial statements contained elsewhere in this report.</w:t>
      </w:r>
    </w:p>
    <w:p>
      <w:pPr>
        <w:spacing w:after="0" w:line="27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240" w:hanging="1227"/>
        <w:spacing w:after="0" w:line="282" w:lineRule="auto"/>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on Common Stock</w:t>
      </w:r>
    </w:p>
    <w:p>
      <w:pPr>
        <w:spacing w:after="0" w:line="121"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Our common stock has been listed on the Nasdaq Global Select Market (formerly the Nasdaq National Market) under the symbol "SYNA" since January 29, 2002. Prior to that time, there was no public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As of August 13, 2021, there were approximately 120 holders of record of our common stock. The closing price of our common stock as quoted on the Nasdaq Global Select Market as of August 13, 2021 was $172.93.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plan to retain all earnings to finance the growth of our business, make our debt payments, or purchase shares under our common stock repurchase program. Payments of any cash dividends in the future will depend on our financial condition, operating results, and capital requirements, as well as other factors deemed relevant by our Board of Directors.</w:t>
      </w:r>
    </w:p>
    <w:p>
      <w:pPr>
        <w:spacing w:after="0" w:line="16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Credit Agreement also places restrictions on the payment of any dividends. For a further description of the terms of the Credit Agreement, see Note 6 Debt to the consolidated financial statements contained elsewhere in this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For information on securities authorized for issuance under our equity compensation plans, see Item 12. Security Ownership of Certain Beneficial Owners and Management and Related Stockholder Matters.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From April 2005 through July 2021, our Board of Directors cumulatively authorized the repurchase of $1.8 billion for our common stock in our stock repurchase program, which expires in July 2025. The remaining amount authorized for repurchase under our stock repurchase program was $577.4 million. During the three-month period ended June 26, 2021, there were no repurchases under our stock repurchase program.</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The following line graph compares cumulative total stockholder returns for the five years ended June 26, 2021 for (i) our common stock, (ii) the Nasdaq Composite Index and (iii) the Russell 2000 Index. The graph assumes an investment of $100 on June 30, 2016. The calculations of cumulative stockholder return on the Nasdaq Composite Index and the Russell 2000 Index include reinvestment of dividends. The calculation of cumulative stockholder return on our common stock does not include reinvestment of dividends because we did not pay any dividends during the measurement period. The historical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128270</wp:posOffset>
            </wp:positionV>
            <wp:extent cx="5760720" cy="4414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0720" cy="441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performance graph above shall not be deemed “filed” for purposes of Section 18 of the Exchange Act, or otherwise subject to the liability of that section. The performance graph above will not be deemed incorporated by reference into any filing of our company under the Exchange Act or the Securities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ind w:right="700"/>
        <w:spacing w:after="0" w:line="37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Forward-Looking Statements and Factors That May Affect Results</w:t>
      </w:r>
    </w:p>
    <w:p>
      <w:pPr>
        <w:spacing w:after="0" w:line="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You should read the following discussion and analysis in conjunction with our financial statements and related notes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elsewhere in this report and under Item 1A. Risk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On March 11, 2020, the World Health Organization declared the COVID-19 outbreak a global pandemic. In response to the outbreak, governmental authorities implemented numerous containment measures, including travel bans and restrictions, quarantines, shelter-in-place orders, and business restrictions and shutdowns, resulting in rapidly changing market and economic conditions. In certain countries in which we operate, governments took swift and effective measures to stem the spread, while in other countries in which we operate governments were slow to react or missed opportunities to effectively contain the spread. Although some of these restrictions and other containment measures have since been lifted or scaled back, ongoing surges of COVID-19 have resulted in the re-imposition of certain restrictions and containment measures and may lead to other restrictions being re-implemented in the future in response to efforts to reduce the rapid spread of COVID-19 and its variants.</w:t>
      </w:r>
    </w:p>
    <w:p>
      <w:pPr>
        <w:spacing w:after="0" w:line="69" w:lineRule="exact"/>
        <w:rPr>
          <w:sz w:val="20"/>
          <w:szCs w:val="20"/>
          <w:color w:val="auto"/>
        </w:rPr>
      </w:pPr>
    </w:p>
    <w:p>
      <w:pPr>
        <w:ind w:right="140" w:firstLine="546"/>
        <w:spacing w:after="0" w:line="257" w:lineRule="auto"/>
        <w:rPr>
          <w:sz w:val="20"/>
          <w:szCs w:val="20"/>
          <w:color w:val="auto"/>
        </w:rPr>
      </w:pPr>
      <w:r>
        <w:rPr>
          <w:rFonts w:ascii="Arial" w:cs="Arial" w:eastAsia="Arial" w:hAnsi="Arial"/>
          <w:sz w:val="18"/>
          <w:szCs w:val="18"/>
          <w:color w:val="auto"/>
        </w:rPr>
        <w:t>The health and wellbeing of our workforce is our highest priority. Many of our employees have worked from home since the COVID-19 outbreak was declared a pandemic in order to minimize the potential risk of spread of COVID-19 in our office environment. As the broad roll out of vaccines continues in various countries in which we operate, many employees have returned to the office environment on a part- or full-time basis. As more employees return to the office, we will continue to adhere to return to work protocols, based on guidance from local and global health organizations and applicable laws and regulations.</w:t>
      </w:r>
    </w:p>
    <w:p>
      <w:pPr>
        <w:spacing w:after="0" w:line="80" w:lineRule="exact"/>
        <w:rPr>
          <w:sz w:val="20"/>
          <w:szCs w:val="20"/>
          <w:color w:val="auto"/>
        </w:rPr>
      </w:pPr>
    </w:p>
    <w:p>
      <w:pPr>
        <w:ind w:right="340" w:firstLine="546"/>
        <w:spacing w:after="0" w:line="293" w:lineRule="auto"/>
        <w:rPr>
          <w:sz w:val="20"/>
          <w:szCs w:val="20"/>
          <w:color w:val="auto"/>
        </w:rPr>
      </w:pPr>
      <w:r>
        <w:rPr>
          <w:rFonts w:ascii="Arial" w:cs="Arial" w:eastAsia="Arial" w:hAnsi="Arial"/>
          <w:sz w:val="16"/>
          <w:szCs w:val="16"/>
          <w:color w:val="auto"/>
        </w:rPr>
        <w:t>While the severity and duration of business disruption to our customers and suppliers due to the COVID-19 pandemic continues to remain uncertain, we expect that the ongoing global vaccination programs will moderate the overall severity and duration and remain cautiously optimistic the most significant impact has passed. If more infectious COVID-19 variants become resistant to the existing vaccines, however, we could experience renewed and sustained business disruption. To date, we have not incurred significant disruptions to our business or a materially negative impact on our condensed consolidated results of operations and financial condition from the COVID-19 outbreak, and continue to believe our business will not be severely impacted as steps continue to be taken globally to mitigate the spread, vaccinate large portions of the population and achieve herd immunity.</w:t>
      </w:r>
    </w:p>
    <w:p>
      <w:pPr>
        <w:spacing w:after="0" w:line="56" w:lineRule="exact"/>
        <w:rPr>
          <w:sz w:val="20"/>
          <w:szCs w:val="20"/>
          <w:color w:val="auto"/>
        </w:rPr>
      </w:pPr>
    </w:p>
    <w:p>
      <w:pPr>
        <w:ind w:right="80" w:firstLine="546"/>
        <w:spacing w:after="0" w:line="263" w:lineRule="auto"/>
        <w:rPr>
          <w:sz w:val="20"/>
          <w:szCs w:val="20"/>
          <w:color w:val="auto"/>
        </w:rPr>
      </w:pPr>
      <w:r>
        <w:rPr>
          <w:rFonts w:ascii="Arial" w:cs="Arial" w:eastAsia="Arial" w:hAnsi="Arial"/>
          <w:sz w:val="18"/>
          <w:szCs w:val="18"/>
          <w:color w:val="auto"/>
        </w:rPr>
        <w:t>We will continue to evaluate the nature and scope of the impact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are a leading worldwide developer and supplier of custom-designed semiconductor solutions that is changing the way humans engage with connected devices and data, engineering exceptional experiences throughout the home, at work, in the car and on the go. We believe our results to date reflect the combination of our customer focus and the strength of our intellectual property and our engineering know-how, which allow us to develop or engineer products that meet the demanding design specifications of our OEMs.</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recognize revenue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For fiscal 2021, revenue from the IoT product applications market accounted for 43.4% of our net revenue, revenue from the PC product applications market accounted for 26.5% of our net revenue, and revenue from the mobile product applications market accounted for 30.2% of our net revenue.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546"/>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China, Hong Kong, India, Japan, Korea, Poland, Switzerland, Taiwan, the U.K., and the U.S., we are well positioned to provide local sales, operational, and engineering support services to our existing customers, as well as potential new customers, on a global basis.</w:t>
      </w:r>
    </w:p>
    <w:p>
      <w:pPr>
        <w:spacing w:after="0" w:line="187"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As a result of recent supply constraints and capacity shortages affecting the global semiconductor industry, we have entered into long-term capacity and pricing agreements with some suppliers.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8"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 xml:space="preserve">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w:t>
      </w:r>
      <w:r>
        <w:rPr>
          <w:rFonts w:ascii="Arial" w:cs="Arial" w:eastAsia="Arial" w:hAnsi="Arial"/>
          <w:sz w:val="16"/>
          <w:szCs w:val="16"/>
          <w:color w:val="252525"/>
        </w:rPr>
        <w:t>expense in-process research and development projects acquired as part of a business acquisition, which have not yet reached</w:t>
      </w:r>
      <w:r>
        <w:rPr>
          <w:rFonts w:ascii="Arial" w:cs="Arial" w:eastAsia="Arial" w:hAnsi="Arial"/>
          <w:sz w:val="16"/>
          <w:szCs w:val="16"/>
          <w:color w:val="auto"/>
        </w:rPr>
        <w:t xml:space="preserve"> </w:t>
      </w:r>
      <w:r>
        <w:rPr>
          <w:rFonts w:ascii="Arial" w:cs="Arial" w:eastAsia="Arial" w:hAnsi="Arial"/>
          <w:sz w:val="16"/>
          <w:szCs w:val="16"/>
          <w:color w:val="252525"/>
        </w:rPr>
        <w:t xml:space="preserve">technological feasibility, and which have no foreseeable alternative future use. </w:t>
      </w:r>
      <w:r>
        <w:rPr>
          <w:rFonts w:ascii="Arial" w:cs="Arial" w:eastAsia="Arial" w:hAnsi="Arial"/>
          <w:sz w:val="16"/>
          <w:szCs w:val="16"/>
          <w:color w:val="000000"/>
        </w:rPr>
        <w:t>We continue to commit to the technological and design innovation required</w:t>
      </w:r>
      <w:r>
        <w:rPr>
          <w:rFonts w:ascii="Arial" w:cs="Arial" w:eastAsia="Arial" w:hAnsi="Arial"/>
          <w:sz w:val="16"/>
          <w:szCs w:val="16"/>
          <w:color w:val="252525"/>
        </w:rPr>
        <w:t xml:space="preserve"> </w:t>
      </w:r>
      <w:r>
        <w:rPr>
          <w:rFonts w:ascii="Arial" w:cs="Arial" w:eastAsia="Arial" w:hAnsi="Arial"/>
          <w:sz w:val="16"/>
          <w:szCs w:val="16"/>
          <w:color w:val="000000"/>
        </w:rPr>
        <w:t>to maintain our position in our existing markets, and to adapt our existing technologies or develop new technologies for new markets.</w:t>
      </w:r>
    </w:p>
    <w:p>
      <w:pPr>
        <w:spacing w:after="0" w:line="161"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70"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Restructuring costs primarily reflect severance and facilities consolidation costs related to the restructuring of our operations to reduce operating expenses. These headcount and facilities related costs were in cost of revenue, research and development, and selling, general and administrative expenses. See Note 13 Restructuring Activities to the consolidated financial statements contained elsewhere in this report.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Gain on sale of audio technology assets includes the sale of limited audio technology intangible assets. See below under “Divestiture”.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Gain on sale of assets includes the sale of our TDDI product line for LCD mobile displays. See below under “Divestiture”.</w:t>
      </w:r>
    </w:p>
    <w:p>
      <w:pPr>
        <w:spacing w:after="0" w:line="225"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Interest and other expense, net, primarily reflects interest expense on our Senior Notes, 0.50% convertible senior notes due in 2022, or Convertible Notes, and revolving line of credit as well as the amortization of debt issuance costs and discount on our convertible notes, partially offset by interest income earned on our cash, cash equivalents and short-term investments.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ind w:firstLine="546"/>
        <w:spacing w:after="0" w:line="263" w:lineRule="auto"/>
        <w:rPr>
          <w:sz w:val="20"/>
          <w:szCs w:val="20"/>
          <w:color w:val="auto"/>
        </w:rPr>
      </w:pPr>
      <w:r>
        <w:rPr>
          <w:rFonts w:ascii="Arial" w:cs="Arial" w:eastAsia="Arial" w:hAnsi="Arial"/>
          <w:sz w:val="18"/>
          <w:szCs w:val="18"/>
          <w:color w:val="auto"/>
        </w:rPr>
        <w:t>Equity investment loss includes amortization of intangible assets reflected under the equity method of accounting in connection with our investment in OXi Technology Ltd. See Note 1 Organization and Summary of Significant Accounting Policies to the consolidated financial statements contained elsewhere in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p>
    <w:p>
      <w:pPr>
        <w:spacing w:after="0" w:line="225"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On July 17, 2020, we entered into a definitive agreement to acquire all of the equity interests in DisplayLink Corporation, or DisplayLink, a leader in high-performance video compression technology. The acquisition closed on July 31, 2020. As of June 26, 2021, our purchase consideration was $444.0 million. The results of DisplayLink are included in our consolidated financial statements for the period from August 1, 2020 through June 26, 2021. For further discussion of the DisplayLink acquisition, see Note 4 Acquisitions, Divestiture and Investment included in the consolidated financial statements contained elsewhere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w:t>
      </w:r>
    </w:p>
    <w:p>
      <w:pPr>
        <w:spacing w:after="0" w:line="225"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On July 2, 2020, we entered into definitive agreements with Broadcom to acquire certain assets and assume certain liabilities of, and obtain non-exclusive licenses relating to, Broadcom’s existing Wi-Fi, Bluetooth and GPS/GNSS products and business in the IoT market, or Broadcom Business Acquisition, for an aggregate consideration of $250 million in cash which closed on July 23, 2020. We also entered into certain transition agreements with Broadcom for a period of three years. The results of the Broadcom Business Acquisition are included in our consolidated financial statements for the period from July 24, 2020 through June 26, 2021. For further discussion of the Broadcom Business Acquisition, see Note 4 Acquisitions, Divestiture and Investment included in the consolidated financial statements contained elsewhere in this report.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In December 2020, we completed the sale of limited audio technology intangible assets, received a fully-paid up perpetual license back from the buyer and, as an element of the transaction, licensed other audio technology intangible assets to the buyer under a fully-paid up perpetual license arrangement. Under the asset purchase agreement and the intellectual property license agreement, we received $35.0 million in cash. The gain on the sale of the audio technology assets was $34.2 million.</w:t>
      </w:r>
    </w:p>
    <w:p>
      <w:pPr>
        <w:spacing w:after="0" w:line="79"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In December 2019, we entered into an asset purchase agreement with a third-party to sell the assets of our TDDI product line for LCD mobile displays. We retained our automotive TDDI product line and our discrete touch and discrete display driver product lines supporting LCD and OLED for the mobile market. The assets sold under the asset purchase agreement had a carrying value of approximately $33.6 million as of the closing date of the transaction in April 2020 for cash consideration of $138.7 million. The gain on sale of this business component was $105.1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or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product warranty, share-based compensation costs, provision for income taxes, deferred income tax asset valuation allowances, uncertain tax positions, tax contingencies, goodwill, intangible assets, investments, and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The methods, estimates, interpretations, and judgments we use in applying our most critical accounting policies can have a significant impact on the results that we report in our consolidated financial statements. The SEC considers an entity’s most critical accounting policies to be those policies that are both most important to the portrayal of the entity’s financial condition and results of operations and those that require the entity’s most difficult, subjective, or complex judgments, often as a result of the need to make assumptions and estimates about matters that are inherently uncertain. We believe the following critical accounting policies affect our more significant judgments and estimates used in the preparation of our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Our revenue is primarily generated from the sale of ASIC chips, either directly to a customer or to a distributor. Revenue is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95"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9"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new revenue standard and are shown as customer obligations within Other Accrued Liabilities as disclosed in Note 1 Organization and Summary of Significant Accounting Policies to the consolidated financial statements contained elsewhere in this report.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applied to distributor inventory subject to stock rotation rights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7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impairment losses on accounts receivable.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jc w:val="both"/>
        <w:ind w:firstLine="546"/>
        <w:spacing w:after="0" w:line="259" w:lineRule="auto"/>
        <w:rPr>
          <w:sz w:val="20"/>
          <w:szCs w:val="20"/>
          <w:color w:val="auto"/>
        </w:rPr>
      </w:pPr>
      <w:r>
        <w:rPr>
          <w:rFonts w:ascii="Arial" w:cs="Arial" w:eastAsia="Arial" w:hAnsi="Arial"/>
          <w:sz w:val="18"/>
          <w:szCs w:val="18"/>
          <w:color w:val="auto"/>
        </w:rPr>
        <w:t>We invoice customers and recognize all of our revenue, except an inconsequential amount, at a point in time, either on shipment or delivery of the product, depending on customer terms and conditions. We account for shipping and handling costs as fulfillment costs before the customer obtains control of the goods. We classify shipping and handling costs as fulfillment costs before the customer obtains control of the goods. We continue to account for collection of all taxes on a net basis.</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the product is shipped because such commissions are owed after shipment.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We state our inventories at the lower of cost or net realizable value. We base our assessment of the ultimate realization of inventories on our projections of future demand and market conditions. Sudden declines in demand, rapid product improvements, or technological changes, or any combination of these factors can cause us to have excess or obsolete inventories. On an ongoing basis, we review for estimated excess, obsolete, or unmarketable inventories and write down our inventories to their net realizable value based on our forecasts of future demand and market conditions. If actual market conditions are less favorable than our forecasts, additional inventory write-downs may be required. The following factors influence our estimates: changes to or cancellations of customer orders, unexpected or sudden decline in demand, rapid product improvements, technological advances, and termination or changes by our OEM customers of any product offerings incorporating our product solutions.</w:t>
      </w:r>
    </w:p>
    <w:p>
      <w:pPr>
        <w:spacing w:after="0" w:line="17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Periodically, we purchase inventory from our contract manufacturers when a customer delays its delivery schedule or cancels its order. In those circumstances, we record a write-down, if necessary, to reduce the carrying value of the inventory purchased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We have applied significant estimates and judgments in order to determine the fair value of the identified assets acquired, liabilities assumed and goodwill recognized in connection with our business combinations to ensure the value of the assets and liabilities acquired are recognized at fair value as of the acquisition date. In measuring the fair value, we utilize valuation techniques consistent with the market approach, income approach, or cost approach.</w:t>
      </w:r>
    </w:p>
    <w:p>
      <w:pPr>
        <w:spacing w:after="0" w:line="149"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The valuation of the identifiable assets and liabilities includes assumptions made in performing the valuation, such as projected revenue, weighted average cost of capital, discount rates, estimated useful lives, and other relevant assessments. These assessments can be significantly affected by our estimates, judgments, and assumptions. If actual results are not consistent with our estimates, judgments, or assumptions, or if additional or new information arises in the future that affects our fair value estimates, then adjustments to our initial fair value estimates may have a material impact to our purchase accounting or our results of operations. If actual results are not consistent with our estimates, judgments, or assumptions, or if additional or new information arises in the future, beyond our one year measurement period, that affects our fair value estimates, then adjustments to our initial fair value estimates may have a material impact to our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following sets forth certain of our consolidated statements of income data for fiscal 2021 and 2020 along with comparative information regarding the absolute and percentage changes in these amounts (in millions,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IoT product applications</w:t>
            </w:r>
          </w:p>
        </w:tc>
        <w:tc>
          <w:tcPr>
            <w:tcW w:w="26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580.9</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317.6</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263.3</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82"/>
        </w:trPr>
        <w:tc>
          <w:tcPr>
            <w:tcW w:w="5780" w:type="dxa"/>
            <w:vAlign w:val="bottom"/>
            <w:vMerge w:val="restart"/>
          </w:tcPr>
          <w:p>
            <w:pPr>
              <w:spacing w:after="0"/>
              <w:rPr>
                <w:sz w:val="20"/>
                <w:szCs w:val="20"/>
                <w:color w:val="auto"/>
              </w:rPr>
            </w:pPr>
            <w:r>
              <w:rPr>
                <w:rFonts w:ascii="Arial" w:cs="Arial" w:eastAsia="Arial" w:hAnsi="Arial"/>
                <w:sz w:val="14"/>
                <w:szCs w:val="14"/>
                <w:color w:val="auto"/>
              </w:rPr>
              <w:t>PC product applications</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354.7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317.4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5"/>
                <w:szCs w:val="15"/>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47"/>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Mobile product applications</w:t>
            </w: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404.0</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698.9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(294.9)</w:t>
            </w:r>
          </w:p>
        </w:tc>
        <w:tc>
          <w:tcPr>
            <w:tcW w:w="14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71"/>
        </w:trPr>
        <w:tc>
          <w:tcPr>
            <w:tcW w:w="5780" w:type="dxa"/>
            <w:vAlign w:val="bottom"/>
            <w:vMerge w:val="restart"/>
          </w:tcPr>
          <w:p>
            <w:pPr>
              <w:ind w:left="260"/>
              <w:spacing w:after="0"/>
              <w:rPr>
                <w:sz w:val="20"/>
                <w:szCs w:val="20"/>
                <w:color w:val="auto"/>
              </w:rPr>
            </w:pPr>
            <w:r>
              <w:rPr>
                <w:rFonts w:ascii="Arial" w:cs="Arial" w:eastAsia="Arial" w:hAnsi="Arial"/>
                <w:sz w:val="14"/>
                <w:szCs w:val="14"/>
                <w:color w:val="auto"/>
              </w:rPr>
              <w:t>Net revenue</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1,339.6</w:t>
            </w: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1,333.9</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4"/>
                <w:szCs w:val="14"/>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53"/>
        </w:trPr>
        <w:tc>
          <w:tcPr>
            <w:tcW w:w="5780" w:type="dxa"/>
            <w:vAlign w:val="bottom"/>
            <w:tcBorders>
              <w:bottom w:val="single" w:sz="8" w:color="CFF0FC"/>
            </w:tcBorders>
            <w:vMerge w:val="continue"/>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CFF0FC"/>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CFF0FC"/>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40" w:type="dxa"/>
            <w:vAlign w:val="bottom"/>
            <w:tcBorders>
              <w:bottom w:val="single" w:sz="8" w:color="CFF0FC"/>
            </w:tcBorders>
          </w:tcPr>
          <w:p>
            <w:pPr>
              <w:spacing w:after="0"/>
              <w:rPr>
                <w:sz w:val="4"/>
                <w:szCs w:val="4"/>
                <w:color w:val="auto"/>
              </w:rPr>
            </w:pPr>
          </w:p>
        </w:tc>
        <w:tc>
          <w:tcPr>
            <w:tcW w:w="1140" w:type="dxa"/>
            <w:vAlign w:val="bottom"/>
            <w:tcBorders>
              <w:bottom w:val="single" w:sz="8" w:color="CFF0FC"/>
            </w:tcBorders>
          </w:tcPr>
          <w:p>
            <w:pPr>
              <w:spacing w:after="0"/>
              <w:rPr>
                <w:sz w:val="4"/>
                <w:szCs w:val="4"/>
                <w:color w:val="auto"/>
              </w:rPr>
            </w:pPr>
          </w:p>
        </w:tc>
        <w:tc>
          <w:tcPr>
            <w:tcW w:w="180" w:type="dxa"/>
            <w:vAlign w:val="bottom"/>
            <w:tcBorders>
              <w:bottom w:val="single" w:sz="8" w:color="CFF0FC"/>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Gross margin</w:t>
            </w: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611.2</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543.1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780" w:type="dxa"/>
            <w:vAlign w:val="bottom"/>
            <w:vMerge w:val="restart"/>
          </w:tcPr>
          <w:p>
            <w:pPr>
              <w:ind w:left="26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313.4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302.5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47"/>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144.9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127.0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4"/>
                <w:szCs w:val="14"/>
                <w:color w:val="auto"/>
              </w:rPr>
              <w:t>Acquired intangibles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4"/>
                <w:szCs w:val="14"/>
                <w:color w:val="auto"/>
              </w:rPr>
              <w:t>179.5%</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Restructuring costs</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33.0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(25.6)</w:t>
            </w:r>
          </w:p>
        </w:tc>
        <w:tc>
          <w:tcPr>
            <w:tcW w:w="14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82"/>
        </w:trPr>
        <w:tc>
          <w:tcPr>
            <w:tcW w:w="5780" w:type="dxa"/>
            <w:vAlign w:val="bottom"/>
            <w:vMerge w:val="restart"/>
          </w:tcPr>
          <w:p>
            <w:pPr>
              <w:ind w:left="260"/>
              <w:spacing w:after="0"/>
              <w:rPr>
                <w:sz w:val="20"/>
                <w:szCs w:val="20"/>
                <w:color w:val="auto"/>
              </w:rPr>
            </w:pPr>
            <w:r>
              <w:rPr>
                <w:rFonts w:ascii="Arial" w:cs="Arial" w:eastAsia="Arial" w:hAnsi="Arial"/>
                <w:sz w:val="14"/>
                <w:szCs w:val="14"/>
                <w:color w:val="auto"/>
              </w:rPr>
              <w:t>Gain on sale of audio technology assets</w:t>
            </w:r>
          </w:p>
        </w:tc>
        <w:tc>
          <w:tcPr>
            <w:tcW w:w="260" w:type="dxa"/>
            <w:vAlign w:val="bottom"/>
          </w:tcPr>
          <w:p>
            <w:pPr>
              <w:spacing w:after="0"/>
              <w:rPr>
                <w:sz w:val="15"/>
                <w:szCs w:val="15"/>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(34.2)</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(34.2)</w:t>
            </w:r>
          </w:p>
        </w:tc>
        <w:tc>
          <w:tcPr>
            <w:tcW w:w="1460" w:type="dxa"/>
            <w:vAlign w:val="bottom"/>
            <w:gridSpan w:val="3"/>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47"/>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Operating income</w:t>
            </w: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147.0</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68.9</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60" w:type="dxa"/>
            <w:vAlign w:val="bottom"/>
            <w:tcBorders>
              <w:top w:val="single" w:sz="8" w:color="CFF0FC"/>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182"/>
        </w:trPr>
        <w:tc>
          <w:tcPr>
            <w:tcW w:w="5780" w:type="dxa"/>
            <w:vAlign w:val="bottom"/>
            <w:vMerge w:val="restart"/>
          </w:tcPr>
          <w:p>
            <w:pPr>
              <w:spacing w:after="0"/>
              <w:rPr>
                <w:sz w:val="20"/>
                <w:szCs w:val="20"/>
                <w:color w:val="auto"/>
              </w:rPr>
            </w:pPr>
            <w:r>
              <w:rPr>
                <w:rFonts w:ascii="Arial" w:cs="Arial" w:eastAsia="Arial" w:hAnsi="Arial"/>
                <w:sz w:val="14"/>
                <w:szCs w:val="14"/>
                <w:color w:val="auto"/>
              </w:rPr>
              <w:t>Interest and other income, net</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(5.0)</w:t>
            </w:r>
          </w:p>
        </w:tc>
        <w:tc>
          <w:tcPr>
            <w:tcW w:w="1460" w:type="dxa"/>
            <w:vAlign w:val="bottom"/>
            <w:gridSpan w:val="3"/>
          </w:tcPr>
          <w:p>
            <w:pPr>
              <w:jc w:val="right"/>
              <w:ind w:right="20"/>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47"/>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(29.5)</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(22.5)</w:t>
            </w: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(7.0)</w:t>
            </w:r>
          </w:p>
        </w:tc>
        <w:tc>
          <w:tcPr>
            <w:tcW w:w="146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82"/>
        </w:trPr>
        <w:tc>
          <w:tcPr>
            <w:tcW w:w="5780" w:type="dxa"/>
            <w:vAlign w:val="bottom"/>
            <w:vMerge w:val="restart"/>
          </w:tcPr>
          <w:p>
            <w:pPr>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5"/>
                <w:szCs w:val="15"/>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15"/>
                <w:szCs w:val="15"/>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(0.3)</w:t>
            </w:r>
          </w:p>
        </w:tc>
        <w:tc>
          <w:tcPr>
            <w:tcW w:w="1460" w:type="dxa"/>
            <w:vAlign w:val="bottom"/>
            <w:gridSpan w:val="3"/>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47"/>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Gain on sale of assets</w:t>
            </w:r>
          </w:p>
        </w:tc>
        <w:tc>
          <w:tcPr>
            <w:tcW w:w="2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105.1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(105.1)</w:t>
            </w:r>
          </w:p>
        </w:tc>
        <w:tc>
          <w:tcPr>
            <w:tcW w:w="14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(24.7%)</w:t>
            </w:r>
          </w:p>
        </w:tc>
        <w:tc>
          <w:tcPr>
            <w:tcW w:w="0" w:type="dxa"/>
            <w:vAlign w:val="bottom"/>
          </w:tcPr>
          <w:p>
            <w:pPr>
              <w:spacing w:after="0" w:line="20" w:lineRule="exact"/>
              <w:rPr>
                <w:sz w:val="1"/>
                <w:szCs w:val="1"/>
                <w:color w:val="auto"/>
              </w:rPr>
            </w:pPr>
          </w:p>
        </w:tc>
      </w:tr>
      <w:tr>
        <w:trPr>
          <w:trHeight w:val="176"/>
        </w:trPr>
        <w:tc>
          <w:tcPr>
            <w:tcW w:w="5780" w:type="dxa"/>
            <w:vAlign w:val="bottom"/>
            <w:vMerge w:val="restart"/>
          </w:tcPr>
          <w:p>
            <w:pPr>
              <w:ind w:left="260"/>
              <w:spacing w:after="0"/>
              <w:rPr>
                <w:sz w:val="20"/>
                <w:szCs w:val="20"/>
                <w:color w:val="auto"/>
              </w:rPr>
            </w:pPr>
            <w:r>
              <w:rPr>
                <w:rFonts w:ascii="Arial" w:cs="Arial" w:eastAsia="Arial" w:hAnsi="Arial"/>
                <w:sz w:val="14"/>
                <w:szCs w:val="14"/>
                <w:color w:val="auto"/>
              </w:rPr>
              <w:t>Income before provision for income taxes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(39.3)</w:t>
            </w:r>
          </w:p>
        </w:tc>
        <w:tc>
          <w:tcPr>
            <w:tcW w:w="14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38.6</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2"/>
        </w:trPr>
        <w:tc>
          <w:tcPr>
            <w:tcW w:w="5780" w:type="dxa"/>
            <w:vAlign w:val="bottom"/>
            <w:vMerge w:val="restart"/>
          </w:tcPr>
          <w:p>
            <w:pPr>
              <w:spacing w:after="0"/>
              <w:rPr>
                <w:sz w:val="20"/>
                <w:szCs w:val="20"/>
                <w:color w:val="auto"/>
              </w:rPr>
            </w:pPr>
            <w:r>
              <w:rPr>
                <w:rFonts w:ascii="Arial" w:cs="Arial" w:eastAsia="Arial" w:hAnsi="Arial"/>
                <w:sz w:val="14"/>
                <w:szCs w:val="14"/>
                <w:color w:val="auto"/>
              </w:rPr>
              <w:t>Equity investment loss</w:t>
            </w:r>
          </w:p>
        </w:tc>
        <w:tc>
          <w:tcPr>
            <w:tcW w:w="26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(9.1)</w:t>
            </w:r>
          </w:p>
        </w:tc>
        <w:tc>
          <w:tcPr>
            <w:tcW w:w="2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5"/>
                <w:szCs w:val="15"/>
                <w:color w:val="auto"/>
              </w:rPr>
            </w:pP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(7.1)</w:t>
            </w:r>
          </w:p>
        </w:tc>
        <w:tc>
          <w:tcPr>
            <w:tcW w:w="14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355.0%</w:t>
            </w:r>
          </w:p>
        </w:tc>
        <w:tc>
          <w:tcPr>
            <w:tcW w:w="0" w:type="dxa"/>
            <w:vAlign w:val="bottom"/>
          </w:tcPr>
          <w:p>
            <w:pPr>
              <w:spacing w:after="0"/>
              <w:rPr>
                <w:sz w:val="1"/>
                <w:szCs w:val="1"/>
                <w:color w:val="auto"/>
              </w:rPr>
            </w:pPr>
          </w:p>
        </w:tc>
      </w:tr>
      <w:tr>
        <w:trPr>
          <w:trHeight w:val="47"/>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line="20" w:lineRule="exact"/>
              <w:rPr>
                <w:sz w:val="1"/>
                <w:szCs w:val="1"/>
                <w:color w:val="auto"/>
              </w:rPr>
            </w:pPr>
          </w:p>
        </w:tc>
      </w:tr>
      <w:tr>
        <w:trPr>
          <w:trHeight w:val="170"/>
        </w:trPr>
        <w:tc>
          <w:tcPr>
            <w:tcW w:w="578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26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79.6</w:t>
            </w:r>
          </w:p>
        </w:tc>
        <w:tc>
          <w:tcPr>
            <w:tcW w:w="240" w:type="dxa"/>
            <w:vAlign w:val="bottom"/>
            <w:shd w:val="clear" w:color="auto" w:fill="CFF0FC"/>
          </w:tcPr>
          <w:p>
            <w:pPr>
              <w:spacing w:after="0"/>
              <w:rPr>
                <w:sz w:val="14"/>
                <w:szCs w:val="14"/>
                <w:color w:val="auto"/>
              </w:rPr>
            </w:pPr>
          </w:p>
        </w:tc>
        <w:tc>
          <w:tcPr>
            <w:tcW w:w="2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118.8</w:t>
            </w:r>
          </w:p>
        </w:tc>
        <w:tc>
          <w:tcPr>
            <w:tcW w:w="24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(39.2)</w:t>
            </w:r>
          </w:p>
        </w:tc>
        <w:tc>
          <w:tcPr>
            <w:tcW w:w="140" w:type="dxa"/>
            <w:vAlign w:val="bottom"/>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780" w:type="dxa"/>
            <w:vAlign w:val="bottom"/>
            <w:vMerge w:val="continue"/>
            <w:shd w:val="clear" w:color="auto" w:fill="CFF0FC"/>
          </w:tcPr>
          <w:p>
            <w:pPr>
              <w:spacing w:after="0"/>
              <w:rPr>
                <w:sz w:val="4"/>
                <w:szCs w:val="4"/>
                <w:color w:val="auto"/>
              </w:rPr>
            </w:pPr>
          </w:p>
        </w:tc>
        <w:tc>
          <w:tcPr>
            <w:tcW w:w="260" w:type="dxa"/>
            <w:vAlign w:val="bottom"/>
            <w:vMerge w:val="continue"/>
            <w:shd w:val="clear" w:color="auto" w:fill="CFF0FC"/>
          </w:tcPr>
          <w:p>
            <w:pPr>
              <w:spacing w:after="0"/>
              <w:rPr>
                <w:sz w:val="4"/>
                <w:szCs w:val="4"/>
                <w:color w:val="auto"/>
              </w:rPr>
            </w:pPr>
          </w:p>
        </w:tc>
        <w:tc>
          <w:tcPr>
            <w:tcW w:w="88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240" w:type="dxa"/>
            <w:vAlign w:val="bottom"/>
            <w:vMerge w:val="continue"/>
            <w:shd w:val="clear" w:color="auto" w:fill="CFF0FC"/>
          </w:tcPr>
          <w:p>
            <w:pPr>
              <w:spacing w:after="0"/>
              <w:rPr>
                <w:sz w:val="4"/>
                <w:szCs w:val="4"/>
                <w:color w:val="auto"/>
              </w:rPr>
            </w:pPr>
          </w:p>
        </w:tc>
        <w:tc>
          <w:tcPr>
            <w:tcW w:w="90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180" w:type="dxa"/>
            <w:vAlign w:val="bottom"/>
            <w:vMerge w:val="continue"/>
            <w:shd w:val="clear" w:color="auto" w:fill="CFF0FC"/>
          </w:tcPr>
          <w:p>
            <w:pPr>
              <w:spacing w:after="0"/>
              <w:rPr>
                <w:sz w:val="4"/>
                <w:szCs w:val="4"/>
                <w:color w:val="auto"/>
              </w:rPr>
            </w:pPr>
          </w:p>
        </w:tc>
        <w:tc>
          <w:tcPr>
            <w:tcW w:w="1060" w:type="dxa"/>
            <w:vAlign w:val="bottom"/>
            <w:gridSpan w:val="2"/>
            <w:vMerge w:val="continue"/>
            <w:shd w:val="clear" w:color="auto" w:fill="CFF0FC"/>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shd w:val="clear" w:color="auto" w:fill="CFF0FC"/>
          </w:tcPr>
          <w:p>
            <w:pPr>
              <w:spacing w:after="0"/>
              <w:rPr>
                <w:sz w:val="4"/>
                <w:szCs w:val="4"/>
                <w:color w:val="auto"/>
              </w:rPr>
            </w:pPr>
          </w:p>
        </w:tc>
        <w:tc>
          <w:tcPr>
            <w:tcW w:w="18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sets forth certain of our consolidated statements of operations data as a percentage of net revenues for fiscal 2021 and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Point</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43.3%</w:t>
            </w:r>
          </w:p>
        </w:tc>
        <w:tc>
          <w:tcPr>
            <w:tcW w:w="8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23.8%</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3"/>
        </w:trPr>
        <w:tc>
          <w:tcPr>
            <w:tcW w:w="7300" w:type="dxa"/>
            <w:vAlign w:val="bottom"/>
            <w:gridSpan w:val="2"/>
          </w:tcPr>
          <w:p>
            <w:pPr>
              <w:spacing w:after="0"/>
              <w:rPr>
                <w:sz w:val="20"/>
                <w:szCs w:val="20"/>
                <w:color w:val="auto"/>
              </w:rPr>
            </w:pPr>
            <w:r>
              <w:rPr>
                <w:rFonts w:ascii="Arial" w:cs="Arial" w:eastAsia="Arial" w:hAnsi="Arial"/>
                <w:sz w:val="16"/>
                <w:szCs w:val="16"/>
                <w:color w:val="auto"/>
              </w:rPr>
              <w:t>PC product applications</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26.5%</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23.8%</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30.2%</w:t>
            </w:r>
          </w:p>
        </w:tc>
        <w:tc>
          <w:tcPr>
            <w:tcW w:w="8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52.4%</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tcPr>
          <w:p>
            <w:pPr>
              <w:ind w:left="260"/>
              <w:spacing w:after="0"/>
              <w:rPr>
                <w:sz w:val="20"/>
                <w:szCs w:val="20"/>
                <w:color w:val="auto"/>
              </w:rPr>
            </w:pPr>
            <w:r>
              <w:rPr>
                <w:rFonts w:ascii="Arial" w:cs="Arial" w:eastAsia="Arial" w:hAnsi="Arial"/>
                <w:sz w:val="16"/>
                <w:szCs w:val="16"/>
                <w:color w:val="auto"/>
              </w:rPr>
              <w:t>Net revenue</w:t>
            </w: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5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4.9%</w:t>
            </w:r>
          </w:p>
        </w:tc>
        <w:tc>
          <w:tcPr>
            <w:tcW w:w="0" w:type="dxa"/>
            <w:vAlign w:val="bottom"/>
          </w:tcPr>
          <w:p>
            <w:pPr>
              <w:spacing w:after="0" w:line="20" w:lineRule="exact"/>
              <w:rPr>
                <w:sz w:val="1"/>
                <w:szCs w:val="1"/>
                <w:color w:val="auto"/>
              </w:rPr>
            </w:pPr>
          </w:p>
        </w:tc>
      </w:tr>
      <w:tr>
        <w:trPr>
          <w:trHeight w:val="210"/>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45.6%</w:t>
            </w:r>
          </w:p>
        </w:tc>
        <w:tc>
          <w:tcPr>
            <w:tcW w:w="8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40.7%</w:t>
            </w:r>
          </w:p>
        </w:tc>
        <w:tc>
          <w:tcPr>
            <w:tcW w:w="15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00" w:type="dxa"/>
            <w:vAlign w:val="bottom"/>
            <w:gridSpan w:val="2"/>
          </w:tcPr>
          <w:p>
            <w:pPr>
              <w:ind w:left="260"/>
              <w:spacing w:after="0"/>
              <w:rPr>
                <w:sz w:val="20"/>
                <w:szCs w:val="20"/>
                <w:color w:val="auto"/>
              </w:rPr>
            </w:pPr>
            <w:r>
              <w:rPr>
                <w:rFonts w:ascii="Arial" w:cs="Arial" w:eastAsia="Arial" w:hAnsi="Arial"/>
                <w:sz w:val="16"/>
                <w:szCs w:val="16"/>
                <w:color w:val="auto"/>
              </w:rPr>
              <w:t>Research and development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23.4%</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22.7%</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10.8%</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9.5%</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7300" w:type="dxa"/>
            <w:vAlign w:val="bottom"/>
            <w:gridSpan w:val="2"/>
          </w:tcPr>
          <w:p>
            <w:pPr>
              <w:ind w:left="260"/>
              <w:spacing w:after="0"/>
              <w:rPr>
                <w:sz w:val="20"/>
                <w:szCs w:val="20"/>
                <w:color w:val="auto"/>
              </w:rPr>
            </w:pPr>
            <w:r>
              <w:rPr>
                <w:rFonts w:ascii="Arial" w:cs="Arial" w:eastAsia="Arial" w:hAnsi="Arial"/>
                <w:sz w:val="16"/>
                <w:szCs w:val="16"/>
                <w:color w:val="auto"/>
              </w:rPr>
              <w:t>Acquired intangibles amortization</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2.4%</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0.9%</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Restructuring costs</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0.6%</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6440" w:type="dxa"/>
            <w:vAlign w:val="bottom"/>
          </w:tcPr>
          <w:p>
            <w:pPr>
              <w:ind w:left="260"/>
              <w:spacing w:after="0"/>
              <w:rPr>
                <w:sz w:val="20"/>
                <w:szCs w:val="20"/>
                <w:color w:val="auto"/>
              </w:rPr>
            </w:pPr>
            <w:r>
              <w:rPr>
                <w:rFonts w:ascii="Arial" w:cs="Arial" w:eastAsia="Arial" w:hAnsi="Arial"/>
                <w:sz w:val="16"/>
                <w:szCs w:val="16"/>
                <w:color w:val="auto"/>
              </w:rPr>
              <w:t>Gain on sale of audio technology assets</w:t>
            </w:r>
          </w:p>
        </w:tc>
        <w:tc>
          <w:tcPr>
            <w:tcW w:w="8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(2.6%)</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0.0%</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5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line="20" w:lineRule="exact"/>
              <w:rPr>
                <w:sz w:val="1"/>
                <w:szCs w:val="1"/>
                <w:color w:val="auto"/>
              </w:rPr>
            </w:pPr>
          </w:p>
        </w:tc>
      </w:tr>
      <w:tr>
        <w:trPr>
          <w:trHeight w:val="213"/>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income</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11.0%</w:t>
            </w:r>
          </w:p>
        </w:tc>
        <w:tc>
          <w:tcPr>
            <w:tcW w:w="8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5.2%</w:t>
            </w:r>
          </w:p>
        </w:tc>
        <w:tc>
          <w:tcPr>
            <w:tcW w:w="15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00" w:type="dxa"/>
            <w:vAlign w:val="bottom"/>
            <w:gridSpan w:val="2"/>
          </w:tcPr>
          <w:p>
            <w:pPr>
              <w:spacing w:after="0"/>
              <w:rPr>
                <w:sz w:val="20"/>
                <w:szCs w:val="20"/>
                <w:color w:val="auto"/>
              </w:rPr>
            </w:pPr>
            <w:r>
              <w:rPr>
                <w:rFonts w:ascii="Arial" w:cs="Arial" w:eastAsia="Arial" w:hAnsi="Arial"/>
                <w:sz w:val="16"/>
                <w:szCs w:val="16"/>
                <w:color w:val="auto"/>
              </w:rPr>
              <w:t>Interest and other income, net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0.2%</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0.6%</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7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6"/>
                <w:szCs w:val="16"/>
                <w:color w:val="auto"/>
              </w:rPr>
              <w:t>Gain on sale of assets</w:t>
            </w: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0.0%</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7.9%</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5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line="20" w:lineRule="exact"/>
              <w:rPr>
                <w:sz w:val="1"/>
                <w:szCs w:val="1"/>
                <w:color w:val="auto"/>
              </w:rPr>
            </w:pPr>
          </w:p>
        </w:tc>
      </w:tr>
      <w:tr>
        <w:trPr>
          <w:trHeight w:val="213"/>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before provision for income taxes</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9.0%</w:t>
            </w:r>
          </w:p>
        </w:tc>
        <w:tc>
          <w:tcPr>
            <w:tcW w:w="8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11.9%</w:t>
            </w:r>
          </w:p>
        </w:tc>
        <w:tc>
          <w:tcPr>
            <w:tcW w:w="15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0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2.3%</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2.9%</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8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(0.7%)</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line="20" w:lineRule="exact"/>
              <w:rPr>
                <w:sz w:val="1"/>
                <w:szCs w:val="1"/>
                <w:color w:val="auto"/>
              </w:rPr>
            </w:pPr>
          </w:p>
        </w:tc>
      </w:tr>
      <w:tr>
        <w:trPr>
          <w:trHeight w:val="206"/>
        </w:trPr>
        <w:tc>
          <w:tcPr>
            <w:tcW w:w="644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86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5.9%</w:t>
            </w:r>
          </w:p>
        </w:tc>
        <w:tc>
          <w:tcPr>
            <w:tcW w:w="8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8.9%</w:t>
            </w: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Fiscal 2021 Compared with Fiscal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7"/>
          <w:szCs w:val="17"/>
          <w:color w:val="auto"/>
        </w:rPr>
        <w:t>Net revenue was $1,339.6 million for fiscal 2021 compared with $1,333.9 million for fiscal 2020, an increase of $5.7 million, or 0.4%. Of our fiscal 2021 net revenue, $580.9 million, or 43.3%, of net revenue was from the IoT product applications market, $354.7 million, or 26.5%, of net revenue was from the PC product applications market, and $404.0 million, or 30.2%, of net revenue was from the mobile product applications market. The overall increase in net revenue for fiscal 2021 was attributable to an increase of $263.3 million, or 82.9%, in net revenue from IoT product applications and an increase of $37.3 million, or 11.8%, in net revenue from PC product applications, partially offset by a decrease of $294.9 million, or 42.2%, in net revenue from mobile product applications. The increase in net revenue from IoT product applications was primarily driven by a 26% increase in the units sold as well as a 45.2% increase in average selling prices. The increase in net revenue from PC product applications was driven by a 9.3% increase in the units sold and a 2.3% increase in average selling prices. The decrease in mobile product applications was driven by a 35.4% decrease in the units sold due primarily to the divestment of our TDDI product line during the fourth quarter of fiscal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Gross margin as a percentage of net revenue was 45.6%, or $611.2 million, for fiscal 2021 compared with 40.7%, or $543.1 million, for fiscal 2020. The 490 basis point increase in gross margin was primarily due to a favorable product mix and product costs reductions, partially offset by a $37.6 million increase in acquired intangibles amortization that was charged to cost of revenue during the year primarily related to the acquisition of DisplayLink and the Broadcom Business Acquisition and $26.0 million of inventory fair value adjustments associated with the DisplayLink acquisition.</w:t>
      </w:r>
    </w:p>
    <w:p>
      <w:pPr>
        <w:spacing w:after="0" w:line="171"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increased $10.9 million, to $313.4 million, for fiscal 2021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with fiscal 2020. The increase in research and development expenses primarily reflected a $13.1 million increase in share-based compensation primarily due to an increase in our phantom stock liability resulting from the increase in our stock price; a $9.2 million increase due to the amortization of prepaid development services related to the Broadcom Business Acquisition; and a $1.5 million increase in non-employee services; partially offset by a $4.4 million decrease in software licenses and maintenance; a $3.8 million decrease in employee compensation and employment-related costs, resulting from a 9.9% decrease in research and development headcount from restructuring actions initiated in both fiscal 2020 and 2021 to reduce costs, which exceeded the increase in headcount due to recent acquisitions; a $2.4 million decrease in travel and entertainment related costs as a result of reduced headcount as well as travel restrictions related to the COVID-19 pandemic; and a $2.4 million in-process research and development charge in fiscal 2020 not repeated in fiscal 2021.</w:t>
      </w:r>
    </w:p>
    <w:p>
      <w:pPr>
        <w:spacing w:after="0" w:line="181"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$17.9 million, to $144.9 million,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2021 compared with fiscal 2020. The increase in selling, general, and administrative expenses primarily reflected a $18.3 million increase in share-based compensation primarily due to new executive grants and the increase in value of our phantom stock liability resulting from the increase in our stock price; a $5.0 million increase in employee compensation and employment-related costs, largely driven by the timing of executive team hiring in fiscal year 2020 and 2021, including a higher overall bonus accrual driven by higher profitability in fiscal 2021; and a $1.2 million increase in accounting and consulting fees associated with our recent acquisitions; partially offset by a $3.7 million decrease in bad debt expense; a $3.0 million decrease in legal fees; and a $1.7 million decrease in travel and entertainment related costs as a result of travel restrictions related to the COVID-19 pandemic.</w:t>
      </w:r>
    </w:p>
    <w:p>
      <w:pPr>
        <w:spacing w:after="0" w:line="166"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See Note 5 Acquired Intangibles to the consolidated financial statements contained elsewhere in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1" w:name="page42"/>
    <w:bookmarkEnd w:id="41"/>
    <w:p>
      <w:pPr>
        <w:jc w:val="both"/>
        <w:ind w:firstLine="546"/>
        <w:spacing w:after="0" w:line="259"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primarily reflect employee severance costs and facilities consolidation costs related to the restructuring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to reduce operating costs. These headcount-related costs included personnel in operations, research and development, and selling, general and administrative functions. Restructuring costs incurred in fiscal 2021 were $7.4 million and in fiscal 2020 were $33.0 million. See Note 13 Restructuring Activities to the consolidated financial statements contained elsewhere in this report.</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i w:val="1"/>
          <w:iCs w:val="1"/>
          <w:color w:val="auto"/>
        </w:rPr>
        <w:t xml:space="preserve">Gain on Sale of Audio Technology Assets. </w:t>
      </w:r>
      <w:r>
        <w:rPr>
          <w:rFonts w:ascii="Arial" w:cs="Arial" w:eastAsia="Arial" w:hAnsi="Arial"/>
          <w:sz w:val="18"/>
          <w:szCs w:val="18"/>
          <w:color w:val="auto"/>
        </w:rPr>
        <w:t>Gain on sale of audio technology assets includes the sale of certain intangible assets related to our audio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See Note 1 Organization and Summary of Significant Accounting Policies, under </w:t>
      </w:r>
      <w:r>
        <w:rPr>
          <w:rFonts w:ascii="Arial" w:cs="Arial" w:eastAsia="Arial" w:hAnsi="Arial"/>
          <w:sz w:val="18"/>
          <w:szCs w:val="18"/>
          <w:i w:val="1"/>
          <w:iCs w:val="1"/>
          <w:color w:val="auto"/>
        </w:rPr>
        <w:t>Divestiture,</w:t>
      </w:r>
      <w:r>
        <w:rPr>
          <w:rFonts w:ascii="Arial" w:cs="Arial" w:eastAsia="Arial" w:hAnsi="Arial"/>
          <w:sz w:val="18"/>
          <w:szCs w:val="18"/>
          <w:color w:val="auto"/>
        </w:rPr>
        <w:t xml:space="preserve"> to the consolidated financial statements contained elsewhere in this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117"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8"/>
          <w:szCs w:val="18"/>
          <w:color w:val="auto"/>
        </w:rPr>
        <w:t>Interest and other income, net was $2.9 million for fiscal 2021 compared with $7.9 million for fiscal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interest and other income, net was due to lower interest rates in fiscal 2021.</w:t>
      </w:r>
    </w:p>
    <w:p>
      <w:pPr>
        <w:spacing w:after="0" w:line="17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$29.5 million and $22.5 million, in fiscal 2021 and 2020, respectively, which represents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debt issuance costs and discount on the $525.0 million aggregate principal amount of the Convertible Notes issued in June 2017 as well as interest and amortization of debt issuance costs on the $400.0 million principal amount of the Senior Notes issued in March 2021. See Note 6 Debt to the consolidated financial statements contained elsewhere in this report.</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i w:val="1"/>
          <w:iCs w:val="1"/>
          <w:color w:val="auto"/>
        </w:rPr>
        <w:t xml:space="preserve">Gain on Sale of Assets. </w:t>
      </w:r>
      <w:r>
        <w:rPr>
          <w:rFonts w:ascii="Arial" w:cs="Arial" w:eastAsia="Arial" w:hAnsi="Arial"/>
          <w:sz w:val="18"/>
          <w:szCs w:val="18"/>
          <w:color w:val="auto"/>
        </w:rPr>
        <w:t>Gain on sale of assets in fiscal 2020 includes the sale of our TDDI product line for LCD mobile displays. See Note 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Organization and Summary of Significant Accounting Policies, under </w:t>
      </w:r>
      <w:r>
        <w:rPr>
          <w:rFonts w:ascii="Arial" w:cs="Arial" w:eastAsia="Arial" w:hAnsi="Arial"/>
          <w:sz w:val="18"/>
          <w:szCs w:val="18"/>
          <w:i w:val="1"/>
          <w:iCs w:val="1"/>
          <w:color w:val="auto"/>
        </w:rPr>
        <w:t>Divestiture,</w:t>
      </w:r>
      <w:r>
        <w:rPr>
          <w:rFonts w:ascii="Arial" w:cs="Arial" w:eastAsia="Arial" w:hAnsi="Arial"/>
          <w:sz w:val="18"/>
          <w:szCs w:val="18"/>
          <w:color w:val="auto"/>
        </w:rPr>
        <w:t xml:space="preserve"> to the consolidated financial statements contained elsewhere in this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As a result of the decrease in the U.S. tax rate from the comprehensive tax legislation enacted in December 2017 by the U.S. government, commonly known as the Tax Cuts and Jobs Act, our U.S. statutory tax rate is lower than tax rates in many foreign jurisdictions in which we operate. This resulted in an increase to our effective tax rate relating to foreign tax rate differential for our fiscal 2019. However, this was largely offset by the remeasurement and release of various uncertain tax positions. See Note 11 Income Taxes to the consolidated financial statements contained elsewhere in this report for the table reconciling the provision for income taxes from the federal statutory rate for fiscal 2021, 2020, and 2019.</w:t>
      </w:r>
    </w:p>
    <w:p>
      <w:pPr>
        <w:spacing w:after="0" w:line="176"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It is reasonably possible that the amount of liability for unrecognized tax benefits may change within the next 12 months; an estimate of the range of possible changes could result in a decrease of $3.4 million to an increase of $3.0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Compared with Fiscal 2019.</w:t>
      </w:r>
    </w:p>
    <w:p>
      <w:pPr>
        <w:spacing w:after="0" w:line="13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For discussion related to the results of operations and changes in financial condition for fiscal 2020 compared to fiscal 2019, please refer to “Part II, Item 7. Management’s Discussion and Analysis of Financial Conditions and Results of Operations” in our fiscal 2020 Form 10-K, which was filed with the SEC on August 21,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cash and cash equivalents were $836.3 million as of the end of fiscal 2021 compared with $763.4 million as of the end of fiscal 2020, an increase of $72.9 million. This increase reflected cash flows provided by operating activities of $319.2 million and $274.1 million of cash provided by financing activities, partially offset by $522.6 million of cash used in investing activities.</w:t>
      </w:r>
    </w:p>
    <w:p>
      <w:pPr>
        <w:spacing w:after="0" w:line="18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consider almost all earnings of our foreign subsidiaries as not indefinitely invested overseas and have made appropriate provisions for income or withholding taxes, that may result from a future repatriation of those earnings. As of June 27, 2021, $247.5 million of cash and cash equivalents was held by our foreign subsidiaries. If these funds are needed for our operations in the U.S., we will be able to repatriate these funds without an impact on our tax provision.</w:t>
      </w:r>
    </w:p>
    <w:p>
      <w:pPr>
        <w:spacing w:after="0" w:line="1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For fiscal 2021, the $319.2 million in net cash provided by operating activities was primarily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of $79.6 million plus adjustments for non-cash charges, including acquired intangibles amortization of $110.1 million, share-based compensation costs of $66.1 million, depreciation and amortization of $21.6 million, and a reduction of $34.2 million for gain on sale of audio technology assets, as well as other non-cash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8"/>
          <w:szCs w:val="18"/>
          <w:color w:val="auto"/>
        </w:rPr>
        <w:t>adjustments of $30.4 million, and a net change in operating assets and liabilities of $45.6 million. The net change in operating assets and liabilities related primarily to a $53.1 million decrease in inventories, a $32.2 million increase in accounts payable, and a $14.9 million increase in accrued compensation; partially offset by a $25.9 million increase in accounts receivable, a $17.2 million decrease in other accrued liabilities, and a $9.4 million increase in prepaid expenses and other current assets. Our days sales outstanding remained flat at 63 days in fiscal 2021 as compared to fiscal 2020. Our inventory turns increased to seven in fiscal 2021 from six in 2020.</w:t>
      </w:r>
    </w:p>
    <w:p>
      <w:pPr>
        <w:spacing w:after="0" w:line="188"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For fiscal 2020, the $221.8 million in net cash provided by operating activities was primarily attributable to net income of $118.8 million plus adjustments for non-cash charges, including acquired intangibles amortization of $51.4 million, share-based compensation costs of $49.3 million, depreciation and amortization of $26.7 million, and a reduction of $105.1 million for gain on sale of assets, as well as other non-cash adjustments of $28.9 million, and a net change in operating assets and liabilities of $51.8 million. The net change in operating assets and liabilities related primarily to a $43.0 million decrease in inventories, a $31.0 million decrease in accounts receivable, a $29.1 million increase in accrued compensation, and a $13.8 million increase in income taxes payable; partially offset by a $36.2 million decrease in accounts payable and a $29.9 million decrease in other accrued liabilities. Our days sales outstanding decreased from 70 days to 63 days from fiscal 2019 to fiscal 2020. Our inventory turns increased to six in fiscal 2020 from five in 2019.</w:t>
      </w:r>
    </w:p>
    <w:p>
      <w:pPr>
        <w:spacing w:after="0" w:line="192"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Net cash used in investing activities for fiscal 2021 was $522.6 million and net cash provided by investing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in 2020 was $119.9 million. Net cash used in investing activities for fiscal 2021 consisted primarily of $626.5 million used for the acquisition of businesses, net of cash and cash equivalents acquired, and $21.1 million used for the purchases of capital assets; partially offset by $95.8 million in proceeds from sales of investments and $34.2 million in proceeds from sale of audio technology assets. Net cash provided by investing activities for fiscal 2020 consisted primarily of $138.7 million of proceeds from the sale of assets, partially offset by $16.3 million used for the purchases of capital assets.</w:t>
      </w:r>
    </w:p>
    <w:p>
      <w:pPr>
        <w:spacing w:after="0" w:line="161"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Net cash provided by financing activities for fiscal 2021 was $274.1 million and for fiscal 2020 was $93.9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Our net cash provided by financing activities for fiscal 2021 was primarily attributable to $400.0 million in proceeds from issuance of debt and $27.8 million in proceeds from issuance of shares, partially offset by $100.0 million of payment on the line-of-credit borrowings, $28.2 million used for payroll taxes for restricted stock units, or RSUs, market stock units, or MSUs, and performance stock units, or PSUs, and $19.4 million used for payment for redemption of convertible notes. Our net cash provided by financing activities for fiscal 2020 was primarily attributable to $100.0 million proceeds from borrowing under the line-of-credit and $34.5 million of proceeds from issuance of shares, partially offset by $30.2 million used to repurchase shares of our common stock in the open market and $9.7 million used for payroll taxes for RSUs, MSUs and PSUs.</w:t>
      </w:r>
    </w:p>
    <w:p>
      <w:pPr>
        <w:spacing w:after="0" w:line="177"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For discussion related to the statement of cash flows for fiscal 2019, please refer to “Part II, Item 7. Management’s Discussion and Analysis of Financial Conditions and Results of Operations” in our fiscal 2019 Form 10-K, which was filed with the SEC on August 23, 2019.</w:t>
      </w:r>
    </w:p>
    <w:p>
      <w:pPr>
        <w:spacing w:after="0" w:line="170"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i w:val="1"/>
          <w:iCs w:val="1"/>
          <w:color w:val="auto"/>
        </w:rPr>
        <w:t xml:space="preserve">Common Stock Repurchase Program. </w:t>
      </w:r>
      <w:r>
        <w:rPr>
          <w:rFonts w:ascii="Arial" w:cs="Arial" w:eastAsia="Arial" w:hAnsi="Arial"/>
          <w:sz w:val="18"/>
          <w:szCs w:val="18"/>
          <w:color w:val="auto"/>
        </w:rPr>
        <w:t>As of June 26, 2021, our Board of Directors had authorized the purchase of up to an aggregate of $1.4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pursuant to our common stock repurchase program, which was subsequently increased to $1.8 billion in August 2021 and extended through July 2025. The program authorizes us to purchase our common stock in the open market or in privately negotiated transactions, depending upon market conditions and other factors. The number of shares purchased, and the timing of purchases is based on the level of our cash balances, general business and market conditions, and other factors, including alternative investment opportunities. Common stock purchased under this program is held as treasury stock. From April 2005 through the end of fiscal 2021, we purchased 31,749,195 shares of our common stock in the open market for an aggregate cost of $1.2 billion. As of June 26, 2021, and as of August 2021, we had $177.4 million, and $577.4 million, respectively, remaining under our common stock repurchase program.</w:t>
      </w:r>
    </w:p>
    <w:p>
      <w:pPr>
        <w:spacing w:after="0" w:line="192" w:lineRule="exact"/>
        <w:rPr>
          <w:sz w:val="20"/>
          <w:szCs w:val="20"/>
          <w:color w:val="auto"/>
        </w:rPr>
      </w:pPr>
    </w:p>
    <w:p>
      <w:pPr>
        <w:jc w:val="both"/>
        <w:ind w:right="20" w:firstLine="546"/>
        <w:spacing w:after="0" w:line="263" w:lineRule="auto"/>
        <w:rPr>
          <w:sz w:val="20"/>
          <w:szCs w:val="20"/>
          <w:color w:val="auto"/>
        </w:rPr>
      </w:pPr>
      <w:r>
        <w:rPr>
          <w:rFonts w:ascii="Arial" w:cs="Arial" w:eastAsia="Arial" w:hAnsi="Arial"/>
          <w:sz w:val="18"/>
          <w:szCs w:val="18"/>
          <w:i w:val="1"/>
          <w:iCs w:val="1"/>
          <w:color w:val="auto"/>
        </w:rPr>
        <w:t xml:space="preserve">Senior Debt. </w:t>
      </w:r>
      <w:r>
        <w:rPr>
          <w:rFonts w:ascii="Arial" w:cs="Arial" w:eastAsia="Arial" w:hAnsi="Arial"/>
          <w:sz w:val="18"/>
          <w:szCs w:val="18"/>
          <w:color w:val="auto"/>
        </w:rPr>
        <w:t>On March 11, 2021, we completed an offering of $400.0 million aggregate principal amount of 4.0% senior notes due 2029, 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in a private offering. The Senior Notes were issued pursuant to an Indenture, dated as of March 11, 2021, or the Senior Notes Indenture, by and among us, the subsidiary guarantors named therein and Wells Fargo Bank, National Association, as trustee.</w:t>
      </w:r>
    </w:p>
    <w:p>
      <w:pPr>
        <w:spacing w:after="0" w:line="76"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The Senior Notes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ind w:right="120" w:firstLine="546"/>
        <w:spacing w:after="0" w:line="342" w:lineRule="auto"/>
        <w:rPr>
          <w:sz w:val="20"/>
          <w:szCs w:val="20"/>
          <w:color w:val="auto"/>
        </w:rPr>
      </w:pPr>
      <w:r>
        <w:rPr>
          <w:rFonts w:ascii="Arial" w:cs="Arial" w:eastAsia="Arial" w:hAnsi="Arial"/>
          <w:sz w:val="16"/>
          <w:szCs w:val="16"/>
          <w:color w:val="auto"/>
        </w:rPr>
        <w:t>Prior to June 15, 2024, we may redeem the Senior Notes, in whole or in part, at a redemption price of 100% of the principal amount thereof, plus a make-whole premium set forth in the Senior Notes Indenture, plus accrued and unpaid interest, if any, up to, but excluding, the redemption date.</w:t>
      </w:r>
    </w:p>
    <w:p>
      <w:pPr>
        <w:spacing w:after="0" w:line="16" w:lineRule="exact"/>
        <w:rPr>
          <w:sz w:val="20"/>
          <w:szCs w:val="20"/>
          <w:color w:val="auto"/>
        </w:rPr>
      </w:pPr>
    </w:p>
    <w:p>
      <w:pPr>
        <w:ind w:right="620" w:firstLine="546"/>
        <w:spacing w:after="0" w:line="277" w:lineRule="auto"/>
        <w:rPr>
          <w:sz w:val="20"/>
          <w:szCs w:val="20"/>
          <w:color w:val="auto"/>
        </w:rPr>
      </w:pPr>
      <w:r>
        <w:rPr>
          <w:rFonts w:ascii="Arial" w:cs="Arial" w:eastAsia="Arial" w:hAnsi="Arial"/>
          <w:sz w:val="18"/>
          <w:szCs w:val="18"/>
          <w:color w:val="auto"/>
        </w:rPr>
        <w:t>We may redeem some or all of the Senior Notes on or after June 15, 2024 at the redemption prices specified below, plus accrued and unpaid interest, if any, up to, but excluding, the redemption date:</w:t>
      </w:r>
    </w:p>
    <w:p>
      <w:pPr>
        <w:spacing w:after="0" w:line="184"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14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Year</w:t>
            </w:r>
          </w:p>
        </w:tc>
        <w:tc>
          <w:tcPr>
            <w:tcW w:w="12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Price</w:t>
            </w:r>
          </w:p>
        </w:tc>
        <w:tc>
          <w:tcPr>
            <w:tcW w:w="180" w:type="dxa"/>
            <w:vAlign w:val="bottom"/>
            <w:tcBorders>
              <w:bottom w:val="single" w:sz="8" w:color="CFF0FC"/>
            </w:tcBorders>
          </w:tcPr>
          <w:p>
            <w:pPr>
              <w:spacing w:after="0"/>
              <w:rPr>
                <w:sz w:val="20"/>
                <w:szCs w:val="20"/>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29"/>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2026 and thereafter</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bl>
    <w:p>
      <w:pPr>
        <w:spacing w:after="0" w:line="94"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76"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The Senior Notes are our general unsecured obligations. The Senior Note guarantees are the senior unsecured obligations of each guarantor. Under certain circumstances, the guarantors may be released from their Senior Note guarantees without consent of the holders of Senior Notes. Under the terms of the Senior Notes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70"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6"/>
          <w:szCs w:val="16"/>
          <w:color w:val="auto"/>
        </w:rPr>
        <w:t>The Senior Notes Indenture contains covenants that, subject to exceptions and qualifications, among other things, limit our ability and the ability of our Restricted Subsidiaries (as defined in the Senior Notes Indenture) to (i) incur additional indebtedness and guarantee indebtedness; (ii) pay dividends or make other distributions or repurchase or redeem our company’s or any parent’s capital stock; (iii) prepay, redeem or repurchase certain indebtedness;</w:t>
      </w:r>
    </w:p>
    <w:p>
      <w:pPr>
        <w:spacing w:after="0" w:line="2" w:lineRule="exact"/>
        <w:rPr>
          <w:sz w:val="20"/>
          <w:szCs w:val="20"/>
          <w:color w:val="auto"/>
        </w:rPr>
      </w:pPr>
    </w:p>
    <w:p>
      <w:pPr>
        <w:jc w:val="both"/>
        <w:ind w:firstLine="8"/>
        <w:spacing w:after="0" w:line="255"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82"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The Senior Notes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Senior Notes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Senior Notes.</w:t>
      </w:r>
    </w:p>
    <w:p>
      <w:pPr>
        <w:spacing w:after="0" w:line="176" w:lineRule="exact"/>
        <w:rPr>
          <w:sz w:val="20"/>
          <w:szCs w:val="20"/>
          <w:color w:val="auto"/>
        </w:rPr>
      </w:pPr>
    </w:p>
    <w:p>
      <w:pPr>
        <w:jc w:val="both"/>
        <w:ind w:firstLine="546"/>
        <w:spacing w:after="0" w:line="289" w:lineRule="auto"/>
        <w:rPr>
          <w:sz w:val="20"/>
          <w:szCs w:val="20"/>
          <w:color w:val="auto"/>
        </w:rPr>
      </w:pPr>
      <w:r>
        <w:rPr>
          <w:rFonts w:ascii="Arial" w:cs="Arial" w:eastAsia="Arial" w:hAnsi="Arial"/>
          <w:sz w:val="16"/>
          <w:szCs w:val="16"/>
          <w:i w:val="1"/>
          <w:iCs w:val="1"/>
          <w:color w:val="auto"/>
        </w:rPr>
        <w:t>Convertible Debt</w:t>
      </w:r>
      <w:r>
        <w:rPr>
          <w:rFonts w:ascii="Arial" w:cs="Arial" w:eastAsia="Arial" w:hAnsi="Arial"/>
          <w:sz w:val="16"/>
          <w:szCs w:val="16"/>
          <w:color w:val="auto"/>
        </w:rPr>
        <w:t>. On June 20, 2017, we entered into a purchase agreement, or the Purchase Agreement, with Wells Fargo Securities, LLC, as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 of the initial purchasers named therein, or collectively, the Initial Purchasers, pursuant to which we issued and sold, and the Initial Purchasers purchased, $500 million aggregate principal amount of our 0.50% convertible senior notes due in 2022, or the Convertible Notes, in a private placement transaction. Pursuant to the Purchase Agreement, we also granted the Initial Purchasers a 30-day option to purchase up to an additional $25 million aggregate principal amount of Convertible Notes, which was exercised in full on June 21, 2017. The net proceeds, after deducting the Initial Purchasers’ discounts, were $514.5 million, which included proceeds from the Initial Purchasers’ exercise of their option to purchase additional Convertible Notes. The Convertible Notes were issued pursuant to an Indenture, dated as of June 26, 2017, or the Convertible Notes Indenture, by and among us, and Wells Fargo, National Association, as trustee. We received the net proceeds on June 26, 2017, which we used to repurchase shares of our common stock, to retire our outstanding bank debt, and to provide additional cash resources to fund the Conexant and Marvell Business Acquisitions.</w:t>
      </w:r>
    </w:p>
    <w:p>
      <w:pPr>
        <w:spacing w:after="0" w:line="166"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The Convertible Notes bear interest at a rate of 0.50% per year. Interest accrued from June 26, 2017 and is payable semi-annually in arrears, on June 15 and December 15 of each year, beginning on December 15, 2017. The Convertible Notes are senior unsecured obligations and rank senior in right of payment to any of our indebtedness that is expressly subordinated in right of payment to the Convertible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ind w:left="560"/>
        <w:spacing w:after="0"/>
        <w:rPr>
          <w:sz w:val="20"/>
          <w:szCs w:val="20"/>
          <w:color w:val="auto"/>
        </w:rPr>
      </w:pPr>
      <w:r>
        <w:rPr>
          <w:rFonts w:ascii="Arial" w:cs="Arial" w:eastAsia="Arial" w:hAnsi="Arial"/>
          <w:sz w:val="18"/>
          <w:szCs w:val="18"/>
          <w:color w:val="auto"/>
        </w:rPr>
        <w:t>The Convertible Notes mature on June 15, 2022, or the Maturity Date, unless earlier repurchased, redeemed or converted.</w:t>
      </w:r>
    </w:p>
    <w:p>
      <w:pPr>
        <w:spacing w:after="0" w:line="22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Holders may convert all or any portion of their Convertible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Convertible Notes, in multiples of $1,000 principal amounts, at the option of the holder. Upon conversion, we will pay or deliver, at our election, shares of common stock, cash, or a combination of cash and shares of common stock.</w:t>
      </w:r>
    </w:p>
    <w:p>
      <w:pPr>
        <w:spacing w:after="0" w:line="184" w:lineRule="exact"/>
        <w:rPr>
          <w:sz w:val="20"/>
          <w:szCs w:val="20"/>
          <w:color w:val="auto"/>
        </w:rPr>
      </w:pPr>
    </w:p>
    <w:p>
      <w:pPr>
        <w:jc w:val="both"/>
        <w:ind w:right="20" w:firstLine="546"/>
        <w:spacing w:after="0" w:line="263" w:lineRule="auto"/>
        <w:rPr>
          <w:sz w:val="20"/>
          <w:szCs w:val="20"/>
          <w:color w:val="auto"/>
        </w:rPr>
      </w:pPr>
      <w:r>
        <w:rPr>
          <w:rFonts w:ascii="Arial" w:cs="Arial" w:eastAsia="Arial" w:hAnsi="Arial"/>
          <w:sz w:val="18"/>
          <w:szCs w:val="18"/>
          <w:color w:val="auto"/>
        </w:rPr>
        <w:t>The conversion rate for the Convertible Notes is initially 13.6947 shares of common stock per $1,000 principal amount of Convertible Notes (equivalent to an initial conversion price of approximately $73.02 per share of common stock). The conversion rate is subject to adjustment in certain circumstances.</w:t>
      </w:r>
    </w:p>
    <w:p>
      <w:pPr>
        <w:spacing w:after="0" w:line="184"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Upon the occurrence of a fundamental change (as defined in the Convertible Notes Indenture), holders of the Convertible Notes may require us to repurchase for cash all or a portion of their Convertible Notes at a fundamental change repurchase price equal to 100% of the principal amount of the Convertible Notes to be repurchased, plus accrued and unpaid interest up to, but excluding, the fundamental change repurchase date.</w:t>
      </w:r>
    </w:p>
    <w:p>
      <w:pPr>
        <w:spacing w:after="0" w:line="165"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Effective April 1, 2021, the Sales Price Condition of our Convertible Notes had been met at the end of the preceding calendar quarter and holders of our notes became entitled to redeem their notes in accordance with the terms of the Convertible Notes Indenture during the calendar quarter ending June 30, 2021. During the fourth quarter of fiscal 2021, a total of $19.4 million principal amount of our Convertible Notes were submitted for conversion, which was completed by June 26, 2021 through a combination of $19.4 million in cash and 118,092 shares of common stock from our treasury shares, resulting in a loss of approximately $0.3 million.</w:t>
      </w:r>
    </w:p>
    <w:p>
      <w:pPr>
        <w:spacing w:after="0" w:line="18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Commencing June 20, 2020, we may redeem for cash all or any portion of the Convertible Notes, at our option, 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Convertible Notes to be redeemed, plus accrued and unpaid interest up to, but excluding, the redemption date. Our policy is to settle the principal amount of our Convertible Notes with cash upon conversion or redemption.</w:t>
      </w:r>
    </w:p>
    <w:p>
      <w:pPr>
        <w:spacing w:after="0" w:line="192"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On June 1, 2021, we provided an irrevocable notice of redemption for all $525,000,000 aggregate principal amount of our outstanding Convertible Notes, or Redemption. The Convertible Notes are redeemable at a cash redemption price of 100.0% of the principal amount, plus accrued and unpaid interest, if any, to, but excluding, the redemption date of August 4, 2021, or the Redemption Price.</w:t>
      </w:r>
    </w:p>
    <w:p>
      <w:pPr>
        <w:spacing w:after="0" w:line="184"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Holders of the Convertible Notes had the right to convert the Convertible Notes called for redemption no later than August 3, 2021, or the Conversion Deadline. The conversion rate is equal to 13.7267 shares per $1,000 principal amount of the Convertible Notes, which is the initial conversion rate of 13.6947 shares per $1,000 principal amount of the Convertible Notes plus a number of additional shares equal to 0.0320 shares per $1,000 principal amount of the Convertible Notes. We elected to settle any conversions by Combination Settlement with a Specified Dollar Amount per $1,000 principal amount of Convertible Notes equal to $1,000, plus a number of shares of the our common stock, to be determined pursuant to the Convertible Notes Indenture, together with additional cash, if applicable, in lieu of delivering any fractional shares of common stock. As a result of this election, on August 4, 2021, we paid $505.6 million in cash for the principal amount of Convertible Notes outstanding and delivered approximately 3.5 million shares in common stock from our treasury stock for additional amounts, resulting in a loss of approximately $8.1 million.</w:t>
      </w:r>
    </w:p>
    <w:p>
      <w:pPr>
        <w:spacing w:after="0" w:line="286"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i w:val="1"/>
          <w:iCs w:val="1"/>
          <w:color w:val="auto"/>
        </w:rPr>
        <w:t xml:space="preserve">Bank Credit Facility. </w:t>
      </w:r>
      <w:r>
        <w:rPr>
          <w:rFonts w:ascii="Arial" w:cs="Arial" w:eastAsia="Arial" w:hAnsi="Arial"/>
          <w:sz w:val="16"/>
          <w:szCs w:val="16"/>
          <w:color w:val="auto"/>
        </w:rPr>
        <w:t>On March 11, 2021, we amended and restated our Amended and Restated Credit Agreement, with the lenders and Wells Fargo</w:t>
      </w:r>
      <w:r>
        <w:rPr>
          <w:rFonts w:ascii="Arial" w:cs="Arial" w:eastAsia="Arial" w:hAnsi="Arial"/>
          <w:sz w:val="16"/>
          <w:szCs w:val="16"/>
          <w:i w:val="1"/>
          <w:iCs w:val="1"/>
          <w:color w:val="auto"/>
        </w:rPr>
        <w:t xml:space="preserve"> </w:t>
      </w:r>
      <w:r>
        <w:rPr>
          <w:rFonts w:ascii="Arial" w:cs="Arial" w:eastAsia="Arial" w:hAnsi="Arial"/>
          <w:sz w:val="16"/>
          <w:szCs w:val="16"/>
          <w:color w:val="auto"/>
        </w:rPr>
        <w:t>Bank, National Association, as administrative agent, or the Credit Agreement,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(as defined in the Credit Agreement) ratio of not more than 4.75 to 1.00 with 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both"/>
        <w:spacing w:after="0" w:line="311" w:lineRule="auto"/>
        <w:rPr>
          <w:sz w:val="20"/>
          <w:szCs w:val="20"/>
          <w:color w:val="auto"/>
        </w:rPr>
      </w:pPr>
      <w:r>
        <w:rPr>
          <w:rFonts w:ascii="Arial" w:cs="Arial" w:eastAsia="Arial" w:hAnsi="Arial"/>
          <w:sz w:val="16"/>
          <w:szCs w:val="16"/>
          <w:color w:val="auto"/>
        </w:rPr>
        <w:t>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149"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In March 2021, we used a portion of the proceeds from the Senior Notes described above to repay the $100.0 million outstanding borrowings on this revolving credit facility. As of June 26, 2021, there was no balance outstanding under the revolving credit facility. The weighted average annualized interest rate on these borrowings for the fiscal year ended June 26, 2021, was 2.65%.</w:t>
      </w:r>
    </w:p>
    <w:p>
      <w:pPr>
        <w:spacing w:after="0" w:line="166"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14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188"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that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us and the administrative agent, which may include the Secured Overnight Financing Rate, or SOFR.</w:t>
      </w:r>
    </w:p>
    <w:p>
      <w:pPr>
        <w:spacing w:after="0" w:line="192"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that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$100.0 million and 50% of the amount of all accounts receivable of the company and specified subsidiaries and other specific items. The leverage ratio is the ratio of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June 26, 2021, we remain in compliance with the restrictive covenants.</w:t>
      </w:r>
    </w:p>
    <w:p>
      <w:pPr>
        <w:spacing w:after="0" w:line="181"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i w:val="1"/>
          <w:iCs w:val="1"/>
          <w:color w:val="auto"/>
        </w:rPr>
        <w:t xml:space="preserve">$100 Million Shelf Registration. </w:t>
      </w:r>
      <w:r>
        <w:rPr>
          <w:rFonts w:ascii="Arial" w:cs="Arial" w:eastAsia="Arial" w:hAnsi="Arial"/>
          <w:sz w:val="16"/>
          <w:szCs w:val="16"/>
          <w:color w:val="auto"/>
        </w:rPr>
        <w:t>We have registered an aggregate of $100.0 million of common stock and preferred stock for issuance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acquisitions, which shares generally will be freely tradeable after their issuance under Rule 145 of the Securities Act unless held by an affiliate of the acquired company, in which case such shares will be subject to the volume and manner of sale restrictions of Rule 144 of the Securities Act.</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i w:val="1"/>
          <w:iCs w:val="1"/>
          <w:color w:val="auto"/>
        </w:rPr>
        <w:t xml:space="preserve">Working Capital Needs. </w:t>
      </w:r>
      <w:r>
        <w:rPr>
          <w:rFonts w:ascii="Arial" w:cs="Arial" w:eastAsia="Arial" w:hAnsi="Arial"/>
          <w:sz w:val="18"/>
          <w:szCs w:val="18"/>
          <w:color w:val="auto"/>
        </w:rPr>
        <w:t>We believe our existing cash and cash equivalents, anticipated cash flows from operating activities, and available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revolving credit facility will be sufficient to meet our working capital and other cash requirements and our debt service obligations, for at least the next 12 months. Our future capital requirements will depend on many factors, including our revenue, the effectiveness of vaccines on COVID-19 variants, including the deployment of those vaccines to help reduce the length, duration and severity of the COVID-19 pandemic, the timing and extent of spending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jc w:val="both"/>
        <w:spacing w:after="0" w:line="272" w:lineRule="auto"/>
        <w:rPr>
          <w:sz w:val="20"/>
          <w:szCs w:val="20"/>
          <w:color w:val="auto"/>
        </w:rPr>
      </w:pPr>
      <w:r>
        <w:rPr>
          <w:rFonts w:ascii="Arial" w:cs="Arial" w:eastAsia="Arial" w:hAnsi="Arial"/>
          <w:sz w:val="17"/>
          <w:szCs w:val="17"/>
          <w:color w:val="auto"/>
        </w:rPr>
        <w:t>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17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Based on our ability to access our cash and cash equivalents, our expected operating cash flows, and our other sources of cash, we do not currently anticipate the need to remit undistributed earnings of our foreign subsidiaries to meet our working capital and other cash requirements. While we have accrued taxes on almost all of our undistributed earnings of our foreign subsidiaries, if we did remit such earnings, we may be required to pay certain state and foreign taxes to repatriate these funds, which would impact our operating cash flows.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94"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The following table sets forth a summary of our material contractual obligations and commercial commitments as of the end of fiscal 2021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2"/>
              </w:rPr>
              <w:t>Payments due by period</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8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94"/>
              </w:rPr>
              <w:t>Less than</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98"/>
              </w:rPr>
              <w:t>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5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17"/>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Leases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Purchase obligations and other commitments </w:t>
            </w:r>
            <w:r>
              <w:rPr>
                <w:rFonts w:ascii="Arial" w:cs="Arial" w:eastAsia="Arial" w:hAnsi="Arial"/>
                <w:sz w:val="15"/>
                <w:szCs w:val="15"/>
                <w:color w:val="auto"/>
              </w:rPr>
              <w:t>(2)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 xml:space="preserve">Transition tax payable </w:t>
            </w:r>
            <w:r>
              <w:rPr>
                <w:rFonts w:ascii="Arial" w:cs="Arial" w:eastAsia="Arial" w:hAnsi="Arial"/>
                <w:sz w:val="15"/>
                <w:szCs w:val="15"/>
                <w:color w:val="auto"/>
              </w:rPr>
              <w:t>(3)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626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0"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principal and interest payable through the maturity date of the underlying contractual obligation.</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Purchase obligations and other commitments include payments due for inventory purchase obligations with contract manufacturers, long-term software tool licenses, and other licenses.</w:t>
      </w:r>
    </w:p>
    <w:p>
      <w:pPr>
        <w:ind w:left="400" w:hanging="392"/>
        <w:spacing w:after="0" w:line="237" w:lineRule="auto"/>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tax amount for the transition tax liability associated with our deemed repatriation of accumulated foreign earnings as a result of the Tax Cuts and Jobs Act, enacted into law on December 22, 2017.</w:t>
      </w:r>
    </w:p>
    <w:p>
      <w:pPr>
        <w:spacing w:after="0" w:line="174" w:lineRule="exact"/>
        <w:rPr>
          <w:sz w:val="20"/>
          <w:szCs w:val="20"/>
          <w:color w:val="auto"/>
        </w:rPr>
      </w:pPr>
    </w:p>
    <w:p>
      <w:pPr>
        <w:jc w:val="both"/>
        <w:ind w:firstLine="546"/>
        <w:spacing w:after="0" w:line="307" w:lineRule="auto"/>
        <w:rPr>
          <w:sz w:val="20"/>
          <w:szCs w:val="20"/>
          <w:color w:val="auto"/>
        </w:rPr>
      </w:pPr>
      <w:r>
        <w:rPr>
          <w:rFonts w:ascii="Arial" w:cs="Arial" w:eastAsia="Arial" w:hAnsi="Arial"/>
          <w:sz w:val="16"/>
          <w:szCs w:val="16"/>
          <w:color w:val="auto"/>
        </w:rPr>
        <w:t>The amounts in the table above exclude unrecognized tax benefits related to uncertain tax positions of $22.6 million. As of June 26, 2021, we were unable to make a reasonably reliable estimate of when settlement with a taxing authority may occur in connection with our gross unrecognized tax benefit.</w:t>
      </w:r>
    </w:p>
    <w:p>
      <w:pPr>
        <w:spacing w:after="0" w:line="123" w:lineRule="exact"/>
        <w:rPr>
          <w:sz w:val="20"/>
          <w:szCs w:val="20"/>
          <w:color w:val="auto"/>
        </w:rPr>
      </w:pPr>
    </w:p>
    <w:p>
      <w:pPr>
        <w:jc w:val="both"/>
        <w:ind w:firstLine="546"/>
        <w:spacing w:after="0" w:line="274" w:lineRule="auto"/>
        <w:rPr>
          <w:sz w:val="20"/>
          <w:szCs w:val="20"/>
          <w:color w:val="auto"/>
        </w:rPr>
      </w:pPr>
      <w:r>
        <w:rPr>
          <w:rFonts w:ascii="Arial" w:cs="Arial" w:eastAsia="Arial" w:hAnsi="Arial"/>
          <w:sz w:val="17"/>
          <w:szCs w:val="17"/>
          <w:color w:val="auto"/>
        </w:rPr>
        <w:t>Subsequent to our fiscal year ended June 26, 2021, we executed an agreement for purchase and supply commitment with one of our contract manufacturers, under which we have a minimum commitment obligation estimated at approximately $111.0 million over a period of three years.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7"/>
          <w:szCs w:val="17"/>
          <w:color w:val="auto"/>
        </w:rPr>
        <w:t>We do not have any transactions, arrangements, or other relationships with unconsolidated entities that are reasonably likely to materially affect our financial condition, revenues or expenses, results of operations, liquidity, or capital resources. We have no special purpose or limited purpose entities that provide off-balance sheet financing, liquidity, or market or credit risk support; engage in leasing, hedging, or research and development services; or have other relationships that expose us to liability that is not reflected in our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216"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In August 2020, the Financial Accounting Standards Board, or FASB, issued accounting standard update, or ASU, No. 2020-06, Debt—Debt with Conversion and Other Options (Subtopic 470-20) and Derivatives and Hedging - Contracts in Entity’s Own Equity (Subtopic 815-40), which simplifies the accounting for convertible instruments. The guidance removes certain accounting models which separate the embedded conversion features from the host contract for convertible instruments, requiring bifurcation only if the convertible debt feature qualifies as a derivative under Accounting Standards Codification, or ASC, 815 or for convertible debt issued at a substantial premium. The ASU removes certain settlement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auto"/>
        </w:rPr>
        <w:t>conditions required for equity contracts to qualify for the derivative scope exception, permitting more contracts to qualify for it. In addition, the guidance eliminates the treasury stock method to calculate diluted earnings per share for convertible instruments and requires the use of the if-converted method. The ASU is effective for annual reporting periods beginning after December 15, 2021, including interim reporting periods within those annual periods, with early adoption permitted no earlier than the fiscal year beginning after December 15, 2020. We do not expect the adoption of this ASU to have a material impact on our consolidated financial statements.</w:t>
      </w:r>
    </w:p>
    <w:p>
      <w:pPr>
        <w:spacing w:after="0" w:line="18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or ASU 2019-12, an amendment of the FASB Accounting Standards Codification. ASU 2019-12 simplifies the accounting for income taxes by removing certain exceptions for intra-period tax allocations and deferred tax liabilities for equity method investments and adds guidance regarding whether a step-up in tax basis of goodwill relates to a business combination or a separate transaction. This ASU is effective for fiscal years beginning after December 15, 2020, with early adoption permitted. We will adopt this ASU at the beginning of our fiscal 2022, and do not expect it to have a material impact on our consolidated financial statements and related disclosures.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tabs>
          <w:tab w:leader="none" w:pos="12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certain market risks in the ordinary course of our business. These risks primarily include: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total net revenue for fiscal 2021, 2020, and 2019 was denominated in U.S. dollars. Costs denominated in foreign currencies were approximately 13%, 12%, and 11% of our total costs for fiscal 2021, 2020, and 2019, respectively.</w:t>
      </w:r>
    </w:p>
    <w:p>
      <w:pPr>
        <w:spacing w:after="0" w:line="170"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face the risk that our accounts payable and acquisition-related liabilities denominated in foreign currencies will increase if such foreign currencies strengthen quickly and significantly against the U.S. dollar. Approximately 2% and 3% of our accounts payable were denominated in foreign currencies at June 26, 2021 and June 27, 2020, respectively.</w:t>
      </w:r>
    </w:p>
    <w:p>
      <w:pPr>
        <w:spacing w:after="0" w:line="184"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To provide an assessment of the foreign currency exchange risk associated with our foreign currency exposures within revenue, cost, and operating expenses, we performed a sensitivity analysis to determine the impact that an adverse change in exchange rates would have on our financial statements. A hypothetical weighted-average change of 10% in currency exchange rates would have changed our operating income before taxes by approximately $14.9 million and our net income by approximately $17.2 million for fiscal 2021, assuming no offsetting hedge positions. However, this quantitative measure has inherent limitations. The sensitivity analysis disregards the possibility that U.S. dollar and other exchange rates can move in opposite directions and that gains from one currency may or may not be offset by losses from another currency.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on Cash, Cash Equivalents</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exposure to market risk for changes in interest rates relates primarily to our cash and cash equivalents. We do not use our investment portfolio for trading or other speculative purposes. There have been no significant changes in the maturity dates and average interest rates for our cash equivalents subsequent to fiscal 2021.</w:t>
      </w:r>
    </w:p>
    <w:p>
      <w:pPr>
        <w:spacing w:after="0" w:line="28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Reference is made to the financial statements, the report of our independent registered public accounting firm, and the notes thereto commencing at page F-1 of this report, which financial statements, report, and notes are incorporated herein by reference. Reference is also made to the quarterly results of operations included elsewhere in this report, which are incorporated herein by reference.</w:t>
      </w:r>
    </w:p>
    <w:p>
      <w:pPr>
        <w:spacing w:after="0" w:line="28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Due to the COVID-19 pandemic, a significant portion of our employees are working from home while under governmental restrictions. Established business continuity plans were initiated in order to mitigate the impact to our control environment, operating procedures, data, and internal controls. The design of our processes and controls allow for remote execution with accessibility to secure data.</w:t>
      </w:r>
    </w:p>
    <w:p>
      <w:pPr>
        <w:spacing w:after="0" w:line="76"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June 26, 2021,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and 15d-15(f) under the Exchange Act) for our company. Under the supervision and with the participation of our management, including our Chief Executive Officer and Chief Financial Officer, we conducted an evaluation of the effectiveness of our internal control over financial reporting based on the framework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2013 framework).</w:t>
      </w:r>
    </w:p>
    <w:p>
      <w:pPr>
        <w:spacing w:after="0" w:line="188"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Based on our evaluation under the COSO 2013 framework, our management concluded that our internal control over financial reporting was effective, at the reasonable assurance level, as of June 26, 2021. The effectiveness of our internal control over financial reporting as of June 26, 2021 has been audited by KPMG LLP, an independent registered public accounting firm, as stated in their report included herein on page F-2.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Except as noted above, there were no changes in our internal control over financial reporting that occurred during our most recent fiscal quarter that has materially affected, or is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28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There were no items requiring reporting on Form 8-K that were not reported on Form 8-K during the fourth quarter of the year covered by this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The information required by this Item relating to directors of our company and corporate governance is incorporated herein by reference to the definitive Proxy Statement to be filed pursuant to Regulation 14A of the Exchange Act for our 2021 Annual Meeting of Stockholders. The information required by this Item relating to our executive officers is included in Item 1. Business – Information about our Executive Officers.</w:t>
      </w:r>
    </w:p>
    <w:p>
      <w:pPr>
        <w:spacing w:after="0" w:line="165"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 xml:space="preserve">We have adopted a code of ethics that applies to our chief executive officer, chief financial officer, chief accounting officer, and other senior accounting personnel. The “Code of Ethics for the CEO and Senior Financial Officers” is located on our website at </w:t>
      </w:r>
      <w:r>
        <w:rPr>
          <w:rFonts w:ascii="Arial" w:cs="Arial" w:eastAsia="Arial" w:hAnsi="Arial"/>
          <w:sz w:val="18"/>
          <w:szCs w:val="18"/>
          <w:u w:val="single" w:color="auto"/>
          <w:color w:val="auto"/>
        </w:rPr>
        <w:t>www.synaptics.com</w:t>
      </w:r>
      <w:r>
        <w:rPr>
          <w:rFonts w:ascii="Arial" w:cs="Arial" w:eastAsia="Arial" w:hAnsi="Arial"/>
          <w:sz w:val="18"/>
          <w:szCs w:val="18"/>
          <w:color w:val="auto"/>
        </w:rPr>
        <w:t xml:space="preserve"> in the Investor Relations section under Corporate Governance.</w:t>
      </w:r>
    </w:p>
    <w:p>
      <w:pPr>
        <w:spacing w:after="0" w:line="184"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intend to satisfy the disclosure requirement under Item 5.05(c) of Form 8-K regarding any amendment to, or waiver from, a provision of this code of ethics by posting such information on our website, at the address and location specified above.</w:t>
      </w:r>
    </w:p>
    <w:p>
      <w:pPr>
        <w:spacing w:after="0" w:line="27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 “Executive Compensation”) to be filed pursuant to Regulation 14A of the Exchange Act for our 2021 Annual Meeting of Stockholders.</w:t>
      </w:r>
    </w:p>
    <w:p>
      <w:pPr>
        <w:spacing w:after="0" w:line="274" w:lineRule="exact"/>
        <w:rPr>
          <w:sz w:val="20"/>
          <w:szCs w:val="20"/>
          <w:color w:val="auto"/>
        </w:rPr>
      </w:pPr>
    </w:p>
    <w:p>
      <w:pPr>
        <w:jc w:val="both"/>
        <w:ind w:left="1240" w:hanging="1227"/>
        <w:spacing w:after="0" w:line="282" w:lineRule="auto"/>
        <w:tabs>
          <w:tab w:leader="none" w:pos="12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captions “Security Ownership of Principal Stockholders, Directors, and Officers” and “Executive Compensation—Stock-Based Compensation Plan Information”) to be filed pursuant to Regulation 14A of the Exchange Act for our 2021 Annual Meeting of Stockholders.</w:t>
      </w:r>
    </w:p>
    <w:p>
      <w:pPr>
        <w:spacing w:after="0" w:line="28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definitive Proxy Statement (particularly under the caption “Certain Relationships and Related Transactions”) to be filed pursuant to Regulation 14A of the Exchange Act for our 2021 Annual Meeting of Stockholders.</w:t>
      </w:r>
    </w:p>
    <w:p>
      <w:pPr>
        <w:spacing w:after="0" w:line="22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 “Ratification of Appointment of Independent Auditor”) to be filed pursuant to Regulation 14A of the Exchange Act for our 2021 Annual Meeting of Stockholders.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Financial Statement Schedules</w:t>
      </w:r>
    </w:p>
    <w:p>
      <w:pPr>
        <w:spacing w:after="0" w:line="12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Financial Statements are listed in the Index to Financial Statements on page F-1 of this report.</w:t>
      </w:r>
    </w:p>
    <w:p>
      <w:pPr>
        <w:spacing w:after="0" w:line="113"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w w:val="93"/>
              </w:rPr>
              <w:t>Incorporated by Reference</w:t>
            </w:r>
          </w:p>
        </w:tc>
        <w:tc>
          <w:tcPr>
            <w:tcW w:w="1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0" w:type="dxa"/>
            <w:vAlign w:val="bottom"/>
            <w:gridSpan w:val="17"/>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366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To</w:t>
            </w:r>
          </w:p>
        </w:tc>
        <w:tc>
          <w:tcPr>
            <w:tcW w:w="19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71"/>
        </w:trPr>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17"/>
            <w:vMerge w:val="continue"/>
          </w:tcPr>
          <w:p>
            <w:pPr>
              <w:spacing w:after="0"/>
              <w:rPr>
                <w:sz w:val="14"/>
                <w:szCs w:val="14"/>
                <w:color w:val="auto"/>
              </w:rPr>
            </w:pPr>
          </w:p>
        </w:tc>
        <w:tc>
          <w:tcPr>
            <w:tcW w:w="366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8"/>
                <w:szCs w:val="18"/>
                <w:color w:val="auto"/>
              </w:rPr>
              <w:t>2.1(a)</w:t>
            </w: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4660" w:type="dxa"/>
            <w:vAlign w:val="bottom"/>
            <w:tcBorders>
              <w:top w:val="single" w:sz="8" w:color="auto"/>
            </w:tcBorders>
            <w:gridSpan w:val="23"/>
          </w:tcPr>
          <w:p>
            <w:pPr>
              <w:spacing w:after="0" w:line="169"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Asset Purchase Agreement, dated December 18, 2019, by and</w:t>
              </w:r>
            </w:hyperlink>
          </w:p>
        </w:tc>
        <w:tc>
          <w:tcPr>
            <w:tcW w:w="3660" w:type="dxa"/>
            <w:vAlign w:val="bottom"/>
            <w:tcBorders>
              <w:top w:val="single" w:sz="8" w:color="auto"/>
            </w:tcBorders>
          </w:tcPr>
          <w:p>
            <w:pPr>
              <w:ind w:left="160"/>
              <w:spacing w:after="0" w:line="169" w:lineRule="exact"/>
              <w:rPr>
                <w:sz w:val="20"/>
                <w:szCs w:val="20"/>
                <w:color w:val="auto"/>
              </w:rPr>
            </w:pPr>
            <w:r>
              <w:rPr>
                <w:rFonts w:ascii="Arial" w:cs="Arial" w:eastAsia="Arial" w:hAnsi="Arial"/>
                <w:sz w:val="18"/>
                <w:szCs w:val="18"/>
                <w:color w:val="auto"/>
              </w:rPr>
              <w:t>Quarterly Report on Form 10-Q</w:t>
            </w:r>
          </w:p>
        </w:tc>
        <w:tc>
          <w:tcPr>
            <w:tcW w:w="19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February 6, 2020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23"/>
          </w:tcPr>
          <w:p>
            <w:pPr>
              <w:spacing w:after="0" w:line="196"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among Synaptics Incorporated and Creative Legend Investments</w:t>
              </w:r>
            </w:hyperlink>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Ltd.</w:t>
              </w:r>
            </w:hyperlink>
          </w:p>
        </w:tc>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gridSpan w:val="2"/>
          </w:tcPr>
          <w:p>
            <w:pPr>
              <w:ind w:left="100"/>
              <w:spacing w:after="0"/>
              <w:rPr>
                <w:sz w:val="20"/>
                <w:szCs w:val="20"/>
                <w:color w:val="auto"/>
              </w:rPr>
            </w:pPr>
            <w:r>
              <w:rPr>
                <w:rFonts w:ascii="Arial" w:cs="Arial" w:eastAsia="Arial" w:hAnsi="Arial"/>
                <w:sz w:val="18"/>
                <w:szCs w:val="18"/>
                <w:color w:val="auto"/>
              </w:rPr>
              <w:t>2.1(b)</w:t>
            </w:r>
            <w:r>
              <w:rPr>
                <w:rFonts w:ascii="Arial" w:cs="Arial" w:eastAsia="Arial" w:hAnsi="Arial"/>
                <w:sz w:val="15"/>
                <w:szCs w:val="15"/>
                <w:color w:val="auto"/>
              </w:rPr>
              <w:t>#</w:t>
            </w:r>
          </w:p>
        </w:tc>
        <w:tc>
          <w:tcPr>
            <w:tcW w:w="4660" w:type="dxa"/>
            <w:vAlign w:val="bottom"/>
            <w:gridSpan w:val="23"/>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First Amendment to Asset Purchase Agreement, dated March 3,</w:t>
              </w:r>
            </w:hyperlink>
          </w:p>
        </w:tc>
        <w:tc>
          <w:tcPr>
            <w:tcW w:w="3660" w:type="dxa"/>
            <w:vAlign w:val="bottom"/>
          </w:tcPr>
          <w:p>
            <w:pPr>
              <w:ind w:left="16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spacing w:after="0"/>
              <w:rPr>
                <w:sz w:val="20"/>
                <w:szCs w:val="20"/>
                <w:color w:val="auto"/>
              </w:rPr>
            </w:pPr>
            <w:r>
              <w:rPr>
                <w:rFonts w:ascii="Arial" w:cs="Arial" w:eastAsia="Arial" w:hAnsi="Arial"/>
                <w:sz w:val="18"/>
                <w:szCs w:val="18"/>
                <w:color w:val="auto"/>
              </w:rPr>
              <w:t>May 7, 2020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2020, by and among Synaptics Incorporated and Creative</w:t>
              </w:r>
            </w:hyperlink>
          </w:p>
        </w:tc>
        <w:tc>
          <w:tcPr>
            <w:tcW w:w="460" w:type="dxa"/>
            <w:vAlign w:val="bottom"/>
            <w:tcBorders>
              <w:top w:val="single" w:sz="8" w:color="0000EE"/>
            </w:tcBorders>
            <w:gridSpan w:val="10"/>
          </w:tcPr>
          <w:p>
            <w:pPr>
              <w:spacing w:after="0"/>
              <w:rPr>
                <w:sz w:val="17"/>
                <w:szCs w:val="17"/>
                <w:color w:val="auto"/>
              </w:rPr>
            </w:pPr>
          </w:p>
        </w:tc>
        <w:tc>
          <w:tcPr>
            <w:tcW w:w="60" w:type="dxa"/>
            <w:vAlign w:val="bottom"/>
            <w:gridSpan w:val="2"/>
          </w:tcPr>
          <w:p>
            <w:pPr>
              <w:spacing w:after="0"/>
              <w:rPr>
                <w:sz w:val="17"/>
                <w:szCs w:val="17"/>
                <w:color w:val="auto"/>
              </w:rPr>
            </w:pPr>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23"/>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Legend Investments Ltd.</w:t>
              </w:r>
            </w:hyperlink>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gridSpan w:val="2"/>
          </w:tcPr>
          <w:p>
            <w:pPr>
              <w:ind w:left="100"/>
              <w:spacing w:after="0"/>
              <w:rPr>
                <w:sz w:val="20"/>
                <w:szCs w:val="20"/>
                <w:color w:val="auto"/>
              </w:rPr>
            </w:pPr>
            <w:r>
              <w:rPr>
                <w:rFonts w:ascii="Arial" w:cs="Arial" w:eastAsia="Arial" w:hAnsi="Arial"/>
                <w:sz w:val="18"/>
                <w:szCs w:val="18"/>
                <w:color w:val="auto"/>
              </w:rPr>
              <w:t>2.1(c)</w:t>
            </w:r>
          </w:p>
        </w:tc>
        <w:tc>
          <w:tcPr>
            <w:tcW w:w="4540" w:type="dxa"/>
            <w:vAlign w:val="bottom"/>
            <w:tcBorders>
              <w:bottom w:val="single" w:sz="8" w:color="0000EE"/>
            </w:tcBorders>
            <w:gridSpan w:val="19"/>
          </w:tcPr>
          <w:p>
            <w:pPr>
              <w:spacing w:after="0"/>
              <w:rPr>
                <w:rFonts w:ascii="Arial" w:cs="Arial" w:eastAsia="Arial" w:hAnsi="Arial"/>
                <w:sz w:val="18"/>
                <w:szCs w:val="18"/>
                <w:color w:val="0000EE"/>
                <w:w w:val="89"/>
              </w:rPr>
            </w:pPr>
            <w:hyperlink r:id="rId71">
              <w:r>
                <w:rPr>
                  <w:rFonts w:ascii="Arial" w:cs="Arial" w:eastAsia="Arial" w:hAnsi="Arial"/>
                  <w:sz w:val="18"/>
                  <w:szCs w:val="18"/>
                  <w:color w:val="0000EE"/>
                  <w:w w:val="89"/>
                </w:rPr>
                <w:t>Second Amendment to Asset Purchase Agreement, dated April</w:t>
              </w:r>
            </w:hyperlink>
          </w:p>
        </w:tc>
        <w:tc>
          <w:tcPr>
            <w:tcW w:w="120" w:type="dxa"/>
            <w:vAlign w:val="bottom"/>
            <w:gridSpan w:val="4"/>
          </w:tcPr>
          <w:p>
            <w:pPr>
              <w:spacing w:after="0"/>
              <w:rPr>
                <w:sz w:val="24"/>
                <w:szCs w:val="24"/>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Annual Report on Form 10-K</w:t>
            </w:r>
          </w:p>
        </w:tc>
        <w:tc>
          <w:tcPr>
            <w:tcW w:w="1960" w:type="dxa"/>
            <w:vAlign w:val="bottom"/>
          </w:tcPr>
          <w:p>
            <w:pPr>
              <w:spacing w:after="0"/>
              <w:rPr>
                <w:sz w:val="20"/>
                <w:szCs w:val="20"/>
                <w:color w:val="auto"/>
              </w:rPr>
            </w:pPr>
            <w:r>
              <w:rPr>
                <w:rFonts w:ascii="Arial" w:cs="Arial" w:eastAsia="Arial" w:hAnsi="Arial"/>
                <w:sz w:val="18"/>
                <w:szCs w:val="18"/>
                <w:color w:val="auto"/>
              </w:rPr>
              <w:t>August 21, 2020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23"/>
          </w:tcPr>
          <w:p>
            <w:pPr>
              <w:spacing w:after="0" w:line="196" w:lineRule="exact"/>
              <w:rPr>
                <w:rFonts w:ascii="Arial" w:cs="Arial" w:eastAsia="Arial" w:hAnsi="Arial"/>
                <w:sz w:val="18"/>
                <w:szCs w:val="18"/>
                <w:color w:val="0000EE"/>
                <w:w w:val="97"/>
              </w:rPr>
            </w:pPr>
            <w:hyperlink r:id="rId71">
              <w:r>
                <w:rPr>
                  <w:rFonts w:ascii="Arial" w:cs="Arial" w:eastAsia="Arial" w:hAnsi="Arial"/>
                  <w:sz w:val="18"/>
                  <w:szCs w:val="18"/>
                  <w:color w:val="0000EE"/>
                  <w:w w:val="97"/>
                </w:rPr>
                <w:t>15, 2020, by and among Synaptics Incorporated and Beijing</w:t>
              </w:r>
            </w:hyperlink>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OmniVision Technologies Co. Ltd.</w:t>
              </w:r>
            </w:hyperlink>
          </w:p>
        </w:tc>
        <w:tc>
          <w:tcPr>
            <w:tcW w:w="1800" w:type="dxa"/>
            <w:vAlign w:val="bottom"/>
            <w:tcBorders>
              <w:top w:val="single" w:sz="8" w:color="0000EE"/>
            </w:tcBorders>
            <w:gridSpan w:val="9"/>
          </w:tcPr>
          <w:p>
            <w:pPr>
              <w:spacing w:after="0"/>
              <w:rPr>
                <w:sz w:val="17"/>
                <w:szCs w:val="17"/>
                <w:color w:val="auto"/>
              </w:rPr>
            </w:pPr>
          </w:p>
        </w:tc>
        <w:tc>
          <w:tcPr>
            <w:tcW w:w="340" w:type="dxa"/>
            <w:vAlign w:val="bottom"/>
            <w:gridSpan w:val="7"/>
          </w:tcPr>
          <w:p>
            <w:pPr>
              <w:spacing w:after="0"/>
              <w:rPr>
                <w:sz w:val="17"/>
                <w:szCs w:val="17"/>
                <w:color w:val="auto"/>
              </w:rPr>
            </w:pPr>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2.2</w:t>
            </w: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4300" w:type="dxa"/>
            <w:vAlign w:val="bottom"/>
            <w:tcBorders>
              <w:bottom w:val="single" w:sz="8" w:color="0000EE"/>
            </w:tcBorders>
            <w:gridSpan w:val="15"/>
          </w:tcPr>
          <w:p>
            <w:pPr>
              <w:spacing w:after="0"/>
              <w:rPr>
                <w:rFonts w:ascii="Arial" w:cs="Arial" w:eastAsia="Arial" w:hAnsi="Arial"/>
                <w:sz w:val="18"/>
                <w:szCs w:val="18"/>
                <w:color w:val="0000EE"/>
                <w:w w:val="89"/>
              </w:rPr>
            </w:pPr>
            <w:hyperlink r:id="rId72">
              <w:r>
                <w:rPr>
                  <w:rFonts w:ascii="Arial" w:cs="Arial" w:eastAsia="Arial" w:hAnsi="Arial"/>
                  <w:sz w:val="18"/>
                  <w:szCs w:val="18"/>
                  <w:color w:val="0000EE"/>
                  <w:w w:val="89"/>
                </w:rPr>
                <w:t>Agreement and Plan of Merger, dated July 17, 2020, by and</w:t>
              </w:r>
            </w:hyperlink>
          </w:p>
        </w:tc>
        <w:tc>
          <w:tcPr>
            <w:tcW w:w="360" w:type="dxa"/>
            <w:vAlign w:val="bottom"/>
            <w:gridSpan w:val="8"/>
          </w:tcPr>
          <w:p>
            <w:pPr>
              <w:spacing w:after="0"/>
              <w:rPr>
                <w:sz w:val="24"/>
                <w:szCs w:val="24"/>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spacing w:after="0"/>
              <w:rPr>
                <w:sz w:val="20"/>
                <w:szCs w:val="20"/>
                <w:color w:val="auto"/>
              </w:rPr>
            </w:pPr>
            <w:r>
              <w:rPr>
                <w:rFonts w:ascii="Arial" w:cs="Arial" w:eastAsia="Arial" w:hAnsi="Arial"/>
                <w:sz w:val="18"/>
                <w:szCs w:val="18"/>
                <w:color w:val="auto"/>
              </w:rPr>
              <w:t>November 5, 2020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among Synaptics Incorporated, DisplayLink Corp., Falcon</w:t>
              </w:r>
            </w:hyperlink>
          </w:p>
        </w:tc>
        <w:tc>
          <w:tcPr>
            <w:tcW w:w="440" w:type="dxa"/>
            <w:vAlign w:val="bottom"/>
            <w:gridSpan w:val="10"/>
          </w:tcPr>
          <w:p>
            <w:pPr>
              <w:spacing w:after="0"/>
              <w:rPr>
                <w:sz w:val="17"/>
                <w:szCs w:val="17"/>
                <w:color w:val="auto"/>
              </w:rPr>
            </w:pPr>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23"/>
          </w:tcPr>
          <w:p>
            <w:pPr>
              <w:spacing w:after="0" w:line="196" w:lineRule="exact"/>
              <w:rPr>
                <w:rFonts w:ascii="Arial" w:cs="Arial" w:eastAsia="Arial" w:hAnsi="Arial"/>
                <w:sz w:val="18"/>
                <w:szCs w:val="18"/>
                <w:color w:val="0000EE"/>
                <w:w w:val="95"/>
              </w:rPr>
            </w:pPr>
            <w:hyperlink r:id="rId72">
              <w:r>
                <w:rPr>
                  <w:rFonts w:ascii="Arial" w:cs="Arial" w:eastAsia="Arial" w:hAnsi="Arial"/>
                  <w:sz w:val="18"/>
                  <w:szCs w:val="18"/>
                  <w:color w:val="0000EE"/>
                  <w:w w:val="95"/>
                </w:rPr>
                <w:t>Merger Sub, Inc., the sellers who became parties thereto and</w:t>
              </w:r>
            </w:hyperlink>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Shareholder Representative Services LLC</w:t>
              </w:r>
            </w:hyperlink>
          </w:p>
        </w:tc>
        <w:tc>
          <w:tcPr>
            <w:tcW w:w="1320" w:type="dxa"/>
            <w:vAlign w:val="bottom"/>
            <w:tcBorders>
              <w:top w:val="single" w:sz="8" w:color="0000EE"/>
            </w:tcBorders>
            <w:gridSpan w:val="8"/>
          </w:tcPr>
          <w:p>
            <w:pPr>
              <w:spacing w:after="0"/>
              <w:rPr>
                <w:sz w:val="17"/>
                <w:szCs w:val="17"/>
                <w:color w:val="auto"/>
              </w:rPr>
            </w:pPr>
          </w:p>
        </w:tc>
        <w:tc>
          <w:tcPr>
            <w:tcW w:w="320" w:type="dxa"/>
            <w:vAlign w:val="bottom"/>
            <w:gridSpan w:val="6"/>
          </w:tcPr>
          <w:p>
            <w:pPr>
              <w:spacing w:after="0"/>
              <w:rPr>
                <w:sz w:val="17"/>
                <w:szCs w:val="17"/>
                <w:color w:val="auto"/>
              </w:rPr>
            </w:pPr>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660" w:type="dxa"/>
            <w:vAlign w:val="bottom"/>
            <w:gridSpan w:val="23"/>
          </w:tcPr>
          <w:p>
            <w:pPr>
              <w:spacing w:after="0"/>
              <w:rPr>
                <w:rFonts w:ascii="Arial" w:cs="Arial" w:eastAsia="Arial" w:hAnsi="Arial"/>
                <w:sz w:val="18"/>
                <w:szCs w:val="18"/>
                <w:color w:val="0000EE"/>
              </w:rPr>
            </w:pPr>
            <w:hyperlink r:id="rId73">
              <w:r>
                <w:rPr>
                  <w:rFonts w:ascii="Arial" w:cs="Arial" w:eastAsia="Arial" w:hAnsi="Arial"/>
                  <w:sz w:val="18"/>
                  <w:szCs w:val="18"/>
                  <w:color w:val="0000EE"/>
                </w:rPr>
                <w:t>Certificate of Incorporationv</w:t>
              </w:r>
            </w:hyperlink>
          </w:p>
        </w:tc>
        <w:tc>
          <w:tcPr>
            <w:tcW w:w="3660" w:type="dxa"/>
            <w:vAlign w:val="bottom"/>
          </w:tcPr>
          <w:p>
            <w:pPr>
              <w:ind w:left="16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spacing w:after="0"/>
              <w:rPr>
                <w:sz w:val="20"/>
                <w:szCs w:val="20"/>
                <w:color w:val="auto"/>
              </w:rPr>
            </w:pPr>
            <w:r>
              <w:rPr>
                <w:rFonts w:ascii="Arial" w:cs="Arial" w:eastAsia="Arial" w:hAnsi="Arial"/>
                <w:sz w:val="18"/>
                <w:szCs w:val="18"/>
                <w:color w:val="auto"/>
              </w:rPr>
              <w:t>February 21, 2002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180" w:type="dxa"/>
            <w:vAlign w:val="bottom"/>
            <w:tcBorders>
              <w:bottom w:val="single" w:sz="8" w:color="0000EE"/>
            </w:tcBorders>
            <w:gridSpan w:val="12"/>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Certificate of Designation of Series A Junior Participating</w:t>
              </w:r>
            </w:hyperlink>
          </w:p>
        </w:tc>
        <w:tc>
          <w:tcPr>
            <w:tcW w:w="480" w:type="dxa"/>
            <w:vAlign w:val="bottom"/>
            <w:gridSpan w:val="11"/>
          </w:tcPr>
          <w:p>
            <w:pPr>
              <w:spacing w:after="0"/>
              <w:rPr>
                <w:sz w:val="24"/>
                <w:szCs w:val="24"/>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Registration Statement on Form 8-A</w:t>
            </w:r>
          </w:p>
        </w:tc>
        <w:tc>
          <w:tcPr>
            <w:tcW w:w="1960" w:type="dxa"/>
            <w:vAlign w:val="bottom"/>
          </w:tcPr>
          <w:p>
            <w:pPr>
              <w:spacing w:after="0"/>
              <w:rPr>
                <w:sz w:val="20"/>
                <w:szCs w:val="20"/>
                <w:color w:val="auto"/>
              </w:rPr>
            </w:pPr>
            <w:r>
              <w:rPr>
                <w:rFonts w:ascii="Arial" w:cs="Arial" w:eastAsia="Arial" w:hAnsi="Arial"/>
                <w:sz w:val="18"/>
                <w:szCs w:val="18"/>
                <w:color w:val="auto"/>
              </w:rPr>
              <w:t>August 16, 2002</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74">
              <w:r>
                <w:rPr>
                  <w:rFonts w:ascii="Arial" w:cs="Arial" w:eastAsia="Arial" w:hAnsi="Arial"/>
                  <w:sz w:val="18"/>
                  <w:szCs w:val="18"/>
                  <w:color w:val="0000EE"/>
                  <w:w w:val="87"/>
                </w:rPr>
                <w:t>Preferred Stock</w:t>
              </w:r>
            </w:hyperlink>
          </w:p>
        </w:tc>
        <w:tc>
          <w:tcPr>
            <w:tcW w:w="3540" w:type="dxa"/>
            <w:vAlign w:val="bottom"/>
            <w:gridSpan w:val="20"/>
          </w:tcPr>
          <w:p>
            <w:pPr>
              <w:spacing w:after="0"/>
              <w:rPr>
                <w:sz w:val="17"/>
                <w:szCs w:val="17"/>
                <w:color w:val="auto"/>
              </w:rPr>
            </w:pPr>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4660" w:type="dxa"/>
            <w:vAlign w:val="bottom"/>
            <w:gridSpan w:val="23"/>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Third Amended and Restated Bylaws (amended and restated as</w:t>
              </w:r>
            </w:hyperlink>
          </w:p>
        </w:tc>
        <w:tc>
          <w:tcPr>
            <w:tcW w:w="3660" w:type="dxa"/>
            <w:vAlign w:val="bottom"/>
          </w:tcPr>
          <w:p>
            <w:pPr>
              <w:ind w:left="160"/>
              <w:spacing w:after="0"/>
              <w:rPr>
                <w:sz w:val="20"/>
                <w:szCs w:val="20"/>
                <w:color w:val="auto"/>
              </w:rPr>
            </w:pPr>
            <w:r>
              <w:rPr>
                <w:rFonts w:ascii="Arial" w:cs="Arial" w:eastAsia="Arial" w:hAnsi="Arial"/>
                <w:sz w:val="18"/>
                <w:szCs w:val="18"/>
                <w:color w:val="auto"/>
              </w:rPr>
              <w:t>Current Report on Form 8-K</w:t>
            </w:r>
          </w:p>
        </w:tc>
        <w:tc>
          <w:tcPr>
            <w:tcW w:w="1960" w:type="dxa"/>
            <w:vAlign w:val="bottom"/>
          </w:tcPr>
          <w:p>
            <w:pPr>
              <w:spacing w:after="0"/>
              <w:rPr>
                <w:sz w:val="20"/>
                <w:szCs w:val="20"/>
                <w:color w:val="auto"/>
              </w:rPr>
            </w:pPr>
            <w:r>
              <w:rPr>
                <w:rFonts w:ascii="Arial" w:cs="Arial" w:eastAsia="Arial" w:hAnsi="Arial"/>
                <w:sz w:val="18"/>
                <w:szCs w:val="18"/>
                <w:color w:val="auto"/>
              </w:rPr>
              <w:t>August 2, 2010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of July 27, 2010)</w:t>
              </w:r>
            </w:hyperlink>
          </w:p>
        </w:tc>
        <w:tc>
          <w:tcPr>
            <w:tcW w:w="120" w:type="dxa"/>
            <w:vAlign w:val="bottom"/>
            <w:gridSpan w:val="4"/>
          </w:tcPr>
          <w:p>
            <w:pPr>
              <w:spacing w:after="0"/>
              <w:rPr>
                <w:sz w:val="17"/>
                <w:szCs w:val="17"/>
                <w:color w:val="auto"/>
              </w:rPr>
            </w:pPr>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4560" w:type="dxa"/>
            <w:vAlign w:val="bottom"/>
            <w:tcBorders>
              <w:bottom w:val="single" w:sz="8" w:color="0000EE"/>
            </w:tcBorders>
            <w:gridSpan w:val="20"/>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Certificate of Amendment of Certificate of Incorporation of the</w:t>
              </w:r>
            </w:hyperlink>
          </w:p>
        </w:tc>
        <w:tc>
          <w:tcPr>
            <w:tcW w:w="100" w:type="dxa"/>
            <w:vAlign w:val="bottom"/>
            <w:gridSpan w:val="3"/>
          </w:tcPr>
          <w:p>
            <w:pPr>
              <w:spacing w:after="0"/>
              <w:rPr>
                <w:sz w:val="24"/>
                <w:szCs w:val="24"/>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Current Report on Form 8-K</w:t>
            </w:r>
          </w:p>
        </w:tc>
        <w:tc>
          <w:tcPr>
            <w:tcW w:w="1960" w:type="dxa"/>
            <w:vAlign w:val="bottom"/>
          </w:tcPr>
          <w:p>
            <w:pPr>
              <w:spacing w:after="0"/>
              <w:rPr>
                <w:sz w:val="20"/>
                <w:szCs w:val="20"/>
                <w:color w:val="auto"/>
              </w:rPr>
            </w:pPr>
            <w:r>
              <w:rPr>
                <w:rFonts w:ascii="Arial" w:cs="Arial" w:eastAsia="Arial" w:hAnsi="Arial"/>
                <w:sz w:val="18"/>
                <w:szCs w:val="18"/>
                <w:color w:val="auto"/>
              </w:rPr>
              <w:t>December 7, 2004</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76">
              <w:r>
                <w:rPr>
                  <w:rFonts w:ascii="Arial" w:cs="Arial" w:eastAsia="Arial" w:hAnsi="Arial"/>
                  <w:sz w:val="18"/>
                  <w:szCs w:val="18"/>
                  <w:color w:val="0000EE"/>
                  <w:w w:val="87"/>
                </w:rPr>
                <w:t>registrant</w:t>
              </w:r>
            </w:hyperlink>
          </w:p>
        </w:tc>
        <w:tc>
          <w:tcPr>
            <w:tcW w:w="3980" w:type="dxa"/>
            <w:vAlign w:val="bottom"/>
            <w:gridSpan w:val="21"/>
          </w:tcPr>
          <w:p>
            <w:pPr>
              <w:spacing w:after="0"/>
              <w:rPr>
                <w:sz w:val="17"/>
                <w:szCs w:val="17"/>
                <w:color w:val="auto"/>
              </w:rPr>
            </w:pPr>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4560" w:type="dxa"/>
            <w:vAlign w:val="bottom"/>
            <w:tcBorders>
              <w:bottom w:val="single" w:sz="8" w:color="0000EE"/>
            </w:tcBorders>
            <w:gridSpan w:val="20"/>
          </w:tcPr>
          <w:p>
            <w:pPr>
              <w:spacing w:after="0"/>
              <w:rPr>
                <w:rFonts w:ascii="Arial" w:cs="Arial" w:eastAsia="Arial" w:hAnsi="Arial"/>
                <w:sz w:val="18"/>
                <w:szCs w:val="18"/>
                <w:color w:val="0000EE"/>
                <w:w w:val="92"/>
              </w:rPr>
            </w:pPr>
            <w:hyperlink r:id="rId77">
              <w:r>
                <w:rPr>
                  <w:rFonts w:ascii="Arial" w:cs="Arial" w:eastAsia="Arial" w:hAnsi="Arial"/>
                  <w:sz w:val="18"/>
                  <w:szCs w:val="18"/>
                  <w:color w:val="0000EE"/>
                  <w:w w:val="92"/>
                </w:rPr>
                <w:t>Certificate of Amendment of Certificate of Incorporation of the</w:t>
              </w:r>
            </w:hyperlink>
          </w:p>
        </w:tc>
        <w:tc>
          <w:tcPr>
            <w:tcW w:w="100" w:type="dxa"/>
            <w:vAlign w:val="bottom"/>
            <w:gridSpan w:val="3"/>
          </w:tcPr>
          <w:p>
            <w:pPr>
              <w:spacing w:after="0"/>
              <w:rPr>
                <w:sz w:val="24"/>
                <w:szCs w:val="24"/>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Current Report on Form 8-K</w:t>
            </w:r>
          </w:p>
        </w:tc>
        <w:tc>
          <w:tcPr>
            <w:tcW w:w="1960" w:type="dxa"/>
            <w:vAlign w:val="bottom"/>
          </w:tcPr>
          <w:p>
            <w:pPr>
              <w:spacing w:after="0"/>
              <w:rPr>
                <w:sz w:val="20"/>
                <w:szCs w:val="20"/>
                <w:color w:val="auto"/>
              </w:rPr>
            </w:pPr>
            <w:r>
              <w:rPr>
                <w:rFonts w:ascii="Arial" w:cs="Arial" w:eastAsia="Arial" w:hAnsi="Arial"/>
                <w:sz w:val="18"/>
                <w:szCs w:val="18"/>
                <w:color w:val="auto"/>
              </w:rPr>
              <w:t>October 22, 2010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77">
              <w:r>
                <w:rPr>
                  <w:rFonts w:ascii="Arial" w:cs="Arial" w:eastAsia="Arial" w:hAnsi="Arial"/>
                  <w:sz w:val="18"/>
                  <w:szCs w:val="18"/>
                  <w:color w:val="0000EE"/>
                  <w:w w:val="87"/>
                </w:rPr>
                <w:t>registrant</w:t>
              </w:r>
            </w:hyperlink>
          </w:p>
        </w:tc>
        <w:tc>
          <w:tcPr>
            <w:tcW w:w="3980" w:type="dxa"/>
            <w:vAlign w:val="bottom"/>
            <w:gridSpan w:val="21"/>
          </w:tcPr>
          <w:p>
            <w:pPr>
              <w:spacing w:after="0"/>
              <w:rPr>
                <w:sz w:val="17"/>
                <w:szCs w:val="17"/>
                <w:color w:val="auto"/>
              </w:rPr>
            </w:pPr>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560" w:type="dxa"/>
            <w:vAlign w:val="bottom"/>
            <w:tcBorders>
              <w:bottom w:val="single" w:sz="8" w:color="0000EE"/>
            </w:tcBorders>
            <w:gridSpan w:val="8"/>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Form of Common Stock Certificate</w:t>
              </w:r>
            </w:hyperlink>
          </w:p>
        </w:tc>
        <w:tc>
          <w:tcPr>
            <w:tcW w:w="2100" w:type="dxa"/>
            <w:vAlign w:val="bottom"/>
            <w:gridSpan w:val="15"/>
          </w:tcPr>
          <w:p>
            <w:pPr>
              <w:spacing w:after="0"/>
              <w:rPr>
                <w:sz w:val="24"/>
                <w:szCs w:val="24"/>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Annual Report on Form 10-K</w:t>
            </w:r>
          </w:p>
        </w:tc>
        <w:tc>
          <w:tcPr>
            <w:tcW w:w="1960" w:type="dxa"/>
            <w:vAlign w:val="bottom"/>
          </w:tcPr>
          <w:p>
            <w:pPr>
              <w:spacing w:after="0"/>
              <w:rPr>
                <w:sz w:val="20"/>
                <w:szCs w:val="20"/>
                <w:color w:val="auto"/>
              </w:rPr>
            </w:pPr>
            <w:r>
              <w:rPr>
                <w:rFonts w:ascii="Arial" w:cs="Arial" w:eastAsia="Arial" w:hAnsi="Arial"/>
                <w:sz w:val="18"/>
                <w:szCs w:val="18"/>
                <w:color w:val="auto"/>
              </w:rPr>
              <w:t>September 12, 2002</w:t>
            </w:r>
          </w:p>
        </w:tc>
        <w:tc>
          <w:tcPr>
            <w:tcW w:w="0" w:type="dxa"/>
            <w:vAlign w:val="bottom"/>
          </w:tcPr>
          <w:p>
            <w:pPr>
              <w:spacing w:after="0"/>
              <w:rPr>
                <w:sz w:val="1"/>
                <w:szCs w:val="1"/>
                <w:color w:val="auto"/>
              </w:rPr>
            </w:pP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4660" w:type="dxa"/>
            <w:vAlign w:val="bottom"/>
            <w:gridSpan w:val="23"/>
          </w:tcPr>
          <w:p>
            <w:pPr>
              <w:spacing w:after="0"/>
              <w:rPr>
                <w:rFonts w:ascii="Arial" w:cs="Arial" w:eastAsia="Arial" w:hAnsi="Arial"/>
                <w:sz w:val="18"/>
                <w:szCs w:val="18"/>
                <w:color w:val="0000EE"/>
              </w:rPr>
            </w:pPr>
            <w:hyperlink r:id="rId79">
              <w:r>
                <w:rPr>
                  <w:rFonts w:ascii="Arial" w:cs="Arial" w:eastAsia="Arial" w:hAnsi="Arial"/>
                  <w:sz w:val="18"/>
                  <w:szCs w:val="18"/>
                  <w:color w:val="0000EE"/>
                </w:rPr>
                <w:t>Indenture, dated as of June 26, 2017, by and between the</w:t>
              </w:r>
            </w:hyperlink>
          </w:p>
        </w:tc>
        <w:tc>
          <w:tcPr>
            <w:tcW w:w="3660" w:type="dxa"/>
            <w:vAlign w:val="bottom"/>
          </w:tcPr>
          <w:p>
            <w:pPr>
              <w:ind w:left="160"/>
              <w:spacing w:after="0"/>
              <w:rPr>
                <w:sz w:val="20"/>
                <w:szCs w:val="20"/>
                <w:color w:val="auto"/>
              </w:rPr>
            </w:pPr>
            <w:r>
              <w:rPr>
                <w:rFonts w:ascii="Arial" w:cs="Arial" w:eastAsia="Arial" w:hAnsi="Arial"/>
                <w:sz w:val="18"/>
                <w:szCs w:val="18"/>
                <w:color w:val="auto"/>
              </w:rPr>
              <w:t>Current Report on Form 8-K</w:t>
            </w:r>
          </w:p>
        </w:tc>
        <w:tc>
          <w:tcPr>
            <w:tcW w:w="1960" w:type="dxa"/>
            <w:vAlign w:val="bottom"/>
          </w:tcPr>
          <w:p>
            <w:pPr>
              <w:spacing w:after="0"/>
              <w:rPr>
                <w:sz w:val="20"/>
                <w:szCs w:val="20"/>
                <w:color w:val="auto"/>
              </w:rPr>
            </w:pPr>
            <w:r>
              <w:rPr>
                <w:rFonts w:ascii="Arial" w:cs="Arial" w:eastAsia="Arial" w:hAnsi="Arial"/>
                <w:sz w:val="18"/>
                <w:szCs w:val="18"/>
                <w:color w:val="auto"/>
              </w:rPr>
              <w:t>June 26, 2017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gridSpan w:val="10"/>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Company and Wells Fargo, National Association, as trustee</w:t>
              </w:r>
            </w:hyperlink>
          </w:p>
        </w:tc>
        <w:tc>
          <w:tcPr>
            <w:tcW w:w="380" w:type="dxa"/>
            <w:vAlign w:val="bottom"/>
            <w:gridSpan w:val="9"/>
          </w:tcPr>
          <w:p>
            <w:pPr>
              <w:spacing w:after="0"/>
              <w:rPr>
                <w:sz w:val="17"/>
                <w:szCs w:val="17"/>
                <w:color w:val="auto"/>
              </w:rPr>
            </w:pPr>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10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4.3</w:t>
            </w:r>
          </w:p>
        </w:tc>
        <w:tc>
          <w:tcPr>
            <w:tcW w:w="4560" w:type="dxa"/>
            <w:vAlign w:val="bottom"/>
            <w:gridSpan w:val="7"/>
          </w:tcPr>
          <w:p>
            <w:pPr>
              <w:spacing w:after="0"/>
              <w:rPr>
                <w:rFonts w:ascii="Arial" w:cs="Arial" w:eastAsia="Arial" w:hAnsi="Arial"/>
                <w:sz w:val="18"/>
                <w:szCs w:val="18"/>
                <w:color w:val="0000EE"/>
              </w:rPr>
            </w:pPr>
            <w:hyperlink r:id="rId80">
              <w:r>
                <w:rPr>
                  <w:rFonts w:ascii="Arial" w:cs="Arial" w:eastAsia="Arial" w:hAnsi="Arial"/>
                  <w:sz w:val="18"/>
                  <w:szCs w:val="18"/>
                  <w:color w:val="0000EE"/>
                </w:rPr>
                <w:t>Form of 0.50% Convertible Senior Note due 2022</w:t>
              </w:r>
            </w:hyperlink>
          </w:p>
        </w:tc>
      </w:tr>
      <w:tr>
        <w:trPr>
          <w:trHeight w:val="318"/>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4.2</w:t>
            </w:r>
          </w:p>
        </w:tc>
        <w:tc>
          <w:tcPr>
            <w:tcW w:w="3600" w:type="dxa"/>
            <w:vAlign w:val="bottom"/>
            <w:tcBorders>
              <w:top w:val="single" w:sz="8" w:color="0000EE"/>
            </w:tcBorders>
            <w:gridSpan w:val="4"/>
          </w:tcPr>
          <w:p>
            <w:pPr>
              <w:spacing w:after="0"/>
              <w:rPr>
                <w:rFonts w:ascii="Arial" w:cs="Arial" w:eastAsia="Arial" w:hAnsi="Arial"/>
                <w:sz w:val="18"/>
                <w:szCs w:val="18"/>
                <w:color w:val="0000EE"/>
              </w:rPr>
            </w:pPr>
            <w:hyperlink r:id="rId81">
              <w:r>
                <w:rPr>
                  <w:rFonts w:ascii="Arial" w:cs="Arial" w:eastAsia="Arial" w:hAnsi="Arial"/>
                  <w:sz w:val="18"/>
                  <w:szCs w:val="18"/>
                  <w:color w:val="0000EE"/>
                </w:rPr>
                <w:t>Description of Registrant’s Securities</w:t>
              </w:r>
            </w:hyperlink>
          </w:p>
        </w:tc>
        <w:tc>
          <w:tcPr>
            <w:tcW w:w="960" w:type="dxa"/>
            <w:vAlign w:val="bottom"/>
            <w:gridSpan w:val="3"/>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8"/>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4.3</w:t>
            </w:r>
          </w:p>
        </w:tc>
        <w:tc>
          <w:tcPr>
            <w:tcW w:w="4560" w:type="dxa"/>
            <w:vAlign w:val="bottom"/>
            <w:gridSpan w:val="7"/>
          </w:tcPr>
          <w:p>
            <w:pPr>
              <w:spacing w:after="0"/>
              <w:rPr>
                <w:rFonts w:ascii="Arial" w:cs="Arial" w:eastAsia="Arial" w:hAnsi="Arial"/>
                <w:sz w:val="18"/>
                <w:szCs w:val="18"/>
                <w:color w:val="0000EE"/>
                <w:w w:val="98"/>
              </w:rPr>
            </w:pPr>
            <w:hyperlink r:id="rId82">
              <w:r>
                <w:rPr>
                  <w:rFonts w:ascii="Arial" w:cs="Arial" w:eastAsia="Arial" w:hAnsi="Arial"/>
                  <w:sz w:val="18"/>
                  <w:szCs w:val="18"/>
                  <w:color w:val="0000EE"/>
                  <w:w w:val="98"/>
                </w:rPr>
                <w:t>Indenture, dated as of March 11, 2021, by and among the</w:t>
              </w:r>
            </w:hyperlink>
          </w:p>
        </w:tc>
      </w:tr>
      <w:tr>
        <w:trPr>
          <w:trHeight w:val="20"/>
        </w:trPr>
        <w:tc>
          <w:tcPr>
            <w:tcW w:w="8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5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82">
              <w:r>
                <w:rPr>
                  <w:rFonts w:ascii="Arial" w:cs="Arial" w:eastAsia="Arial" w:hAnsi="Arial"/>
                  <w:sz w:val="18"/>
                  <w:szCs w:val="18"/>
                  <w:color w:val="0000EE"/>
                  <w:w w:val="88"/>
                </w:rPr>
                <w:t>Company, the guarantors named therein and Wells Fargo Bank,</w:t>
              </w:r>
            </w:hyperlink>
          </w:p>
        </w:tc>
      </w:tr>
      <w:tr>
        <w:trPr>
          <w:trHeight w:val="196"/>
        </w:trPr>
        <w:tc>
          <w:tcPr>
            <w:tcW w:w="860" w:type="dxa"/>
            <w:vAlign w:val="bottom"/>
          </w:tcPr>
          <w:p>
            <w:pPr>
              <w:spacing w:after="0"/>
              <w:rPr>
                <w:sz w:val="17"/>
                <w:szCs w:val="17"/>
                <w:color w:val="auto"/>
              </w:rPr>
            </w:pPr>
          </w:p>
        </w:tc>
        <w:tc>
          <w:tcPr>
            <w:tcW w:w="22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National Association, as trustee</w:t>
              </w:r>
            </w:hyperlink>
          </w:p>
        </w:tc>
        <w:tc>
          <w:tcPr>
            <w:tcW w:w="2280" w:type="dxa"/>
            <w:vAlign w:val="bottom"/>
            <w:gridSpan w:val="5"/>
          </w:tcPr>
          <w:p>
            <w:pPr>
              <w:spacing w:after="0"/>
              <w:rPr>
                <w:sz w:val="17"/>
                <w:szCs w:val="17"/>
                <w:color w:val="auto"/>
              </w:rPr>
            </w:pPr>
          </w:p>
        </w:tc>
      </w:tr>
      <w:tr>
        <w:trPr>
          <w:trHeight w:val="318"/>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4.6</w:t>
            </w:r>
          </w:p>
        </w:tc>
        <w:tc>
          <w:tcPr>
            <w:tcW w:w="4560" w:type="dxa"/>
            <w:vAlign w:val="bottom"/>
            <w:gridSpan w:val="7"/>
          </w:tcPr>
          <w:p>
            <w:pPr>
              <w:spacing w:after="0"/>
              <w:rPr>
                <w:rFonts w:ascii="Arial" w:cs="Arial" w:eastAsia="Arial" w:hAnsi="Arial"/>
                <w:sz w:val="18"/>
                <w:szCs w:val="18"/>
                <w:color w:val="0000EE"/>
                <w:w w:val="95"/>
              </w:rPr>
            </w:pPr>
            <w:hyperlink r:id="rId82">
              <w:r>
                <w:rPr>
                  <w:rFonts w:ascii="Arial" w:cs="Arial" w:eastAsia="Arial" w:hAnsi="Arial"/>
                  <w:sz w:val="18"/>
                  <w:szCs w:val="18"/>
                  <w:color w:val="0000EE"/>
                  <w:w w:val="95"/>
                </w:rPr>
                <w:t>Form of 4.000% Senior Notes due 2029 (included in Exhibit</w:t>
              </w:r>
            </w:hyperlink>
          </w:p>
        </w:tc>
      </w:tr>
      <w:tr>
        <w:trPr>
          <w:trHeight w:val="196"/>
        </w:trPr>
        <w:tc>
          <w:tcPr>
            <w:tcW w:w="86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r:id="rId82">
              <w:r>
                <w:rPr>
                  <w:rFonts w:ascii="Arial" w:cs="Arial" w:eastAsia="Arial" w:hAnsi="Arial"/>
                  <w:sz w:val="18"/>
                  <w:szCs w:val="18"/>
                  <w:color w:val="0000EE"/>
                  <w:w w:val="83"/>
                </w:rPr>
                <w:t>4.</w:t>
              </w:r>
              <w:r>
                <w:rPr>
                  <w:rFonts w:ascii="Arial" w:cs="Arial" w:eastAsia="Arial" w:hAnsi="Arial"/>
                  <w:sz w:val="18"/>
                  <w:szCs w:val="18"/>
                  <w:u w:val="single" w:color="auto"/>
                  <w:color w:val="0000EE"/>
                  <w:w w:val="83"/>
                </w:rPr>
                <w:t>3)</w:t>
              </w:r>
              <w:r>
                <w:rPr>
                  <w:rFonts w:ascii="Arial" w:cs="Arial" w:eastAsia="Arial" w:hAnsi="Arial"/>
                  <w:sz w:val="18"/>
                  <w:szCs w:val="18"/>
                  <w:color w:val="0000EE"/>
                  <w:w w:val="83"/>
                </w:rPr>
                <w:t>.</w:t>
              </w:r>
            </w:hyperlink>
          </w:p>
        </w:tc>
        <w:tc>
          <w:tcPr>
            <w:tcW w:w="19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tabs>
          <w:tab w:leader="none" w:pos="3480" w:val="left"/>
        </w:tabs>
        <w:rPr>
          <w:sz w:val="20"/>
          <w:szCs w:val="20"/>
          <w:color w:val="auto"/>
        </w:rPr>
      </w:pPr>
      <w:r>
        <w:rPr>
          <w:rFonts w:ascii="Arial" w:cs="Arial" w:eastAsia="Arial" w:hAnsi="Arial"/>
          <w:sz w:val="18"/>
          <w:szCs w:val="18"/>
          <w:color w:val="auto"/>
        </w:rPr>
        <w:t>Current Report on Form 8-K</w:t>
      </w:r>
      <w:r>
        <w:rPr>
          <w:sz w:val="20"/>
          <w:szCs w:val="20"/>
          <w:color w:val="auto"/>
        </w:rPr>
        <w:tab/>
      </w:r>
      <w:r>
        <w:rPr>
          <w:rFonts w:ascii="Arial" w:cs="Arial" w:eastAsia="Arial" w:hAnsi="Arial"/>
          <w:sz w:val="16"/>
          <w:szCs w:val="16"/>
          <w:color w:val="auto"/>
        </w:rPr>
        <w:t>June 26, 2017</w:t>
      </w:r>
    </w:p>
    <w:p>
      <w:pPr>
        <w:spacing w:after="0" w:line="131"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Annual Report on Form 10-K</w:t>
      </w:r>
      <w:r>
        <w:rPr>
          <w:sz w:val="20"/>
          <w:szCs w:val="20"/>
          <w:color w:val="auto"/>
        </w:rPr>
        <w:tab/>
      </w:r>
      <w:r>
        <w:rPr>
          <w:rFonts w:ascii="Arial" w:cs="Arial" w:eastAsia="Arial" w:hAnsi="Arial"/>
          <w:sz w:val="16"/>
          <w:szCs w:val="16"/>
          <w:color w:val="auto"/>
        </w:rPr>
        <w:t>August 23, 2019</w:t>
      </w:r>
    </w:p>
    <w:p>
      <w:pPr>
        <w:spacing w:after="0" w:line="131"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Current Report on Form 8-K</w:t>
      </w:r>
      <w:r>
        <w:rPr>
          <w:sz w:val="20"/>
          <w:szCs w:val="20"/>
          <w:color w:val="auto"/>
        </w:rPr>
        <w:tab/>
      </w:r>
      <w:r>
        <w:rPr>
          <w:rFonts w:ascii="Arial" w:cs="Arial" w:eastAsia="Arial" w:hAnsi="Arial"/>
          <w:sz w:val="16"/>
          <w:szCs w:val="16"/>
          <w:color w:val="auto"/>
        </w:rPr>
        <w:t>March 11, 2021</w:t>
      </w:r>
    </w:p>
    <w:p>
      <w:pPr>
        <w:spacing w:after="0" w:line="1181" w:lineRule="exact"/>
        <w:rPr>
          <w:sz w:val="20"/>
          <w:szCs w:val="20"/>
          <w:color w:val="auto"/>
        </w:rPr>
      </w:pPr>
    </w:p>
    <w:p>
      <w:pPr>
        <w:sectPr>
          <w:pgSz w:w="11900" w:h="16838" w:orient="portrait"/>
          <w:cols w:equalWidth="0" w:num="2">
            <w:col w:w="5520" w:space="260"/>
            <w:col w:w="5460"/>
          </w:cols>
          <w:pgMar w:left="320" w:top="121" w:right="339" w:bottom="1440" w:gutter="0" w:footer="0" w:header="0"/>
          <w:type w:val="continuous"/>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71"/>
        </w:trPr>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w w:val="93"/>
              </w:rPr>
              <w:t>Incorporated by Reference</w:t>
            </w:r>
          </w:p>
        </w:tc>
        <w:tc>
          <w:tcPr>
            <w:tcW w:w="1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60" w:type="dxa"/>
            <w:vAlign w:val="bottom"/>
            <w:gridSpan w:val="2"/>
            <w:vMerge w:val="continue"/>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0" w:type="dxa"/>
            <w:vAlign w:val="bottom"/>
            <w:gridSpan w:val="28"/>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354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To</w:t>
            </w:r>
          </w:p>
        </w:tc>
        <w:tc>
          <w:tcPr>
            <w:tcW w:w="19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71"/>
        </w:trPr>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gridSpan w:val="28"/>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4060" w:type="dxa"/>
            <w:vAlign w:val="bottom"/>
            <w:tcBorders>
              <w:top w:val="single" w:sz="8" w:color="auto"/>
              <w:bottom w:val="single" w:sz="8" w:color="0000EE"/>
            </w:tcBorders>
            <w:gridSpan w:val="17"/>
          </w:tcPr>
          <w:p>
            <w:pPr>
              <w:spacing w:after="0" w:line="169"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Second Amended and Restated Credit Agreement, dated</w:t>
              </w:r>
            </w:hyperlink>
          </w:p>
        </w:tc>
        <w:tc>
          <w:tcPr>
            <w:tcW w:w="720" w:type="dxa"/>
            <w:vAlign w:val="bottom"/>
            <w:tcBorders>
              <w:top w:val="single" w:sz="8" w:color="auto"/>
            </w:tcBorders>
            <w:gridSpan w:val="16"/>
          </w:tcPr>
          <w:p>
            <w:pPr>
              <w:spacing w:after="0"/>
              <w:rPr>
                <w:sz w:val="14"/>
                <w:szCs w:val="14"/>
                <w:color w:val="auto"/>
              </w:rPr>
            </w:pPr>
          </w:p>
        </w:tc>
        <w:tc>
          <w:tcPr>
            <w:tcW w:w="3540" w:type="dxa"/>
            <w:vAlign w:val="bottom"/>
            <w:tcBorders>
              <w:top w:val="single" w:sz="8" w:color="auto"/>
            </w:tcBorders>
          </w:tcPr>
          <w:p>
            <w:pPr>
              <w:ind w:left="40"/>
              <w:spacing w:after="0" w:line="169" w:lineRule="exact"/>
              <w:rPr>
                <w:sz w:val="20"/>
                <w:szCs w:val="20"/>
                <w:color w:val="auto"/>
              </w:rPr>
            </w:pPr>
            <w:r>
              <w:rPr>
                <w:rFonts w:ascii="Arial" w:cs="Arial" w:eastAsia="Arial" w:hAnsi="Arial"/>
                <w:sz w:val="18"/>
                <w:szCs w:val="18"/>
                <w:color w:val="auto"/>
              </w:rPr>
              <w:t>Current Report on Form 8-K</w:t>
            </w:r>
          </w:p>
        </w:tc>
        <w:tc>
          <w:tcPr>
            <w:tcW w:w="19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March 11, 2021</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gridSpan w:val="33"/>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March 11, 2021, by and among Synaptics Incorporated, as</w:t>
              </w:r>
            </w:hyperlink>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gridSpan w:val="33"/>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borrower, the lenders from time to time party thereto, Wells</w:t>
              </w:r>
            </w:hyperlink>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Fargo Bank, National Association, as administrative agent,</w:t>
              </w:r>
            </w:hyperlink>
          </w:p>
        </w:tc>
        <w:tc>
          <w:tcPr>
            <w:tcW w:w="40" w:type="dxa"/>
            <w:vAlign w:val="bottom"/>
            <w:tcBorders>
              <w:top w:val="single" w:sz="8" w:color="0000EE"/>
            </w:tcBorders>
          </w:tcPr>
          <w:p>
            <w:pPr>
              <w:spacing w:after="0"/>
              <w:rPr>
                <w:sz w:val="17"/>
                <w:szCs w:val="17"/>
                <w:color w:val="auto"/>
              </w:rPr>
            </w:pPr>
          </w:p>
        </w:tc>
        <w:tc>
          <w:tcPr>
            <w:tcW w:w="500" w:type="dxa"/>
            <w:vAlign w:val="bottom"/>
            <w:gridSpan w:val="12"/>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swingline lender and issuing lender, Wells Fargo Securities,</w:t>
              </w:r>
            </w:hyperlink>
          </w:p>
        </w:tc>
        <w:tc>
          <w:tcPr>
            <w:tcW w:w="480" w:type="dxa"/>
            <w:vAlign w:val="bottom"/>
            <w:gridSpan w:val="11"/>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gridSpan w:val="33"/>
          </w:tcPr>
          <w:p>
            <w:pPr>
              <w:spacing w:after="0" w:line="19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LLC, as joint lead arranger and joint bookrunner, MUFG Union</w:t>
              </w:r>
            </w:hyperlink>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Bank, N.A. and BMO Capital Markets Corp., as joint lead</w:t>
              </w:r>
            </w:hyperlink>
          </w:p>
        </w:tc>
        <w:tc>
          <w:tcPr>
            <w:tcW w:w="200" w:type="dxa"/>
            <w:vAlign w:val="bottom"/>
            <w:gridSpan w:val="3"/>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top w:val="single" w:sz="8" w:color="0000EE"/>
            </w:tcBorders>
            <w:gridSpan w:val="18"/>
          </w:tcPr>
          <w:p>
            <w:pPr>
              <w:spacing w:after="0" w:line="196" w:lineRule="exact"/>
              <w:rPr>
                <w:rFonts w:ascii="Arial" w:cs="Arial" w:eastAsia="Arial" w:hAnsi="Arial"/>
                <w:sz w:val="18"/>
                <w:szCs w:val="18"/>
                <w:color w:val="0000EE"/>
                <w:w w:val="94"/>
              </w:rPr>
            </w:pPr>
            <w:hyperlink r:id="rId84">
              <w:r>
                <w:rPr>
                  <w:rFonts w:ascii="Arial" w:cs="Arial" w:eastAsia="Arial" w:hAnsi="Arial"/>
                  <w:sz w:val="18"/>
                  <w:szCs w:val="18"/>
                  <w:color w:val="0000EE"/>
                  <w:w w:val="94"/>
                </w:rPr>
                <w:t>arrangers, joint bookrunners and co-syndication agents</w:t>
              </w:r>
            </w:hyperlink>
          </w:p>
        </w:tc>
        <w:tc>
          <w:tcPr>
            <w:tcW w:w="600" w:type="dxa"/>
            <w:vAlign w:val="bottom"/>
            <w:gridSpan w:val="15"/>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10.2(a)*</w:t>
            </w:r>
          </w:p>
        </w:tc>
        <w:tc>
          <w:tcPr>
            <w:tcW w:w="3940" w:type="dxa"/>
            <w:vAlign w:val="bottom"/>
            <w:tcBorders>
              <w:top w:val="single" w:sz="8" w:color="0000EE"/>
            </w:tcBorders>
            <w:gridSpan w:val="16"/>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Synaptics Incorporated 2019 Inducement Equity Plan</w:t>
              </w:r>
            </w:hyperlink>
          </w:p>
        </w:tc>
        <w:tc>
          <w:tcPr>
            <w:tcW w:w="840" w:type="dxa"/>
            <w:vAlign w:val="bottom"/>
            <w:gridSpan w:val="17"/>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Registration Statement on Form S-8</w:t>
            </w:r>
          </w:p>
        </w:tc>
        <w:tc>
          <w:tcPr>
            <w:tcW w:w="1960" w:type="dxa"/>
            <w:vAlign w:val="bottom"/>
          </w:tcPr>
          <w:p>
            <w:pPr>
              <w:spacing w:after="0"/>
              <w:rPr>
                <w:sz w:val="20"/>
                <w:szCs w:val="20"/>
                <w:color w:val="auto"/>
              </w:rPr>
            </w:pPr>
            <w:r>
              <w:rPr>
                <w:rFonts w:ascii="Arial" w:cs="Arial" w:eastAsia="Arial" w:hAnsi="Arial"/>
                <w:sz w:val="18"/>
                <w:szCs w:val="18"/>
                <w:color w:val="auto"/>
              </w:rPr>
              <w:t>August 16, 2019</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10.2(b)*</w:t>
            </w:r>
          </w:p>
        </w:tc>
        <w:tc>
          <w:tcPr>
            <w:tcW w:w="4780" w:type="dxa"/>
            <w:vAlign w:val="bottom"/>
            <w:gridSpan w:val="33"/>
          </w:tcPr>
          <w:p>
            <w:pPr>
              <w:spacing w:after="0"/>
              <w:rPr>
                <w:rFonts w:ascii="Arial" w:cs="Arial" w:eastAsia="Arial" w:hAnsi="Arial"/>
                <w:sz w:val="18"/>
                <w:szCs w:val="18"/>
                <w:color w:val="0000EE"/>
                <w:w w:val="98"/>
              </w:rPr>
            </w:pPr>
            <w:hyperlink r:id="rId86">
              <w:r>
                <w:rPr>
                  <w:rFonts w:ascii="Arial" w:cs="Arial" w:eastAsia="Arial" w:hAnsi="Arial"/>
                  <w:sz w:val="18"/>
                  <w:szCs w:val="18"/>
                  <w:color w:val="0000EE"/>
                  <w:w w:val="98"/>
                </w:rPr>
                <w:t>Form of Restricted Stock Unit Inducement Award Agreement</w:t>
              </w:r>
            </w:hyperlink>
          </w:p>
        </w:tc>
        <w:tc>
          <w:tcPr>
            <w:tcW w:w="3540" w:type="dxa"/>
            <w:vAlign w:val="bottom"/>
          </w:tcPr>
          <w:p>
            <w:pPr>
              <w:ind w:left="40"/>
              <w:spacing w:after="0"/>
              <w:rPr>
                <w:sz w:val="20"/>
                <w:szCs w:val="20"/>
                <w:color w:val="auto"/>
              </w:rPr>
            </w:pPr>
            <w:r>
              <w:rPr>
                <w:rFonts w:ascii="Arial" w:cs="Arial" w:eastAsia="Arial" w:hAnsi="Arial"/>
                <w:sz w:val="18"/>
                <w:szCs w:val="18"/>
                <w:color w:val="auto"/>
              </w:rPr>
              <w:t>Registration Statement on Form S-8</w:t>
            </w:r>
          </w:p>
        </w:tc>
        <w:tc>
          <w:tcPr>
            <w:tcW w:w="1960" w:type="dxa"/>
            <w:vAlign w:val="bottom"/>
          </w:tcPr>
          <w:p>
            <w:pPr>
              <w:spacing w:after="0"/>
              <w:rPr>
                <w:sz w:val="20"/>
                <w:szCs w:val="20"/>
                <w:color w:val="auto"/>
              </w:rPr>
            </w:pPr>
            <w:r>
              <w:rPr>
                <w:rFonts w:ascii="Arial" w:cs="Arial" w:eastAsia="Arial" w:hAnsi="Arial"/>
                <w:sz w:val="18"/>
                <w:szCs w:val="18"/>
                <w:color w:val="auto"/>
              </w:rPr>
              <w:t>August 16, 2019</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for 2019 Inducement Equity Plan</w:t>
              </w:r>
            </w:hyperlink>
          </w:p>
        </w:tc>
        <w:tc>
          <w:tcPr>
            <w:tcW w:w="2020" w:type="dxa"/>
            <w:vAlign w:val="bottom"/>
            <w:tcBorders>
              <w:top w:val="single" w:sz="8" w:color="0000EE"/>
            </w:tcBorders>
            <w:gridSpan w:val="15"/>
          </w:tcPr>
          <w:p>
            <w:pPr>
              <w:spacing w:after="0"/>
              <w:rPr>
                <w:sz w:val="17"/>
                <w:szCs w:val="17"/>
                <w:color w:val="auto"/>
              </w:rPr>
            </w:pPr>
          </w:p>
        </w:tc>
        <w:tc>
          <w:tcPr>
            <w:tcW w:w="360" w:type="dxa"/>
            <w:vAlign w:val="bottom"/>
            <w:gridSpan w:val="9"/>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10.2(c)*</w:t>
            </w:r>
          </w:p>
        </w:tc>
        <w:tc>
          <w:tcPr>
            <w:tcW w:w="4500" w:type="dxa"/>
            <w:vAlign w:val="bottom"/>
            <w:tcBorders>
              <w:bottom w:val="single" w:sz="8" w:color="0000EE"/>
            </w:tcBorders>
            <w:gridSpan w:val="28"/>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Form of Market Stock Unit Inducement Award Agreement for</w:t>
              </w:r>
            </w:hyperlink>
          </w:p>
        </w:tc>
        <w:tc>
          <w:tcPr>
            <w:tcW w:w="280" w:type="dxa"/>
            <w:vAlign w:val="bottom"/>
            <w:gridSpan w:val="5"/>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Registration Statement on Form S-8</w:t>
            </w:r>
          </w:p>
        </w:tc>
        <w:tc>
          <w:tcPr>
            <w:tcW w:w="1960" w:type="dxa"/>
            <w:vAlign w:val="bottom"/>
          </w:tcPr>
          <w:p>
            <w:pPr>
              <w:spacing w:after="0"/>
              <w:rPr>
                <w:sz w:val="20"/>
                <w:szCs w:val="20"/>
                <w:color w:val="auto"/>
              </w:rPr>
            </w:pPr>
            <w:r>
              <w:rPr>
                <w:rFonts w:ascii="Arial" w:cs="Arial" w:eastAsia="Arial" w:hAnsi="Arial"/>
                <w:sz w:val="18"/>
                <w:szCs w:val="18"/>
                <w:color w:val="auto"/>
              </w:rPr>
              <w:t>August 16, 2019</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2019 Inducement Equity Plan</w:t>
              </w:r>
            </w:hyperlink>
          </w:p>
        </w:tc>
        <w:tc>
          <w:tcPr>
            <w:tcW w:w="2620" w:type="dxa"/>
            <w:vAlign w:val="bottom"/>
            <w:gridSpan w:val="25"/>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10.2(d)*</w:t>
            </w:r>
          </w:p>
        </w:tc>
        <w:tc>
          <w:tcPr>
            <w:tcW w:w="4620" w:type="dxa"/>
            <w:vAlign w:val="bottom"/>
            <w:tcBorders>
              <w:bottom w:val="single" w:sz="8" w:color="0000EE"/>
            </w:tcBorders>
            <w:gridSpan w:val="31"/>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Form of Performance Stock Unit Inducement Award Agreement</w:t>
              </w:r>
            </w:hyperlink>
          </w:p>
        </w:tc>
        <w:tc>
          <w:tcPr>
            <w:tcW w:w="160" w:type="dxa"/>
            <w:vAlign w:val="bottom"/>
            <w:gridSpan w:val="2"/>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Registration Statement on Form S-8</w:t>
            </w:r>
          </w:p>
        </w:tc>
        <w:tc>
          <w:tcPr>
            <w:tcW w:w="1960" w:type="dxa"/>
            <w:vAlign w:val="bottom"/>
          </w:tcPr>
          <w:p>
            <w:pPr>
              <w:spacing w:after="0"/>
              <w:rPr>
                <w:sz w:val="20"/>
                <w:szCs w:val="20"/>
                <w:color w:val="auto"/>
              </w:rPr>
            </w:pPr>
            <w:r>
              <w:rPr>
                <w:rFonts w:ascii="Arial" w:cs="Arial" w:eastAsia="Arial" w:hAnsi="Arial"/>
                <w:sz w:val="18"/>
                <w:szCs w:val="18"/>
                <w:color w:val="auto"/>
              </w:rPr>
              <w:t>August 16, 2019</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for 2019 Inducement Equity Plan</w:t>
              </w:r>
            </w:hyperlink>
          </w:p>
        </w:tc>
        <w:tc>
          <w:tcPr>
            <w:tcW w:w="2380" w:type="dxa"/>
            <w:vAlign w:val="bottom"/>
            <w:gridSpan w:val="24"/>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10.3(a)*</w:t>
            </w:r>
          </w:p>
        </w:tc>
        <w:tc>
          <w:tcPr>
            <w:tcW w:w="4780" w:type="dxa"/>
            <w:vAlign w:val="bottom"/>
            <w:gridSpan w:val="33"/>
          </w:tcPr>
          <w:p>
            <w:pPr>
              <w:spacing w:after="0"/>
              <w:rPr>
                <w:rFonts w:ascii="Arial" w:cs="Arial" w:eastAsia="Arial" w:hAnsi="Arial"/>
                <w:sz w:val="18"/>
                <w:szCs w:val="18"/>
                <w:color w:val="0000EE"/>
              </w:rPr>
            </w:pPr>
            <w:hyperlink r:id="rId89">
              <w:r>
                <w:rPr>
                  <w:rFonts w:ascii="Arial" w:cs="Arial" w:eastAsia="Arial" w:hAnsi="Arial"/>
                  <w:sz w:val="18"/>
                  <w:szCs w:val="18"/>
                  <w:color w:val="0000EE"/>
                </w:rPr>
                <w:t>2019 Equity and Incentive Compensation Plan</w:t>
              </w:r>
            </w:hyperlink>
          </w:p>
        </w:tc>
        <w:tc>
          <w:tcPr>
            <w:tcW w:w="3540" w:type="dxa"/>
            <w:vAlign w:val="bottom"/>
          </w:tcPr>
          <w:p>
            <w:pPr>
              <w:ind w:left="40"/>
              <w:spacing w:after="0"/>
              <w:rPr>
                <w:sz w:val="20"/>
                <w:szCs w:val="20"/>
                <w:color w:val="auto"/>
              </w:rPr>
            </w:pPr>
            <w:r>
              <w:rPr>
                <w:rFonts w:ascii="Arial" w:cs="Arial" w:eastAsia="Arial" w:hAnsi="Arial"/>
                <w:sz w:val="18"/>
                <w:szCs w:val="18"/>
                <w:color w:val="auto"/>
              </w:rPr>
              <w:t>Registration Statement on Form S-8</w:t>
            </w:r>
          </w:p>
        </w:tc>
        <w:tc>
          <w:tcPr>
            <w:tcW w:w="1960" w:type="dxa"/>
            <w:vAlign w:val="bottom"/>
          </w:tcPr>
          <w:p>
            <w:pPr>
              <w:spacing w:after="0"/>
              <w:rPr>
                <w:sz w:val="20"/>
                <w:szCs w:val="20"/>
                <w:color w:val="auto"/>
              </w:rPr>
            </w:pPr>
            <w:r>
              <w:rPr>
                <w:rFonts w:ascii="Arial" w:cs="Arial" w:eastAsia="Arial" w:hAnsi="Arial"/>
                <w:sz w:val="18"/>
                <w:szCs w:val="18"/>
                <w:color w:val="auto"/>
              </w:rPr>
              <w:t>November 1, 2019</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10.3(b)*</w:t>
            </w:r>
          </w:p>
        </w:tc>
        <w:tc>
          <w:tcPr>
            <w:tcW w:w="3620" w:type="dxa"/>
            <w:vAlign w:val="bottom"/>
            <w:tcBorders>
              <w:bottom w:val="single" w:sz="8" w:color="0000EE"/>
            </w:tcBorders>
            <w:gridSpan w:val="14"/>
          </w:tcPr>
          <w:p>
            <w:pPr>
              <w:spacing w:after="0"/>
              <w:rPr>
                <w:rFonts w:ascii="Arial" w:cs="Arial" w:eastAsia="Arial" w:hAnsi="Arial"/>
                <w:sz w:val="18"/>
                <w:szCs w:val="18"/>
                <w:color w:val="0000EE"/>
                <w:w w:val="89"/>
              </w:rPr>
            </w:pPr>
            <w:hyperlink r:id="rId90">
              <w:r>
                <w:rPr>
                  <w:rFonts w:ascii="Arial" w:cs="Arial" w:eastAsia="Arial" w:hAnsi="Arial"/>
                  <w:sz w:val="18"/>
                  <w:szCs w:val="18"/>
                  <w:color w:val="0000EE"/>
                  <w:w w:val="89"/>
                </w:rPr>
                <w:t>Amended and Restated 2019 Equity and Incentive</w:t>
              </w:r>
            </w:hyperlink>
          </w:p>
        </w:tc>
        <w:tc>
          <w:tcPr>
            <w:tcW w:w="1160" w:type="dxa"/>
            <w:vAlign w:val="bottom"/>
            <w:gridSpan w:val="19"/>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c>
          <w:tcPr>
            <w:tcW w:w="1960" w:type="dxa"/>
            <w:vAlign w:val="bottom"/>
          </w:tcPr>
          <w:p>
            <w:pPr>
              <w:spacing w:after="0"/>
              <w:rPr>
                <w:sz w:val="20"/>
                <w:szCs w:val="20"/>
                <w:color w:val="auto"/>
              </w:rPr>
            </w:pPr>
            <w:r>
              <w:rPr>
                <w:rFonts w:ascii="Arial" w:cs="Arial" w:eastAsia="Arial" w:hAnsi="Arial"/>
                <w:sz w:val="18"/>
                <w:szCs w:val="18"/>
                <w:color w:val="auto"/>
              </w:rPr>
              <w:t>October 29, 2020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90">
              <w:r>
                <w:rPr>
                  <w:rFonts w:ascii="Arial" w:cs="Arial" w:eastAsia="Arial" w:hAnsi="Arial"/>
                  <w:sz w:val="18"/>
                  <w:szCs w:val="18"/>
                  <w:color w:val="0000EE"/>
                  <w:w w:val="87"/>
                </w:rPr>
                <w:t>Compensation Plan</w:t>
              </w:r>
            </w:hyperlink>
          </w:p>
        </w:tc>
        <w:tc>
          <w:tcPr>
            <w:tcW w:w="3380" w:type="dxa"/>
            <w:vAlign w:val="bottom"/>
            <w:gridSpan w:val="32"/>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10.3(c)*</w:t>
            </w:r>
          </w:p>
        </w:tc>
        <w:tc>
          <w:tcPr>
            <w:tcW w:w="4660" w:type="dxa"/>
            <w:vAlign w:val="bottom"/>
            <w:tcBorders>
              <w:bottom w:val="single" w:sz="8" w:color="0000EE"/>
            </w:tcBorders>
            <w:gridSpan w:val="32"/>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Form of Restricted Stock Unit Award Agreement under the 2019</w:t>
              </w:r>
            </w:hyperlink>
          </w:p>
        </w:tc>
        <w:tc>
          <w:tcPr>
            <w:tcW w:w="120" w:type="dxa"/>
            <w:vAlign w:val="bottom"/>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Registration Statement on Form S-8</w:t>
            </w:r>
          </w:p>
        </w:tc>
        <w:tc>
          <w:tcPr>
            <w:tcW w:w="1960" w:type="dxa"/>
            <w:vAlign w:val="bottom"/>
          </w:tcPr>
          <w:p>
            <w:pPr>
              <w:spacing w:after="0"/>
              <w:rPr>
                <w:sz w:val="20"/>
                <w:szCs w:val="20"/>
                <w:color w:val="auto"/>
              </w:rPr>
            </w:pPr>
            <w:r>
              <w:rPr>
                <w:rFonts w:ascii="Arial" w:cs="Arial" w:eastAsia="Arial" w:hAnsi="Arial"/>
                <w:sz w:val="18"/>
                <w:szCs w:val="18"/>
                <w:color w:val="auto"/>
              </w:rPr>
              <w:t>November 1, 2019</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Equity and Incentive Compensation Plan (for awards granted</w:t>
              </w:r>
            </w:hyperlink>
          </w:p>
        </w:tc>
        <w:tc>
          <w:tcPr>
            <w:tcW w:w="380" w:type="dxa"/>
            <w:vAlign w:val="bottom"/>
            <w:gridSpan w:val="10"/>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before July 27, 2021)</w:t>
              </w:r>
            </w:hyperlink>
          </w:p>
        </w:tc>
        <w:tc>
          <w:tcPr>
            <w:tcW w:w="3240" w:type="dxa"/>
            <w:vAlign w:val="bottom"/>
            <w:gridSpan w:val="29"/>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10.3(d)*</w:t>
            </w:r>
          </w:p>
        </w:tc>
        <w:tc>
          <w:tcPr>
            <w:tcW w:w="4780" w:type="dxa"/>
            <w:vAlign w:val="bottom"/>
            <w:gridSpan w:val="33"/>
          </w:tcPr>
          <w:p>
            <w:pPr>
              <w:spacing w:after="0"/>
              <w:rPr>
                <w:rFonts w:ascii="Arial" w:cs="Arial" w:eastAsia="Arial" w:hAnsi="Arial"/>
                <w:sz w:val="18"/>
                <w:szCs w:val="18"/>
                <w:color w:val="0000EE"/>
                <w:w w:val="97"/>
              </w:rPr>
            </w:pPr>
            <w:hyperlink r:id="rId92">
              <w:r>
                <w:rPr>
                  <w:rFonts w:ascii="Arial" w:cs="Arial" w:eastAsia="Arial" w:hAnsi="Arial"/>
                  <w:sz w:val="18"/>
                  <w:szCs w:val="18"/>
                  <w:color w:val="0000EE"/>
                  <w:w w:val="97"/>
                </w:rPr>
                <w:t>Form of Performance Stock Unit Award Agreement under the</w:t>
              </w:r>
            </w:hyperlink>
          </w:p>
        </w:tc>
        <w:tc>
          <w:tcPr>
            <w:tcW w:w="3540" w:type="dxa"/>
            <w:vAlign w:val="bottom"/>
          </w:tcPr>
          <w:p>
            <w:pPr>
              <w:ind w:left="40"/>
              <w:spacing w:after="0"/>
              <w:rPr>
                <w:sz w:val="20"/>
                <w:szCs w:val="20"/>
                <w:color w:val="auto"/>
              </w:rPr>
            </w:pPr>
            <w:r>
              <w:rPr>
                <w:rFonts w:ascii="Arial" w:cs="Arial" w:eastAsia="Arial" w:hAnsi="Arial"/>
                <w:sz w:val="18"/>
                <w:szCs w:val="18"/>
                <w:color w:val="auto"/>
              </w:rPr>
              <w:t>Registration Statement on Form S-8</w:t>
            </w:r>
          </w:p>
        </w:tc>
        <w:tc>
          <w:tcPr>
            <w:tcW w:w="1960" w:type="dxa"/>
            <w:vAlign w:val="bottom"/>
          </w:tcPr>
          <w:p>
            <w:pPr>
              <w:spacing w:after="0"/>
              <w:rPr>
                <w:sz w:val="20"/>
                <w:szCs w:val="20"/>
                <w:color w:val="auto"/>
              </w:rPr>
            </w:pPr>
            <w:r>
              <w:rPr>
                <w:rFonts w:ascii="Arial" w:cs="Arial" w:eastAsia="Arial" w:hAnsi="Arial"/>
                <w:sz w:val="18"/>
                <w:szCs w:val="18"/>
                <w:color w:val="auto"/>
              </w:rPr>
              <w:t>November 1, 2019</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2019 Equity and Incentive Compensation Plan (for awards</w:t>
              </w:r>
            </w:hyperlink>
          </w:p>
        </w:tc>
        <w:tc>
          <w:tcPr>
            <w:tcW w:w="220" w:type="dxa"/>
            <w:vAlign w:val="bottom"/>
            <w:tcBorders>
              <w:top w:val="single" w:sz="8" w:color="0000EE"/>
            </w:tcBorders>
            <w:gridSpan w:val="6"/>
          </w:tcPr>
          <w:p>
            <w:pPr>
              <w:spacing w:after="0"/>
              <w:rPr>
                <w:sz w:val="17"/>
                <w:szCs w:val="17"/>
                <w:color w:val="auto"/>
              </w:rPr>
            </w:pPr>
          </w:p>
        </w:tc>
        <w:tc>
          <w:tcPr>
            <w:tcW w:w="340" w:type="dxa"/>
            <w:vAlign w:val="bottom"/>
            <w:gridSpan w:val="8"/>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granted before July 27, 2021)</w:t>
              </w:r>
            </w:hyperlink>
          </w:p>
        </w:tc>
        <w:tc>
          <w:tcPr>
            <w:tcW w:w="2640" w:type="dxa"/>
            <w:vAlign w:val="bottom"/>
            <w:gridSpan w:val="26"/>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10.3(e)*</w:t>
            </w:r>
          </w:p>
        </w:tc>
        <w:tc>
          <w:tcPr>
            <w:tcW w:w="4460" w:type="dxa"/>
            <w:vAlign w:val="bottom"/>
            <w:tcBorders>
              <w:bottom w:val="single" w:sz="8" w:color="0000EE"/>
            </w:tcBorders>
            <w:gridSpan w:val="26"/>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Form of Market Stock Unit Award Agreement under the 2019</w:t>
              </w:r>
            </w:hyperlink>
          </w:p>
        </w:tc>
        <w:tc>
          <w:tcPr>
            <w:tcW w:w="320" w:type="dxa"/>
            <w:vAlign w:val="bottom"/>
            <w:gridSpan w:val="7"/>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Registration Statement on Form S-8</w:t>
            </w:r>
          </w:p>
        </w:tc>
        <w:tc>
          <w:tcPr>
            <w:tcW w:w="1960" w:type="dxa"/>
            <w:vAlign w:val="bottom"/>
          </w:tcPr>
          <w:p>
            <w:pPr>
              <w:spacing w:after="0"/>
              <w:rPr>
                <w:sz w:val="20"/>
                <w:szCs w:val="20"/>
                <w:color w:val="auto"/>
              </w:rPr>
            </w:pPr>
            <w:r>
              <w:rPr>
                <w:rFonts w:ascii="Arial" w:cs="Arial" w:eastAsia="Arial" w:hAnsi="Arial"/>
                <w:sz w:val="18"/>
                <w:szCs w:val="18"/>
                <w:color w:val="auto"/>
              </w:rPr>
              <w:t>November 1, 2019</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gridSpan w:val="33"/>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Equity and Incentive Compensation Plan</w:t>
              </w:r>
            </w:hyperlink>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10.3(f)*</w:t>
            </w:r>
          </w:p>
        </w:tc>
        <w:tc>
          <w:tcPr>
            <w:tcW w:w="4660" w:type="dxa"/>
            <w:vAlign w:val="bottom"/>
            <w:tcBorders>
              <w:bottom w:val="single" w:sz="8" w:color="0000EE"/>
            </w:tcBorders>
            <w:gridSpan w:val="32"/>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Form of Restricted Stock Unit Award Agreement under the 2019</w:t>
              </w:r>
            </w:hyperlink>
          </w:p>
        </w:tc>
        <w:tc>
          <w:tcPr>
            <w:tcW w:w="120" w:type="dxa"/>
            <w:vAlign w:val="bottom"/>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Equity and Incentive Compensation Plan (for awards granted</w:t>
              </w:r>
            </w:hyperlink>
          </w:p>
        </w:tc>
        <w:tc>
          <w:tcPr>
            <w:tcW w:w="380" w:type="dxa"/>
            <w:vAlign w:val="bottom"/>
            <w:gridSpan w:val="10"/>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after July 27, 2021)</w:t>
              </w:r>
            </w:hyperlink>
          </w:p>
        </w:tc>
        <w:tc>
          <w:tcPr>
            <w:tcW w:w="3340" w:type="dxa"/>
            <w:vAlign w:val="bottom"/>
            <w:gridSpan w:val="30"/>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10.3(g)*</w:t>
            </w:r>
          </w:p>
        </w:tc>
        <w:tc>
          <w:tcPr>
            <w:tcW w:w="4780" w:type="dxa"/>
            <w:vAlign w:val="bottom"/>
            <w:gridSpan w:val="33"/>
          </w:tcPr>
          <w:p>
            <w:pPr>
              <w:spacing w:after="0"/>
              <w:rPr>
                <w:rFonts w:ascii="Arial" w:cs="Arial" w:eastAsia="Arial" w:hAnsi="Arial"/>
                <w:sz w:val="18"/>
                <w:szCs w:val="18"/>
                <w:color w:val="0000EE"/>
                <w:w w:val="97"/>
              </w:rPr>
            </w:pPr>
            <w:hyperlink w:anchor="page103">
              <w:r>
                <w:rPr>
                  <w:rFonts w:ascii="Arial" w:cs="Arial" w:eastAsia="Arial" w:hAnsi="Arial"/>
                  <w:sz w:val="18"/>
                  <w:szCs w:val="18"/>
                  <w:color w:val="0000EE"/>
                  <w:w w:val="97"/>
                </w:rPr>
                <w:t>Form of Performance Stock Unit Award Agreement under the</w:t>
              </w:r>
            </w:hyperlink>
          </w:p>
        </w:tc>
        <w:tc>
          <w:tcPr>
            <w:tcW w:w="35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2019 Equity and Incentive Compensation Plan (for awards</w:t>
              </w:r>
            </w:hyperlink>
          </w:p>
        </w:tc>
        <w:tc>
          <w:tcPr>
            <w:tcW w:w="220" w:type="dxa"/>
            <w:vAlign w:val="bottom"/>
            <w:tcBorders>
              <w:top w:val="single" w:sz="8" w:color="0000EE"/>
            </w:tcBorders>
            <w:gridSpan w:val="6"/>
          </w:tcPr>
          <w:p>
            <w:pPr>
              <w:spacing w:after="0"/>
              <w:rPr>
                <w:sz w:val="17"/>
                <w:szCs w:val="17"/>
                <w:color w:val="auto"/>
              </w:rPr>
            </w:pPr>
          </w:p>
        </w:tc>
        <w:tc>
          <w:tcPr>
            <w:tcW w:w="340" w:type="dxa"/>
            <w:vAlign w:val="bottom"/>
            <w:gridSpan w:val="8"/>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gridSpan w:val="33"/>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granted after July 27, 2021)</w:t>
              </w:r>
            </w:hyperlink>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780" w:type="dxa"/>
            <w:vAlign w:val="bottom"/>
            <w:gridSpan w:val="33"/>
          </w:tcPr>
          <w:p>
            <w:pPr>
              <w:spacing w:after="0"/>
              <w:rPr>
                <w:rFonts w:ascii="Arial" w:cs="Arial" w:eastAsia="Arial" w:hAnsi="Arial"/>
                <w:sz w:val="18"/>
                <w:szCs w:val="18"/>
                <w:color w:val="0000EE"/>
              </w:rPr>
            </w:pPr>
            <w:hyperlink r:id="rId94">
              <w:r>
                <w:rPr>
                  <w:rFonts w:ascii="Arial" w:cs="Arial" w:eastAsia="Arial" w:hAnsi="Arial"/>
                  <w:sz w:val="18"/>
                  <w:szCs w:val="18"/>
                  <w:color w:val="0000EE"/>
                </w:rPr>
                <w:t>2019 Employee Stock Purchase Plan</w:t>
              </w:r>
            </w:hyperlink>
          </w:p>
        </w:tc>
        <w:tc>
          <w:tcPr>
            <w:tcW w:w="3540" w:type="dxa"/>
            <w:vAlign w:val="bottom"/>
          </w:tcPr>
          <w:p>
            <w:pPr>
              <w:ind w:left="40"/>
              <w:spacing w:after="0"/>
              <w:rPr>
                <w:sz w:val="20"/>
                <w:szCs w:val="20"/>
                <w:color w:val="auto"/>
              </w:rPr>
            </w:pPr>
            <w:r>
              <w:rPr>
                <w:rFonts w:ascii="Arial" w:cs="Arial" w:eastAsia="Arial" w:hAnsi="Arial"/>
                <w:sz w:val="18"/>
                <w:szCs w:val="18"/>
                <w:color w:val="auto"/>
              </w:rPr>
              <w:t>Registration Statement on Form S-8</w:t>
            </w:r>
          </w:p>
        </w:tc>
        <w:tc>
          <w:tcPr>
            <w:tcW w:w="1960" w:type="dxa"/>
            <w:vAlign w:val="bottom"/>
          </w:tcPr>
          <w:p>
            <w:pPr>
              <w:spacing w:after="0"/>
              <w:rPr>
                <w:sz w:val="20"/>
                <w:szCs w:val="20"/>
                <w:color w:val="auto"/>
              </w:rPr>
            </w:pPr>
            <w:r>
              <w:rPr>
                <w:rFonts w:ascii="Arial" w:cs="Arial" w:eastAsia="Arial" w:hAnsi="Arial"/>
                <w:sz w:val="18"/>
                <w:szCs w:val="18"/>
                <w:color w:val="auto"/>
              </w:rPr>
              <w:t>November 1, 2019</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10.5(a)*</w:t>
            </w:r>
          </w:p>
        </w:tc>
        <w:tc>
          <w:tcPr>
            <w:tcW w:w="4480" w:type="dxa"/>
            <w:vAlign w:val="bottom"/>
            <w:tcBorders>
              <w:bottom w:val="single" w:sz="8" w:color="0000EE"/>
            </w:tcBorders>
            <w:gridSpan w:val="27"/>
          </w:tcPr>
          <w:p>
            <w:pPr>
              <w:spacing w:after="0"/>
              <w:rPr>
                <w:rFonts w:ascii="Arial" w:cs="Arial" w:eastAsia="Arial" w:hAnsi="Arial"/>
                <w:sz w:val="18"/>
                <w:szCs w:val="18"/>
                <w:color w:val="0000EE"/>
                <w:w w:val="88"/>
              </w:rPr>
            </w:pPr>
            <w:hyperlink r:id="rId95">
              <w:r>
                <w:rPr>
                  <w:rFonts w:ascii="Arial" w:cs="Arial" w:eastAsia="Arial" w:hAnsi="Arial"/>
                  <w:sz w:val="18"/>
                  <w:szCs w:val="18"/>
                  <w:color w:val="0000EE"/>
                  <w:w w:val="88"/>
                </w:rPr>
                <w:t>Amended and Restated 2010 Incentive Compensation Plan, as</w:t>
              </w:r>
            </w:hyperlink>
          </w:p>
        </w:tc>
        <w:tc>
          <w:tcPr>
            <w:tcW w:w="300" w:type="dxa"/>
            <w:vAlign w:val="bottom"/>
            <w:gridSpan w:val="6"/>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c>
          <w:tcPr>
            <w:tcW w:w="1960" w:type="dxa"/>
            <w:vAlign w:val="bottom"/>
          </w:tcPr>
          <w:p>
            <w:pPr>
              <w:spacing w:after="0"/>
              <w:rPr>
                <w:sz w:val="20"/>
                <w:szCs w:val="20"/>
                <w:color w:val="auto"/>
              </w:rPr>
            </w:pPr>
            <w:r>
              <w:rPr>
                <w:rFonts w:ascii="Arial" w:cs="Arial" w:eastAsia="Arial" w:hAnsi="Arial"/>
                <w:sz w:val="18"/>
                <w:szCs w:val="18"/>
                <w:color w:val="auto"/>
              </w:rPr>
              <w:t>November 1, 2018</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amended effective on October 30, 2018</w:t>
              </w:r>
            </w:hyperlink>
          </w:p>
        </w:tc>
        <w:tc>
          <w:tcPr>
            <w:tcW w:w="1940" w:type="dxa"/>
            <w:vAlign w:val="bottom"/>
            <w:gridSpan w:val="22"/>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10.5(b)*</w:t>
            </w:r>
          </w:p>
        </w:tc>
        <w:tc>
          <w:tcPr>
            <w:tcW w:w="4180" w:type="dxa"/>
            <w:vAlign w:val="bottom"/>
            <w:tcBorders>
              <w:bottom w:val="single" w:sz="8" w:color="0000EE"/>
            </w:tcBorders>
            <w:gridSpan w:val="18"/>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Form of Non-Qualified Stock Option Agreement for 2010</w:t>
              </w:r>
            </w:hyperlink>
          </w:p>
        </w:tc>
        <w:tc>
          <w:tcPr>
            <w:tcW w:w="600" w:type="dxa"/>
            <w:vAlign w:val="bottom"/>
            <w:gridSpan w:val="15"/>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1960" w:type="dxa"/>
            <w:vAlign w:val="bottom"/>
          </w:tcPr>
          <w:p>
            <w:pPr>
              <w:spacing w:after="0"/>
              <w:rPr>
                <w:sz w:val="20"/>
                <w:szCs w:val="20"/>
                <w:color w:val="auto"/>
              </w:rPr>
            </w:pPr>
            <w:r>
              <w:rPr>
                <w:rFonts w:ascii="Arial" w:cs="Arial" w:eastAsia="Arial" w:hAnsi="Arial"/>
                <w:sz w:val="18"/>
                <w:szCs w:val="18"/>
                <w:color w:val="auto"/>
              </w:rPr>
              <w:t>August 18, 2017</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Incentive Compensation Plan</w:t>
              </w:r>
            </w:hyperlink>
          </w:p>
        </w:tc>
        <w:tc>
          <w:tcPr>
            <w:tcW w:w="2660" w:type="dxa"/>
            <w:vAlign w:val="bottom"/>
            <w:gridSpan w:val="27"/>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10.5(c)*</w:t>
            </w:r>
          </w:p>
        </w:tc>
        <w:tc>
          <w:tcPr>
            <w:tcW w:w="4520" w:type="dxa"/>
            <w:vAlign w:val="bottom"/>
            <w:tcBorders>
              <w:bottom w:val="single" w:sz="8" w:color="0000EE"/>
            </w:tcBorders>
            <w:gridSpan w:val="29"/>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Form of Incentive Stock Option Agreement for 2010 Incentive</w:t>
              </w:r>
            </w:hyperlink>
          </w:p>
        </w:tc>
        <w:tc>
          <w:tcPr>
            <w:tcW w:w="260" w:type="dxa"/>
            <w:vAlign w:val="bottom"/>
            <w:gridSpan w:val="4"/>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c>
          <w:tcPr>
            <w:tcW w:w="1960" w:type="dxa"/>
            <w:vAlign w:val="bottom"/>
          </w:tcPr>
          <w:p>
            <w:pPr>
              <w:spacing w:after="0"/>
              <w:rPr>
                <w:sz w:val="20"/>
                <w:szCs w:val="20"/>
                <w:color w:val="auto"/>
              </w:rPr>
            </w:pPr>
            <w:r>
              <w:rPr>
                <w:rFonts w:ascii="Arial" w:cs="Arial" w:eastAsia="Arial" w:hAnsi="Arial"/>
                <w:sz w:val="18"/>
                <w:szCs w:val="18"/>
                <w:color w:val="auto"/>
              </w:rPr>
              <w:t>October 22, 2010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Compensation Plan</w:t>
              </w:r>
            </w:hyperlink>
          </w:p>
        </w:tc>
        <w:tc>
          <w:tcPr>
            <w:tcW w:w="3360" w:type="dxa"/>
            <w:vAlign w:val="bottom"/>
            <w:gridSpan w:val="31"/>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10.5(d)*</w:t>
            </w:r>
          </w:p>
        </w:tc>
        <w:tc>
          <w:tcPr>
            <w:tcW w:w="4460" w:type="dxa"/>
            <w:vAlign w:val="bottom"/>
            <w:tcBorders>
              <w:bottom w:val="single" w:sz="8" w:color="0000EE"/>
            </w:tcBorders>
            <w:gridSpan w:val="26"/>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Form of Deferred Stock Award Agreement for 2010 Incentive</w:t>
              </w:r>
            </w:hyperlink>
          </w:p>
        </w:tc>
        <w:tc>
          <w:tcPr>
            <w:tcW w:w="320" w:type="dxa"/>
            <w:vAlign w:val="bottom"/>
            <w:gridSpan w:val="7"/>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1960" w:type="dxa"/>
            <w:vAlign w:val="bottom"/>
          </w:tcPr>
          <w:p>
            <w:pPr>
              <w:spacing w:after="0"/>
              <w:rPr>
                <w:sz w:val="20"/>
                <w:szCs w:val="20"/>
                <w:color w:val="auto"/>
              </w:rPr>
            </w:pPr>
            <w:r>
              <w:rPr>
                <w:rFonts w:ascii="Arial" w:cs="Arial" w:eastAsia="Arial" w:hAnsi="Arial"/>
                <w:sz w:val="18"/>
                <w:szCs w:val="18"/>
                <w:color w:val="auto"/>
              </w:rPr>
              <w:t>August 18, 2017</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98">
              <w:r>
                <w:rPr>
                  <w:rFonts w:ascii="Arial" w:cs="Arial" w:eastAsia="Arial" w:hAnsi="Arial"/>
                  <w:sz w:val="18"/>
                  <w:szCs w:val="18"/>
                  <w:color w:val="0000EE"/>
                  <w:w w:val="87"/>
                </w:rPr>
                <w:t>Compensation Plan</w:t>
              </w:r>
            </w:hyperlink>
          </w:p>
        </w:tc>
        <w:tc>
          <w:tcPr>
            <w:tcW w:w="3380" w:type="dxa"/>
            <w:vAlign w:val="bottom"/>
            <w:gridSpan w:val="32"/>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33"/>
          </w:tcPr>
          <w:p>
            <w:pPr>
              <w:ind w:left="4580"/>
              <w:spacing w:after="0"/>
              <w:rPr>
                <w:sz w:val="20"/>
                <w:szCs w:val="20"/>
                <w:color w:val="auto"/>
              </w:rPr>
            </w:pPr>
            <w:r>
              <w:rPr>
                <w:rFonts w:ascii="Arial" w:cs="Arial" w:eastAsia="Arial" w:hAnsi="Arial"/>
                <w:sz w:val="18"/>
                <w:szCs w:val="18"/>
                <w:color w:val="auto"/>
                <w:w w:val="89"/>
              </w:rPr>
              <w:t>51</w:t>
            </w:r>
          </w:p>
        </w:tc>
        <w:tc>
          <w:tcPr>
            <w:tcW w:w="3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1"/>
        </w:trPr>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w w:val="93"/>
              </w:rPr>
              <w:t>Incorporated by Reference</w:t>
            </w:r>
          </w:p>
        </w:tc>
        <w:tc>
          <w:tcPr>
            <w:tcW w:w="1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gridSpan w:val="22"/>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354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To</w:t>
            </w:r>
          </w:p>
        </w:tc>
        <w:tc>
          <w:tcPr>
            <w:tcW w:w="19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71"/>
        </w:trPr>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22"/>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10.5(e)*</w:t>
            </w:r>
          </w:p>
        </w:tc>
        <w:tc>
          <w:tcPr>
            <w:tcW w:w="120" w:type="dxa"/>
            <w:vAlign w:val="bottom"/>
          </w:tcPr>
          <w:p>
            <w:pPr>
              <w:spacing w:after="0"/>
              <w:rPr>
                <w:sz w:val="14"/>
                <w:szCs w:val="14"/>
                <w:color w:val="auto"/>
              </w:rPr>
            </w:pPr>
          </w:p>
        </w:tc>
        <w:tc>
          <w:tcPr>
            <w:tcW w:w="4360" w:type="dxa"/>
            <w:vAlign w:val="bottom"/>
            <w:tcBorders>
              <w:top w:val="single" w:sz="8" w:color="auto"/>
              <w:bottom w:val="single" w:sz="8" w:color="0000EE"/>
            </w:tcBorders>
            <w:gridSpan w:val="22"/>
          </w:tcPr>
          <w:p>
            <w:pPr>
              <w:spacing w:after="0" w:line="169"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Form of Deferred Stock Award Agreement for Market Stock</w:t>
              </w:r>
            </w:hyperlink>
          </w:p>
        </w:tc>
        <w:tc>
          <w:tcPr>
            <w:tcW w:w="420" w:type="dxa"/>
            <w:vAlign w:val="bottom"/>
            <w:tcBorders>
              <w:top w:val="single" w:sz="8" w:color="auto"/>
            </w:tcBorders>
            <w:gridSpan w:val="9"/>
          </w:tcPr>
          <w:p>
            <w:pPr>
              <w:spacing w:after="0"/>
              <w:rPr>
                <w:sz w:val="14"/>
                <w:szCs w:val="14"/>
                <w:color w:val="auto"/>
              </w:rPr>
            </w:pPr>
          </w:p>
        </w:tc>
        <w:tc>
          <w:tcPr>
            <w:tcW w:w="3540" w:type="dxa"/>
            <w:vAlign w:val="bottom"/>
            <w:tcBorders>
              <w:top w:val="single" w:sz="8" w:color="auto"/>
            </w:tcBorders>
          </w:tcPr>
          <w:p>
            <w:pPr>
              <w:ind w:left="40"/>
              <w:spacing w:after="0" w:line="169" w:lineRule="exact"/>
              <w:rPr>
                <w:sz w:val="20"/>
                <w:szCs w:val="20"/>
                <w:color w:val="auto"/>
              </w:rPr>
            </w:pPr>
            <w:r>
              <w:rPr>
                <w:rFonts w:ascii="Arial" w:cs="Arial" w:eastAsia="Arial" w:hAnsi="Arial"/>
                <w:sz w:val="18"/>
                <w:szCs w:val="18"/>
                <w:color w:val="auto"/>
              </w:rPr>
              <w:t>Quarterly Report on Form 10-Q</w:t>
            </w:r>
          </w:p>
        </w:tc>
        <w:tc>
          <w:tcPr>
            <w:tcW w:w="19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February 8, 2018</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Units for Amended and Restated 2010 Incentive Compensation</w:t>
              </w:r>
            </w:hyperlink>
          </w:p>
        </w:tc>
        <w:tc>
          <w:tcPr>
            <w:tcW w:w="220" w:type="dxa"/>
            <w:vAlign w:val="bottom"/>
            <w:gridSpan w:val="4"/>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3"/>
              </w:rPr>
            </w:pPr>
            <w:hyperlink r:id="rId101">
              <w:r>
                <w:rPr>
                  <w:rFonts w:ascii="Arial" w:cs="Arial" w:eastAsia="Arial" w:hAnsi="Arial"/>
                  <w:sz w:val="18"/>
                  <w:szCs w:val="18"/>
                  <w:color w:val="0000EE"/>
                  <w:w w:val="83"/>
                </w:rPr>
                <w:t>Plan</w:t>
              </w:r>
            </w:hyperlink>
          </w:p>
        </w:tc>
        <w:tc>
          <w:tcPr>
            <w:tcW w:w="4460" w:type="dxa"/>
            <w:vAlign w:val="bottom"/>
            <w:gridSpan w:val="30"/>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10.5(f)*</w:t>
            </w:r>
          </w:p>
        </w:tc>
        <w:tc>
          <w:tcPr>
            <w:tcW w:w="4300" w:type="dxa"/>
            <w:vAlign w:val="bottom"/>
            <w:tcBorders>
              <w:bottom w:val="single" w:sz="8" w:color="0000EE"/>
            </w:tcBorders>
            <w:gridSpan w:val="19"/>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Form of Deferred Stock Award Agreement for Performance</w:t>
              </w:r>
            </w:hyperlink>
          </w:p>
        </w:tc>
        <w:tc>
          <w:tcPr>
            <w:tcW w:w="480" w:type="dxa"/>
            <w:vAlign w:val="bottom"/>
            <w:gridSpan w:val="12"/>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spacing w:after="0"/>
              <w:rPr>
                <w:sz w:val="20"/>
                <w:szCs w:val="20"/>
                <w:color w:val="auto"/>
              </w:rPr>
            </w:pPr>
            <w:r>
              <w:rPr>
                <w:rFonts w:ascii="Arial" w:cs="Arial" w:eastAsia="Arial" w:hAnsi="Arial"/>
                <w:sz w:val="18"/>
                <w:szCs w:val="18"/>
                <w:color w:val="auto"/>
              </w:rPr>
              <w:t>February 8, 2018</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gridSpan w:val="31"/>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Stock Units for Amended and Restated 2010 Incentive</w:t>
              </w:r>
            </w:hyperlink>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Compensation Plan</w:t>
              </w:r>
            </w:hyperlink>
          </w:p>
        </w:tc>
        <w:tc>
          <w:tcPr>
            <w:tcW w:w="2500" w:type="dxa"/>
            <w:vAlign w:val="bottom"/>
            <w:tcBorders>
              <w:top w:val="single" w:sz="8" w:color="0000EE"/>
            </w:tcBorders>
            <w:gridSpan w:val="12"/>
          </w:tcPr>
          <w:p>
            <w:pPr>
              <w:spacing w:after="0"/>
              <w:rPr>
                <w:sz w:val="17"/>
                <w:szCs w:val="17"/>
                <w:color w:val="auto"/>
              </w:rPr>
            </w:pPr>
          </w:p>
        </w:tc>
        <w:tc>
          <w:tcPr>
            <w:tcW w:w="860" w:type="dxa"/>
            <w:vAlign w:val="bottom"/>
            <w:gridSpan w:val="14"/>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4360" w:type="dxa"/>
            <w:vAlign w:val="bottom"/>
            <w:tcBorders>
              <w:bottom w:val="single" w:sz="8" w:color="0000EE"/>
            </w:tcBorders>
            <w:gridSpan w:val="22"/>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Change of Control Severance Policy for Principal Executive</w:t>
              </w:r>
            </w:hyperlink>
          </w:p>
        </w:tc>
        <w:tc>
          <w:tcPr>
            <w:tcW w:w="420" w:type="dxa"/>
            <w:vAlign w:val="bottom"/>
            <w:gridSpan w:val="9"/>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1960" w:type="dxa"/>
            <w:vAlign w:val="bottom"/>
          </w:tcPr>
          <w:p>
            <w:pPr>
              <w:spacing w:after="0"/>
              <w:rPr>
                <w:sz w:val="20"/>
                <w:szCs w:val="20"/>
                <w:color w:val="auto"/>
              </w:rPr>
            </w:pPr>
            <w:r>
              <w:rPr>
                <w:rFonts w:ascii="Arial" w:cs="Arial" w:eastAsia="Arial" w:hAnsi="Arial"/>
                <w:sz w:val="18"/>
                <w:szCs w:val="18"/>
                <w:color w:val="auto"/>
              </w:rPr>
              <w:t>August 23, 2019</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Officers</w:t>
              </w:r>
            </w:hyperlink>
          </w:p>
        </w:tc>
        <w:tc>
          <w:tcPr>
            <w:tcW w:w="4200" w:type="dxa"/>
            <w:vAlign w:val="bottom"/>
            <w:gridSpan w:val="29"/>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4780" w:type="dxa"/>
            <w:vAlign w:val="bottom"/>
            <w:gridSpan w:val="31"/>
          </w:tcPr>
          <w:p>
            <w:pPr>
              <w:spacing w:after="0"/>
              <w:rPr>
                <w:rFonts w:ascii="Arial" w:cs="Arial" w:eastAsia="Arial" w:hAnsi="Arial"/>
                <w:sz w:val="18"/>
                <w:szCs w:val="18"/>
                <w:color w:val="0000EE"/>
              </w:rPr>
            </w:pPr>
            <w:hyperlink r:id="rId104">
              <w:r>
                <w:rPr>
                  <w:rFonts w:ascii="Arial" w:cs="Arial" w:eastAsia="Arial" w:hAnsi="Arial"/>
                  <w:sz w:val="18"/>
                  <w:szCs w:val="18"/>
                  <w:color w:val="0000EE"/>
                </w:rPr>
                <w:t>Severance Policy for Principal Executive Officers</w:t>
              </w:r>
            </w:hyperlink>
          </w:p>
        </w:tc>
        <w:tc>
          <w:tcPr>
            <w:tcW w:w="35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1960" w:type="dxa"/>
            <w:vAlign w:val="bottom"/>
          </w:tcPr>
          <w:p>
            <w:pPr>
              <w:spacing w:after="0"/>
              <w:rPr>
                <w:sz w:val="20"/>
                <w:szCs w:val="20"/>
                <w:color w:val="auto"/>
              </w:rPr>
            </w:pPr>
            <w:r>
              <w:rPr>
                <w:rFonts w:ascii="Arial" w:cs="Arial" w:eastAsia="Arial" w:hAnsi="Arial"/>
                <w:sz w:val="18"/>
                <w:szCs w:val="18"/>
                <w:color w:val="auto"/>
              </w:rPr>
              <w:t>August 23, 2019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4780" w:type="dxa"/>
            <w:vAlign w:val="bottom"/>
            <w:gridSpan w:val="31"/>
          </w:tcPr>
          <w:p>
            <w:pPr>
              <w:spacing w:after="0"/>
              <w:rPr>
                <w:rFonts w:ascii="Arial" w:cs="Arial" w:eastAsia="Arial" w:hAnsi="Arial"/>
                <w:sz w:val="18"/>
                <w:szCs w:val="18"/>
                <w:color w:val="0000EE"/>
              </w:rPr>
            </w:pPr>
            <w:hyperlink r:id="rId105">
              <w:r>
                <w:rPr>
                  <w:rFonts w:ascii="Arial" w:cs="Arial" w:eastAsia="Arial" w:hAnsi="Arial"/>
                  <w:sz w:val="18"/>
                  <w:szCs w:val="18"/>
                  <w:color w:val="0000EE"/>
                </w:rPr>
                <w:t>Form of Director and Officer Indemnification Agreement</w:t>
              </w:r>
            </w:hyperlink>
          </w:p>
        </w:tc>
        <w:tc>
          <w:tcPr>
            <w:tcW w:w="35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c>
          <w:tcPr>
            <w:tcW w:w="1960" w:type="dxa"/>
            <w:vAlign w:val="bottom"/>
          </w:tcPr>
          <w:p>
            <w:pPr>
              <w:spacing w:after="0"/>
              <w:rPr>
                <w:sz w:val="20"/>
                <w:szCs w:val="20"/>
                <w:color w:val="auto"/>
              </w:rPr>
            </w:pPr>
            <w:r>
              <w:rPr>
                <w:rFonts w:ascii="Arial" w:cs="Arial" w:eastAsia="Arial" w:hAnsi="Arial"/>
                <w:sz w:val="18"/>
                <w:szCs w:val="18"/>
                <w:color w:val="auto"/>
              </w:rPr>
              <w:t>May 17, 2016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780" w:type="dxa"/>
            <w:vAlign w:val="bottom"/>
            <w:gridSpan w:val="31"/>
          </w:tcPr>
          <w:p>
            <w:pPr>
              <w:spacing w:after="0"/>
              <w:rPr>
                <w:rFonts w:ascii="Arial" w:cs="Arial" w:eastAsia="Arial" w:hAnsi="Arial"/>
                <w:sz w:val="18"/>
                <w:szCs w:val="18"/>
                <w:color w:val="0000EE"/>
                <w:w w:val="95"/>
              </w:rPr>
            </w:pPr>
            <w:hyperlink r:id="rId106">
              <w:r>
                <w:rPr>
                  <w:rFonts w:ascii="Arial" w:cs="Arial" w:eastAsia="Arial" w:hAnsi="Arial"/>
                  <w:sz w:val="18"/>
                  <w:szCs w:val="18"/>
                  <w:color w:val="0000EE"/>
                  <w:w w:val="95"/>
                </w:rPr>
                <w:t>Employment Offer Letter, dated February 7, 2019 between the</w:t>
              </w:r>
            </w:hyperlink>
          </w:p>
        </w:tc>
        <w:tc>
          <w:tcPr>
            <w:tcW w:w="35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spacing w:after="0"/>
              <w:rPr>
                <w:sz w:val="20"/>
                <w:szCs w:val="20"/>
                <w:color w:val="auto"/>
              </w:rPr>
            </w:pPr>
            <w:r>
              <w:rPr>
                <w:rFonts w:ascii="Arial" w:cs="Arial" w:eastAsia="Arial" w:hAnsi="Arial"/>
                <w:sz w:val="18"/>
                <w:szCs w:val="18"/>
                <w:color w:val="auto"/>
              </w:rPr>
              <w:t>May 9, 2019</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registrant and Kermit Nolan</w:t>
              </w:r>
            </w:hyperlink>
          </w:p>
        </w:tc>
        <w:tc>
          <w:tcPr>
            <w:tcW w:w="2460" w:type="dxa"/>
            <w:vAlign w:val="bottom"/>
            <w:tcBorders>
              <w:top w:val="single" w:sz="8" w:color="0000EE"/>
            </w:tcBorders>
            <w:gridSpan w:val="18"/>
          </w:tcPr>
          <w:p>
            <w:pPr>
              <w:spacing w:after="0"/>
              <w:rPr>
                <w:sz w:val="17"/>
                <w:szCs w:val="17"/>
                <w:color w:val="auto"/>
              </w:rPr>
            </w:pPr>
          </w:p>
        </w:tc>
        <w:tc>
          <w:tcPr>
            <w:tcW w:w="300" w:type="dxa"/>
            <w:vAlign w:val="bottom"/>
            <w:gridSpan w:val="5"/>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4340" w:type="dxa"/>
            <w:vAlign w:val="bottom"/>
            <w:tcBorders>
              <w:bottom w:val="single" w:sz="8" w:color="0000EE"/>
            </w:tcBorders>
            <w:gridSpan w:val="21"/>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Written Description of the Synaptics Incorporated Retention</w:t>
              </w:r>
            </w:hyperlink>
          </w:p>
        </w:tc>
        <w:tc>
          <w:tcPr>
            <w:tcW w:w="440" w:type="dxa"/>
            <w:vAlign w:val="bottom"/>
            <w:gridSpan w:val="10"/>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1960" w:type="dxa"/>
            <w:vAlign w:val="bottom"/>
          </w:tcPr>
          <w:p>
            <w:pPr>
              <w:spacing w:after="0"/>
              <w:rPr>
                <w:sz w:val="20"/>
                <w:szCs w:val="20"/>
                <w:color w:val="auto"/>
              </w:rPr>
            </w:pPr>
            <w:r>
              <w:rPr>
                <w:rFonts w:ascii="Arial" w:cs="Arial" w:eastAsia="Arial" w:hAnsi="Arial"/>
                <w:sz w:val="18"/>
                <w:szCs w:val="18"/>
                <w:color w:val="auto"/>
              </w:rPr>
              <w:t>August 23, 2019</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Program Adopted May 6, 2019</w:t>
              </w:r>
            </w:hyperlink>
          </w:p>
        </w:tc>
        <w:tc>
          <w:tcPr>
            <w:tcW w:w="2540" w:type="dxa"/>
            <w:vAlign w:val="bottom"/>
            <w:gridSpan w:val="21"/>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4360" w:type="dxa"/>
            <w:vAlign w:val="bottom"/>
            <w:tcBorders>
              <w:bottom w:val="single" w:sz="8" w:color="0000EE"/>
            </w:tcBorders>
            <w:gridSpan w:val="22"/>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Employment Offer Letter, dated August 1, 2019 between the</w:t>
              </w:r>
            </w:hyperlink>
          </w:p>
        </w:tc>
        <w:tc>
          <w:tcPr>
            <w:tcW w:w="420" w:type="dxa"/>
            <w:vAlign w:val="bottom"/>
            <w:gridSpan w:val="9"/>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spacing w:after="0"/>
              <w:rPr>
                <w:sz w:val="20"/>
                <w:szCs w:val="20"/>
                <w:color w:val="auto"/>
              </w:rPr>
            </w:pPr>
            <w:r>
              <w:rPr>
                <w:rFonts w:ascii="Arial" w:cs="Arial" w:eastAsia="Arial" w:hAnsi="Arial"/>
                <w:sz w:val="18"/>
                <w:szCs w:val="18"/>
                <w:color w:val="auto"/>
              </w:rPr>
              <w:t>November 17, 2019</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gridSpan w:val="31"/>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registrant and Michael Hurlston</w:t>
              </w:r>
            </w:hyperlink>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4420" w:type="dxa"/>
            <w:vAlign w:val="bottom"/>
            <w:tcBorders>
              <w:bottom w:val="single" w:sz="8" w:color="0000EE"/>
            </w:tcBorders>
            <w:gridSpan w:val="23"/>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Employment Offer Letter, dated October 7, 2019 between the</w:t>
              </w:r>
            </w:hyperlink>
          </w:p>
        </w:tc>
        <w:tc>
          <w:tcPr>
            <w:tcW w:w="360" w:type="dxa"/>
            <w:vAlign w:val="bottom"/>
            <w:gridSpan w:val="8"/>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spacing w:after="0"/>
              <w:rPr>
                <w:sz w:val="20"/>
                <w:szCs w:val="20"/>
                <w:color w:val="auto"/>
              </w:rPr>
            </w:pPr>
            <w:r>
              <w:rPr>
                <w:rFonts w:ascii="Arial" w:cs="Arial" w:eastAsia="Arial" w:hAnsi="Arial"/>
                <w:sz w:val="18"/>
                <w:szCs w:val="18"/>
                <w:color w:val="auto"/>
              </w:rPr>
              <w:t>February 6, 2020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registrant and Dean Butler</w:t>
              </w:r>
            </w:hyperlink>
          </w:p>
        </w:tc>
        <w:tc>
          <w:tcPr>
            <w:tcW w:w="2880" w:type="dxa"/>
            <w:vAlign w:val="bottom"/>
            <w:gridSpan w:val="24"/>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4600" w:type="dxa"/>
            <w:vAlign w:val="bottom"/>
            <w:tcBorders>
              <w:bottom w:val="single" w:sz="8" w:color="0000EE"/>
            </w:tcBorders>
            <w:gridSpan w:val="29"/>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Employment Offer Letter, dated February 26, 2020 between the</w:t>
              </w:r>
            </w:hyperlink>
          </w:p>
        </w:tc>
        <w:tc>
          <w:tcPr>
            <w:tcW w:w="180" w:type="dxa"/>
            <w:vAlign w:val="bottom"/>
            <w:gridSpan w:val="2"/>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1960" w:type="dxa"/>
            <w:vAlign w:val="bottom"/>
          </w:tcPr>
          <w:p>
            <w:pPr>
              <w:spacing w:after="0"/>
              <w:rPr>
                <w:sz w:val="20"/>
                <w:szCs w:val="20"/>
                <w:color w:val="auto"/>
              </w:rPr>
            </w:pPr>
            <w:r>
              <w:rPr>
                <w:rFonts w:ascii="Arial" w:cs="Arial" w:eastAsia="Arial" w:hAnsi="Arial"/>
                <w:sz w:val="18"/>
                <w:szCs w:val="18"/>
                <w:color w:val="auto"/>
              </w:rPr>
              <w:t>August 21, 2020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registrant and Phil Kumin</w:t>
              </w:r>
            </w:hyperlink>
          </w:p>
        </w:tc>
        <w:tc>
          <w:tcPr>
            <w:tcW w:w="2920" w:type="dxa"/>
            <w:vAlign w:val="bottom"/>
            <w:gridSpan w:val="25"/>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4580" w:type="dxa"/>
            <w:vAlign w:val="bottom"/>
            <w:tcBorders>
              <w:bottom w:val="single" w:sz="8" w:color="0000EE"/>
            </w:tcBorders>
            <w:gridSpan w:val="28"/>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Employment Offer Letter, dated December 4, 2018 between the</w:t>
              </w:r>
            </w:hyperlink>
          </w:p>
        </w:tc>
        <w:tc>
          <w:tcPr>
            <w:tcW w:w="200" w:type="dxa"/>
            <w:vAlign w:val="bottom"/>
            <w:gridSpan w:val="3"/>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1960" w:type="dxa"/>
            <w:vAlign w:val="bottom"/>
          </w:tcPr>
          <w:p>
            <w:pPr>
              <w:spacing w:after="0"/>
              <w:rPr>
                <w:sz w:val="20"/>
                <w:szCs w:val="20"/>
                <w:color w:val="auto"/>
              </w:rPr>
            </w:pPr>
            <w:r>
              <w:rPr>
                <w:rFonts w:ascii="Arial" w:cs="Arial" w:eastAsia="Arial" w:hAnsi="Arial"/>
                <w:sz w:val="18"/>
                <w:szCs w:val="18"/>
                <w:color w:val="auto"/>
              </w:rPr>
              <w:t>August 21, 2020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r:id="rId111">
              <w:r>
                <w:rPr>
                  <w:rFonts w:ascii="Arial" w:cs="Arial" w:eastAsia="Arial" w:hAnsi="Arial"/>
                  <w:sz w:val="18"/>
                  <w:szCs w:val="18"/>
                  <w:color w:val="0000EE"/>
                  <w:w w:val="87"/>
                </w:rPr>
                <w:t>registrant and Saleel Awsare</w:t>
              </w:r>
            </w:hyperlink>
          </w:p>
        </w:tc>
        <w:tc>
          <w:tcPr>
            <w:tcW w:w="2740" w:type="dxa"/>
            <w:vAlign w:val="bottom"/>
            <w:gridSpan w:val="22"/>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4460" w:type="dxa"/>
            <w:vAlign w:val="bottom"/>
            <w:tcBorders>
              <w:bottom w:val="single" w:sz="8" w:color="0000EE"/>
            </w:tcBorders>
            <w:gridSpan w:val="25"/>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Form of Market Stock Unit Award Agreement under the 2019</w:t>
              </w:r>
            </w:hyperlink>
          </w:p>
        </w:tc>
        <w:tc>
          <w:tcPr>
            <w:tcW w:w="320" w:type="dxa"/>
            <w:vAlign w:val="bottom"/>
            <w:gridSpan w:val="6"/>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spacing w:after="0"/>
              <w:rPr>
                <w:sz w:val="20"/>
                <w:szCs w:val="20"/>
                <w:color w:val="auto"/>
              </w:rPr>
            </w:pPr>
            <w:r>
              <w:rPr>
                <w:rFonts w:ascii="Arial" w:cs="Arial" w:eastAsia="Arial" w:hAnsi="Arial"/>
                <w:sz w:val="18"/>
                <w:szCs w:val="18"/>
                <w:color w:val="auto"/>
              </w:rPr>
              <w:t>November 5, 2020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gridSpan w:val="31"/>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Equity and Incentive Compensation Plan</w:t>
              </w:r>
            </w:hyperlink>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4780" w:type="dxa"/>
            <w:vAlign w:val="bottom"/>
            <w:gridSpan w:val="31"/>
          </w:tcPr>
          <w:p>
            <w:pPr>
              <w:spacing w:after="0"/>
              <w:rPr>
                <w:rFonts w:ascii="Arial" w:cs="Arial" w:eastAsia="Arial" w:hAnsi="Arial"/>
                <w:sz w:val="18"/>
                <w:szCs w:val="18"/>
                <w:color w:val="0000EE"/>
                <w:w w:val="97"/>
              </w:rPr>
            </w:pPr>
            <w:hyperlink r:id="rId113">
              <w:r>
                <w:rPr>
                  <w:rFonts w:ascii="Arial" w:cs="Arial" w:eastAsia="Arial" w:hAnsi="Arial"/>
                  <w:sz w:val="18"/>
                  <w:szCs w:val="18"/>
                  <w:color w:val="0000EE"/>
                  <w:w w:val="97"/>
                </w:rPr>
                <w:t>Form of Performance Stock Unit Award Agreement under the</w:t>
              </w:r>
            </w:hyperlink>
          </w:p>
        </w:tc>
        <w:tc>
          <w:tcPr>
            <w:tcW w:w="35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spacing w:after="0"/>
              <w:rPr>
                <w:sz w:val="20"/>
                <w:szCs w:val="20"/>
                <w:color w:val="auto"/>
              </w:rPr>
            </w:pPr>
            <w:r>
              <w:rPr>
                <w:rFonts w:ascii="Arial" w:cs="Arial" w:eastAsia="Arial" w:hAnsi="Arial"/>
                <w:sz w:val="18"/>
                <w:szCs w:val="18"/>
                <w:color w:val="auto"/>
              </w:rPr>
              <w:t>November 5, 2020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2019 Equity and Incentive Compensation Plan</w:t>
              </w:r>
            </w:hyperlink>
          </w:p>
        </w:tc>
        <w:tc>
          <w:tcPr>
            <w:tcW w:w="340" w:type="dxa"/>
            <w:vAlign w:val="bottom"/>
            <w:gridSpan w:val="7"/>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111">
              <w:r>
                <w:rPr>
                  <w:rFonts w:ascii="Arial" w:cs="Arial" w:eastAsia="Arial" w:hAnsi="Arial"/>
                  <w:sz w:val="18"/>
                  <w:szCs w:val="18"/>
                  <w:color w:val="0000EE"/>
                  <w:w w:val="91"/>
                </w:rPr>
                <w:t>List of Subsidiaries</w:t>
              </w:r>
            </w:hyperlink>
          </w:p>
        </w:tc>
        <w:tc>
          <w:tcPr>
            <w:tcW w:w="1940" w:type="dxa"/>
            <w:vAlign w:val="bottom"/>
            <w:tcBorders>
              <w:top w:val="single" w:sz="8" w:color="0000EE"/>
            </w:tcBorders>
            <w:gridSpan w:val="9"/>
          </w:tcPr>
          <w:p>
            <w:pPr>
              <w:spacing w:after="0"/>
              <w:rPr>
                <w:sz w:val="24"/>
                <w:szCs w:val="24"/>
                <w:color w:val="auto"/>
              </w:rPr>
            </w:pPr>
          </w:p>
        </w:tc>
        <w:tc>
          <w:tcPr>
            <w:tcW w:w="1440" w:type="dxa"/>
            <w:vAlign w:val="bottom"/>
            <w:gridSpan w:val="18"/>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32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Consent of Independent Registered Public Accounting Firm</w:t>
              </w:r>
            </w:hyperlink>
          </w:p>
        </w:tc>
        <w:tc>
          <w:tcPr>
            <w:tcW w:w="460" w:type="dxa"/>
            <w:vAlign w:val="bottom"/>
            <w:gridSpan w:val="11"/>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660" w:type="dxa"/>
            <w:vAlign w:val="bottom"/>
            <w:tcBorders>
              <w:bottom w:val="single" w:sz="8" w:color="0000EE"/>
            </w:tcBorders>
            <w:gridSpan w:val="30"/>
          </w:tcPr>
          <w:p>
            <w:pPr>
              <w:spacing w:after="0"/>
              <w:rPr>
                <w:rFonts w:ascii="Arial" w:cs="Arial" w:eastAsia="Arial" w:hAnsi="Arial"/>
                <w:sz w:val="18"/>
                <w:szCs w:val="18"/>
                <w:color w:val="0000EE"/>
                <w:w w:val="96"/>
              </w:rPr>
            </w:pPr>
            <w:hyperlink w:anchor="page113">
              <w:r>
                <w:rPr>
                  <w:rFonts w:ascii="Arial" w:cs="Arial" w:eastAsia="Arial" w:hAnsi="Arial"/>
                  <w:sz w:val="18"/>
                  <w:szCs w:val="18"/>
                  <w:color w:val="0000EE"/>
                  <w:w w:val="96"/>
                </w:rPr>
                <w:t>Certification of Chief Executive Officer pursuant to Rule 13a-</w:t>
              </w:r>
            </w:hyperlink>
          </w:p>
        </w:tc>
        <w:tc>
          <w:tcPr>
            <w:tcW w:w="120" w:type="dxa"/>
            <w:vAlign w:val="bottom"/>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14(a)/15d-14(a)</w:t>
              </w:r>
            </w:hyperlink>
          </w:p>
        </w:tc>
        <w:tc>
          <w:tcPr>
            <w:tcW w:w="3640" w:type="dxa"/>
            <w:vAlign w:val="bottom"/>
            <w:gridSpan w:val="28"/>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66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114">
              <w:r>
                <w:rPr>
                  <w:rFonts w:ascii="Arial" w:cs="Arial" w:eastAsia="Arial" w:hAnsi="Arial"/>
                  <w:sz w:val="18"/>
                  <w:szCs w:val="18"/>
                  <w:color w:val="0000EE"/>
                  <w:w w:val="97"/>
                </w:rPr>
                <w:t>Certification of Chief Financial Officer pursuant to Rule 13a-</w:t>
              </w:r>
            </w:hyperlink>
          </w:p>
        </w:tc>
        <w:tc>
          <w:tcPr>
            <w:tcW w:w="120" w:type="dxa"/>
            <w:vAlign w:val="bottom"/>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14(a)/15d-14(a)</w:t>
              </w:r>
            </w:hyperlink>
          </w:p>
        </w:tc>
        <w:tc>
          <w:tcPr>
            <w:tcW w:w="3640" w:type="dxa"/>
            <w:vAlign w:val="bottom"/>
            <w:gridSpan w:val="28"/>
          </w:tcPr>
          <w:p>
            <w:pPr>
              <w:spacing w:after="0"/>
              <w:rPr>
                <w:sz w:val="17"/>
                <w:szCs w:val="17"/>
                <w:color w:val="auto"/>
              </w:rPr>
            </w:pPr>
          </w:p>
        </w:tc>
        <w:tc>
          <w:tcPr>
            <w:tcW w:w="3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38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15">
              <w:r>
                <w:rPr>
                  <w:rFonts w:ascii="Arial" w:cs="Arial" w:eastAsia="Arial" w:hAnsi="Arial"/>
                  <w:sz w:val="18"/>
                  <w:szCs w:val="18"/>
                  <w:color w:val="0000EE"/>
                  <w:w w:val="92"/>
                </w:rPr>
                <w:t>Section 1350 Certification of Chief Executive Officer</w:t>
              </w:r>
            </w:hyperlink>
          </w:p>
        </w:tc>
        <w:tc>
          <w:tcPr>
            <w:tcW w:w="920" w:type="dxa"/>
            <w:vAlign w:val="bottom"/>
            <w:gridSpan w:val="15"/>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Furnished herewith</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780" w:type="dxa"/>
            <w:vAlign w:val="bottom"/>
            <w:gridSpan w:val="31"/>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Section 1350 Certification of Chief Financial Officer</w:t>
              </w:r>
            </w:hyperlink>
          </w:p>
        </w:tc>
        <w:tc>
          <w:tcPr>
            <w:tcW w:w="3540" w:type="dxa"/>
            <w:vAlign w:val="bottom"/>
          </w:tcPr>
          <w:p>
            <w:pPr>
              <w:ind w:left="40"/>
              <w:spacing w:after="0"/>
              <w:rPr>
                <w:sz w:val="20"/>
                <w:szCs w:val="20"/>
                <w:color w:val="auto"/>
              </w:rPr>
            </w:pPr>
            <w:r>
              <w:rPr>
                <w:rFonts w:ascii="Arial" w:cs="Arial" w:eastAsia="Arial" w:hAnsi="Arial"/>
                <w:sz w:val="18"/>
                <w:szCs w:val="18"/>
                <w:color w:val="auto"/>
              </w:rPr>
              <w:t>Furnished herewith</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Inline</w:t>
            </w:r>
          </w:p>
        </w:tc>
        <w:tc>
          <w:tcPr>
            <w:tcW w:w="4780" w:type="dxa"/>
            <w:vAlign w:val="bottom"/>
            <w:gridSpan w:val="31"/>
          </w:tcPr>
          <w:p>
            <w:pPr>
              <w:spacing w:after="0"/>
              <w:rPr>
                <w:sz w:val="20"/>
                <w:szCs w:val="20"/>
                <w:color w:val="auto"/>
              </w:rPr>
            </w:pPr>
            <w:r>
              <w:rPr>
                <w:rFonts w:ascii="Arial" w:cs="Arial" w:eastAsia="Arial" w:hAnsi="Arial"/>
                <w:sz w:val="18"/>
                <w:szCs w:val="18"/>
                <w:color w:val="auto"/>
              </w:rPr>
              <w:t>XBRL Instance Document</w:t>
            </w:r>
          </w:p>
        </w:tc>
        <w:tc>
          <w:tcPr>
            <w:tcW w:w="3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Inline</w:t>
            </w:r>
          </w:p>
        </w:tc>
        <w:tc>
          <w:tcPr>
            <w:tcW w:w="4780" w:type="dxa"/>
            <w:vAlign w:val="bottom"/>
            <w:gridSpan w:val="31"/>
          </w:tcPr>
          <w:p>
            <w:pPr>
              <w:spacing w:after="0"/>
              <w:rPr>
                <w:sz w:val="20"/>
                <w:szCs w:val="20"/>
                <w:color w:val="auto"/>
              </w:rPr>
            </w:pPr>
            <w:r>
              <w:rPr>
                <w:rFonts w:ascii="Arial" w:cs="Arial" w:eastAsia="Arial" w:hAnsi="Arial"/>
                <w:sz w:val="18"/>
                <w:szCs w:val="18"/>
                <w:color w:val="auto"/>
              </w:rPr>
              <w:t>XBRL Taxonomy Extension Schema Document</w:t>
            </w:r>
          </w:p>
        </w:tc>
        <w:tc>
          <w:tcPr>
            <w:tcW w:w="3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Inline</w:t>
            </w:r>
          </w:p>
        </w:tc>
        <w:tc>
          <w:tcPr>
            <w:tcW w:w="4780" w:type="dxa"/>
            <w:vAlign w:val="bottom"/>
            <w:gridSpan w:val="31"/>
          </w:tcPr>
          <w:p>
            <w:pPr>
              <w:spacing w:after="0"/>
              <w:rPr>
                <w:sz w:val="20"/>
                <w:szCs w:val="20"/>
                <w:color w:val="auto"/>
              </w:rPr>
            </w:pPr>
            <w:r>
              <w:rPr>
                <w:rFonts w:ascii="Arial" w:cs="Arial" w:eastAsia="Arial" w:hAnsi="Arial"/>
                <w:sz w:val="18"/>
                <w:szCs w:val="18"/>
                <w:color w:val="auto"/>
                <w:w w:val="99"/>
              </w:rPr>
              <w:t>XBRL Taxonomy Extension Calculation Linkbase Document</w:t>
            </w:r>
          </w:p>
        </w:tc>
        <w:tc>
          <w:tcPr>
            <w:tcW w:w="3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31"/>
          </w:tcPr>
          <w:p>
            <w:pPr>
              <w:ind w:left="4580"/>
              <w:spacing w:after="0"/>
              <w:rPr>
                <w:sz w:val="20"/>
                <w:szCs w:val="20"/>
                <w:color w:val="auto"/>
              </w:rPr>
            </w:pPr>
            <w:r>
              <w:rPr>
                <w:rFonts w:ascii="Arial" w:cs="Arial" w:eastAsia="Arial" w:hAnsi="Arial"/>
                <w:sz w:val="18"/>
                <w:szCs w:val="18"/>
                <w:color w:val="auto"/>
                <w:w w:val="89"/>
              </w:rPr>
              <w:t>52</w:t>
            </w:r>
          </w:p>
        </w:tc>
        <w:tc>
          <w:tcPr>
            <w:tcW w:w="3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1"/>
        </w:trPr>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4660" w:type="dxa"/>
            <w:vAlign w:val="bottom"/>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06"/>
        </w:trPr>
        <w:tc>
          <w:tcPr>
            <w:tcW w:w="960" w:type="dxa"/>
            <w:vAlign w:val="bottom"/>
            <w:gridSpan w:val="2"/>
            <w:vMerge w:val="continue"/>
          </w:tcPr>
          <w:p>
            <w:pPr>
              <w:spacing w:after="0"/>
              <w:rPr>
                <w:sz w:val="9"/>
                <w:szCs w:val="9"/>
                <w:color w:val="auto"/>
              </w:rPr>
            </w:pPr>
          </w:p>
        </w:tc>
        <w:tc>
          <w:tcPr>
            <w:tcW w:w="46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Exhibit</w:t>
            </w:r>
          </w:p>
        </w:tc>
        <w:tc>
          <w:tcPr>
            <w:tcW w:w="192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To</w:t>
            </w:r>
          </w:p>
        </w:tc>
        <w:tc>
          <w:tcPr>
            <w:tcW w:w="370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4660" w:type="dxa"/>
            <w:vAlign w:val="bottom"/>
            <w:tcBorders>
              <w:bottom w:val="single" w:sz="8" w:color="auto"/>
            </w:tcBorders>
            <w:vMerge w:val="continue"/>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3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660" w:type="dxa"/>
            <w:vAlign w:val="bottom"/>
          </w:tcPr>
          <w:p>
            <w:pPr>
              <w:spacing w:after="0"/>
              <w:rPr>
                <w:sz w:val="24"/>
                <w:szCs w:val="24"/>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Filed herewith</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Inline</w:t>
            </w:r>
          </w:p>
        </w:tc>
        <w:tc>
          <w:tcPr>
            <w:tcW w:w="4660" w:type="dxa"/>
            <w:vAlign w:val="bottom"/>
          </w:tcPr>
          <w:p>
            <w:pPr>
              <w:spacing w:after="0"/>
              <w:rPr>
                <w:sz w:val="20"/>
                <w:szCs w:val="20"/>
                <w:color w:val="auto"/>
              </w:rPr>
            </w:pPr>
            <w:r>
              <w:rPr>
                <w:rFonts w:ascii="Arial" w:cs="Arial" w:eastAsia="Arial" w:hAnsi="Arial"/>
                <w:sz w:val="18"/>
                <w:szCs w:val="18"/>
                <w:color w:val="auto"/>
                <w:w w:val="99"/>
              </w:rPr>
              <w:t>XBRL Taxonomy Extension Definition Linkbase Document</w:t>
            </w:r>
          </w:p>
        </w:tc>
        <w:tc>
          <w:tcPr>
            <w:tcW w:w="1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660" w:type="dxa"/>
            <w:vAlign w:val="bottom"/>
          </w:tcPr>
          <w:p>
            <w:pPr>
              <w:spacing w:after="0"/>
              <w:rPr>
                <w:sz w:val="24"/>
                <w:szCs w:val="24"/>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Filed herewith</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Inline</w:t>
            </w:r>
          </w:p>
        </w:tc>
        <w:tc>
          <w:tcPr>
            <w:tcW w:w="46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1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660" w:type="dxa"/>
            <w:vAlign w:val="bottom"/>
          </w:tcPr>
          <w:p>
            <w:pPr>
              <w:spacing w:after="0"/>
              <w:rPr>
                <w:sz w:val="24"/>
                <w:szCs w:val="24"/>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Filed herewith</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Inline</w:t>
            </w:r>
          </w:p>
        </w:tc>
        <w:tc>
          <w:tcPr>
            <w:tcW w:w="4660" w:type="dxa"/>
            <w:vAlign w:val="bottom"/>
          </w:tcPr>
          <w:p>
            <w:pPr>
              <w:spacing w:after="0"/>
              <w:rPr>
                <w:sz w:val="20"/>
                <w:szCs w:val="20"/>
                <w:color w:val="auto"/>
              </w:rPr>
            </w:pPr>
            <w:r>
              <w:rPr>
                <w:rFonts w:ascii="Arial" w:cs="Arial" w:eastAsia="Arial" w:hAnsi="Arial"/>
                <w:sz w:val="18"/>
                <w:szCs w:val="18"/>
                <w:color w:val="auto"/>
                <w:w w:val="94"/>
              </w:rPr>
              <w:t>XBRL Taxonomy Extension Presentation Linkbase Document</w:t>
            </w:r>
          </w:p>
        </w:tc>
        <w:tc>
          <w:tcPr>
            <w:tcW w:w="1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4"/>
              </w:rPr>
              <w:t>Cover Page Interactive Data File – The cover page interactive</w:t>
            </w:r>
          </w:p>
        </w:tc>
        <w:tc>
          <w:tcPr>
            <w:tcW w:w="1920" w:type="dxa"/>
            <w:vAlign w:val="bottom"/>
          </w:tcPr>
          <w:p>
            <w:pPr>
              <w:ind w:left="160"/>
              <w:spacing w:after="0"/>
              <w:rPr>
                <w:sz w:val="20"/>
                <w:szCs w:val="20"/>
                <w:color w:val="auto"/>
              </w:rPr>
            </w:pPr>
            <w:r>
              <w:rPr>
                <w:rFonts w:ascii="Arial" w:cs="Arial" w:eastAsia="Arial" w:hAnsi="Arial"/>
                <w:sz w:val="18"/>
                <w:szCs w:val="18"/>
                <w:color w:val="auto"/>
              </w:rPr>
              <w:t>Filed herewith</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1"/>
              </w:rPr>
              <w:t>data file does not appear in the Interactive Data File because its</w:t>
            </w:r>
          </w:p>
        </w:tc>
        <w:tc>
          <w:tcPr>
            <w:tcW w:w="19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8"/>
              </w:rPr>
              <w:t>XBRL tags are embedded within the Inline XBRL document</w:t>
            </w:r>
          </w:p>
        </w:tc>
        <w:tc>
          <w:tcPr>
            <w:tcW w:w="1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0"/>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a contract with management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460" w:right="3120" w:hanging="258"/>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Certain schedules have been omitted pursuant to Item 601(b)(2) of Regulation S-K. A copy of any omitted schedule will be furnished as a supplement to the Securities and Exchange Commission upon request.</w:t>
      </w:r>
    </w:p>
    <w:p>
      <w:pPr>
        <w:spacing w:after="0" w:line="1" w:lineRule="exact"/>
        <w:rPr>
          <w:sz w:val="20"/>
          <w:szCs w:val="20"/>
          <w:color w:val="auto"/>
        </w:rPr>
      </w:pPr>
    </w:p>
    <w:p>
      <w:pPr>
        <w:ind w:left="460" w:right="80" w:hanging="348"/>
        <w:spacing w:after="0" w:line="290"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This certification is being furnished solely pursuant to 18 U.S.C. § 1350 and shall not be deemed filed by the Company for purposes of Section 18 of the Exchange Act or incorporated by reference in any registration statement of the Company filed under the Securities Act.</w:t>
      </w:r>
    </w:p>
    <w:p>
      <w:pPr>
        <w:spacing w:after="0" w:line="200" w:lineRule="exact"/>
        <w:rPr>
          <w:sz w:val="20"/>
          <w:szCs w:val="20"/>
          <w:color w:val="auto"/>
        </w:rPr>
      </w:pPr>
    </w:p>
    <w:p>
      <w:pPr>
        <w:spacing w:after="0" w:line="26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SYNAPTICS INCORPORATED</w:t>
            </w: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Date: August 20, 2021</w:t>
            </w:r>
          </w:p>
        </w:tc>
        <w:tc>
          <w:tcPr>
            <w:tcW w:w="7720" w:type="dxa"/>
            <w:vAlign w:val="bottom"/>
            <w:gridSpan w:val="2"/>
          </w:tcPr>
          <w:p>
            <w:pPr>
              <w:ind w:left="1900"/>
              <w:spacing w:after="0"/>
              <w:rPr>
                <w:sz w:val="20"/>
                <w:szCs w:val="20"/>
                <w:color w:val="auto"/>
              </w:rPr>
            </w:pPr>
            <w:r>
              <w:rPr>
                <w:rFonts w:ascii="Arial" w:cs="Arial" w:eastAsia="Arial" w:hAnsi="Arial"/>
                <w:sz w:val="18"/>
                <w:szCs w:val="18"/>
                <w:color w:val="auto"/>
              </w:rPr>
              <w:t>By: /s/ Michael E. Hurlston</w:t>
            </w:r>
          </w:p>
        </w:tc>
      </w:tr>
      <w:tr>
        <w:trPr>
          <w:trHeight w:val="195"/>
        </w:trPr>
        <w:tc>
          <w:tcPr>
            <w:tcW w:w="3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E. Hurlston</w:t>
            </w:r>
          </w:p>
        </w:tc>
      </w:tr>
      <w:tr>
        <w:trPr>
          <w:trHeight w:val="230"/>
        </w:trPr>
        <w:tc>
          <w:tcPr>
            <w:tcW w:w="3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940" w:type="dxa"/>
            <w:vAlign w:val="bottom"/>
            <w:gridSpan w:val="3"/>
          </w:tcPr>
          <w:p>
            <w:pPr>
              <w:ind w:left="100"/>
              <w:spacing w:after="0"/>
              <w:rPr>
                <w:sz w:val="20"/>
                <w:szCs w:val="20"/>
                <w:color w:val="auto"/>
              </w:rPr>
            </w:pPr>
            <w:r>
              <w:rPr>
                <w:rFonts w:ascii="Arial" w:cs="Arial" w:eastAsia="Arial" w:hAnsi="Arial"/>
                <w:sz w:val="14"/>
                <w:szCs w:val="14"/>
                <w:b w:val="1"/>
                <w:bCs w:val="1"/>
                <w:color w:val="auto"/>
              </w:rPr>
              <w:t>Title</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3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331"/>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E. Hurlston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President and Chief Executive Officer,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20, 2021</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Michael E. Hurlston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and Director (Principal Executive Officer)</w:t>
            </w: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Butler</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Senior Vice President and Chief Financial Officer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20, 2021</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Dean Butler</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(Principal Financial Officer)</w:t>
            </w:r>
          </w:p>
        </w:tc>
        <w:tc>
          <w:tcPr>
            <w:tcW w:w="2780" w:type="dxa"/>
            <w:vAlign w:val="bottom"/>
          </w:tcPr>
          <w:p>
            <w:pPr>
              <w:spacing w:after="0"/>
              <w:rPr>
                <w:sz w:val="19"/>
                <w:szCs w:val="19"/>
                <w:color w:val="auto"/>
              </w:rPr>
            </w:pPr>
          </w:p>
        </w:tc>
      </w:tr>
      <w:tr>
        <w:trPr>
          <w:trHeight w:val="41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Kermit Nolan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Corporate Vice President and Chief Accounting</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20, 2021</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Kermit Nolan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Officer (Principal Accounting Officer)</w:t>
            </w: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Nelson C. Chan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Chairman of the Board</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20, 2021</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Nelson C. Chan</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Kiva A. Allgood</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20, 2021</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Kiva A. Allgood</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D. Buchanan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20, 2021</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Jeffrey D. Buchanan</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Keith B. Geeslin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20, 2021</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Keith B. Geeslin</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i w:val="1"/>
                <w:iCs w:val="1"/>
                <w:color w:val="333333"/>
              </w:rPr>
              <w:t>Susan Hardman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20, 2021</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Susan Hardman</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L. Whims</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20, 2021</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James L. Whims</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2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rPr>
              <w:t>INDEX TO FINANCIAL STATEMENTS</w:t>
            </w:r>
          </w:p>
        </w:tc>
        <w:tc>
          <w:tcPr>
            <w:tcW w:w="19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4"/>
          </w:tcPr>
          <w:p>
            <w:pPr>
              <w:jc w:val="center"/>
              <w:ind w:right="126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1900" w:type="dxa"/>
            <w:vAlign w:val="bottom"/>
          </w:tcPr>
          <w:p>
            <w:pPr>
              <w:spacing w:after="0"/>
              <w:rPr>
                <w:sz w:val="24"/>
                <w:szCs w:val="24"/>
                <w:color w:val="auto"/>
              </w:rPr>
            </w:pPr>
          </w:p>
        </w:tc>
      </w:tr>
      <w:tr>
        <w:trPr>
          <w:trHeight w:val="391"/>
        </w:trPr>
        <w:tc>
          <w:tcPr>
            <w:tcW w:w="934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Report of Independent Registered Public Accounting Firm</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18"/>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24"/>
                <w:szCs w:val="24"/>
                <w:color w:val="auto"/>
              </w:rPr>
            </w:pPr>
          </w:p>
        </w:tc>
        <w:tc>
          <w:tcPr>
            <w:tcW w:w="5120" w:type="dxa"/>
            <w:vAlign w:val="bottom"/>
            <w:gridSpan w:val="2"/>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18"/>
        </w:trPr>
        <w:tc>
          <w:tcPr>
            <w:tcW w:w="934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Operations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18"/>
        </w:trPr>
        <w:tc>
          <w:tcPr>
            <w:tcW w:w="42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Comprehensive Income/(Loss)</w:t>
              </w:r>
            </w:hyperlink>
          </w:p>
        </w:tc>
        <w:tc>
          <w:tcPr>
            <w:tcW w:w="508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18"/>
        </w:trPr>
        <w:tc>
          <w:tcPr>
            <w:tcW w:w="9340" w:type="dxa"/>
            <w:vAlign w:val="bottom"/>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Stockholders' Equity</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18"/>
        </w:trPr>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Consolidated Statements of Cash Flows</w:t>
              </w:r>
            </w:hyperlink>
          </w:p>
        </w:tc>
        <w:tc>
          <w:tcPr>
            <w:tcW w:w="640" w:type="dxa"/>
            <w:vAlign w:val="bottom"/>
            <w:tcBorders>
              <w:top w:val="single" w:sz="8" w:color="0000EE"/>
            </w:tcBorders>
            <w:gridSpan w:val="2"/>
          </w:tcPr>
          <w:p>
            <w:pPr>
              <w:spacing w:after="0"/>
              <w:rPr>
                <w:sz w:val="24"/>
                <w:szCs w:val="24"/>
                <w:color w:val="auto"/>
              </w:rPr>
            </w:pPr>
          </w:p>
        </w:tc>
        <w:tc>
          <w:tcPr>
            <w:tcW w:w="5820" w:type="dxa"/>
            <w:vAlign w:val="bottom"/>
            <w:gridSpan w:val="3"/>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18"/>
        </w:trPr>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Notes to Consolidated Financial Statements</w:t>
              </w:r>
            </w:hyperlink>
          </w:p>
        </w:tc>
        <w:tc>
          <w:tcPr>
            <w:tcW w:w="6180" w:type="dxa"/>
            <w:vAlign w:val="bottom"/>
            <w:gridSpan w:val="4"/>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F-10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Synaptics Incorporated: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Synaptics Incorporated and subsidiaries (the Company) as of June 26, 2021 and June 27, 2020, the related consolidated statements of operations, comprehensive income/(loss), stockholders’ equity, and cash flows for each of the fiscal years in the three fiscal year period ended June 26, 2021, and the related notes (collectively, the consolidated financial statements). We also have audited the Company’s internal control over financial reporting as of June 26, 2021, based on criteria established in Internal Control – Integrated Framework (2013) issued by the Committee of Sponsoring Organizations of the Treadway Commission.</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June 26, 2021 and June 27, 2020, and the results of its operations and its cash flows for each of the fiscal years in the three fiscal year period ended June 26, 2021, in conformity with U.S. generally accepted accounting principles. Also in our opinion, the Company maintained, in all material respects, effective internal control over financial reporting as of June 26, 2021 based on criteria established in Internal Control – Integrated Framework (2013) issued by the Committee of Sponsoring Organizations of the Treadway Commission.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8" w:name="page59"/>
    <w:bookmarkEnd w:id="58"/>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84"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Valuation of inventories and losses on inventory purchase obligations</w:t>
      </w:r>
    </w:p>
    <w:p>
      <w:pPr>
        <w:spacing w:after="0" w:line="117" w:lineRule="exact"/>
        <w:rPr>
          <w:sz w:val="20"/>
          <w:szCs w:val="20"/>
          <w:color w:val="auto"/>
        </w:rPr>
      </w:pPr>
    </w:p>
    <w:p>
      <w:pPr>
        <w:jc w:val="both"/>
        <w:ind w:left="620"/>
        <w:spacing w:after="0" w:line="257" w:lineRule="auto"/>
        <w:rPr>
          <w:sz w:val="20"/>
          <w:szCs w:val="20"/>
          <w:color w:val="auto"/>
        </w:rPr>
      </w:pPr>
      <w:r>
        <w:rPr>
          <w:rFonts w:ascii="Arial" w:cs="Arial" w:eastAsia="Arial" w:hAnsi="Arial"/>
          <w:sz w:val="18"/>
          <w:szCs w:val="18"/>
          <w:color w:val="auto"/>
        </w:rPr>
        <w:t>As discussed in Note 1 to the consolidated financial statements, the Company held $82.0 million of inventories as of June 26, 2021, which are stated at the lower of cost or net realizable value. The Company records a write-down for excess, obsolete, or unmarketable inventories based on forecasts of future demand and market conditions. Additionally, a liability and a charge are recorded to cost of sales for estimated losses on inventory the Company is obligated to purchase from contract manufacturers when a customer delays its delivery schedule, cancels its order, or for other factors.</w:t>
      </w:r>
    </w:p>
    <w:p>
      <w:pPr>
        <w:spacing w:after="0" w:line="80" w:lineRule="exact"/>
        <w:rPr>
          <w:sz w:val="20"/>
          <w:szCs w:val="20"/>
          <w:color w:val="auto"/>
        </w:rPr>
      </w:pPr>
    </w:p>
    <w:p>
      <w:pPr>
        <w:jc w:val="both"/>
        <w:ind w:left="620"/>
        <w:spacing w:after="0" w:line="275" w:lineRule="auto"/>
        <w:rPr>
          <w:sz w:val="20"/>
          <w:szCs w:val="20"/>
          <w:color w:val="auto"/>
        </w:rPr>
      </w:pPr>
      <w:r>
        <w:rPr>
          <w:rFonts w:ascii="Arial" w:cs="Arial" w:eastAsia="Arial" w:hAnsi="Arial"/>
          <w:sz w:val="17"/>
          <w:szCs w:val="17"/>
          <w:color w:val="auto"/>
        </w:rPr>
        <w:t>We identified the valuation of inventories associated with excess, obsolete, or unmarketable inventories and losses on inventory purchase obligations as a critical audit matter. A higher degree of auditor judgment was required to evaluate the Company’s estimate of net realizable value for these inventories and losses on inventory purchase obligations. Specifically, there is a high degree of subjectivity in evaluating the effect of any unexpected or sudden declines in market demand that may result from changes to or cancellations of customer orders, rapid product improvements, or technological advances due to the nature of the evidence available related to these factors.</w:t>
      </w:r>
    </w:p>
    <w:p>
      <w:pPr>
        <w:spacing w:after="0" w:line="68" w:lineRule="exact"/>
        <w:rPr>
          <w:sz w:val="20"/>
          <w:szCs w:val="20"/>
          <w:color w:val="auto"/>
        </w:rPr>
      </w:pPr>
    </w:p>
    <w:p>
      <w:pPr>
        <w:jc w:val="both"/>
        <w:ind w:left="620"/>
        <w:spacing w:after="0" w:line="270"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process to develop the estimated net realizable value of inventory and recognition of losses related to outstanding inventory purchase obligations, including controls related to the evaluation of the effect of any unexpected or sudden declines in market demand. For a selection of inventory items, we assessed the Company’s assumptions by comparing them to historical activity and demand forecasts. We also considered customer communications, as well as end user and third-party publications. For a selection of inventory items, we recalculated the required write-downs and losses and compared this to the recorded amounts. We confirmed with the Company’s significant vendors regarding outstanding purchase obligations of the Company. Additionally, we tested a sample of returns which resulted from quality related issues of the Company's products during the year and subsequent to period-end to evaluate if additional write-downs or losses were warranted.</w:t>
      </w:r>
    </w:p>
    <w:p>
      <w:pPr>
        <w:spacing w:after="0" w:line="28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Evaluation of certain intangible assets acquired through business combinations</w:t>
      </w:r>
    </w:p>
    <w:p>
      <w:pPr>
        <w:spacing w:after="0" w:line="117" w:lineRule="exact"/>
        <w:rPr>
          <w:sz w:val="20"/>
          <w:szCs w:val="20"/>
          <w:color w:val="auto"/>
        </w:rPr>
      </w:pPr>
    </w:p>
    <w:p>
      <w:pPr>
        <w:jc w:val="both"/>
        <w:ind w:left="620"/>
        <w:spacing w:after="0" w:line="259" w:lineRule="auto"/>
        <w:rPr>
          <w:sz w:val="20"/>
          <w:szCs w:val="20"/>
          <w:color w:val="auto"/>
        </w:rPr>
      </w:pPr>
      <w:r>
        <w:rPr>
          <w:rFonts w:ascii="Arial" w:cs="Arial" w:eastAsia="Arial" w:hAnsi="Arial"/>
          <w:sz w:val="18"/>
          <w:szCs w:val="18"/>
          <w:color w:val="auto"/>
        </w:rPr>
        <w:t>As discussed in Note 4 to the consolidated financial statements, during the year ended June 26, 2021, the Company consummated two business combinations for total consideration of $670.6 million. In connection with these acquisitions, the Company recorded various intangible assets, which included developed technology, customer relationships, and In-Process Research &amp; Development (“IPR&amp;D”) with an acquisition-date fair value of $175.0 million, $72.0 million, and $51.0 million, respectively.</w:t>
      </w:r>
    </w:p>
    <w:p>
      <w:pPr>
        <w:spacing w:after="0" w:line="79" w:lineRule="exact"/>
        <w:rPr>
          <w:sz w:val="20"/>
          <w:szCs w:val="20"/>
          <w:color w:val="auto"/>
        </w:rPr>
      </w:pPr>
    </w:p>
    <w:p>
      <w:pPr>
        <w:jc w:val="both"/>
        <w:ind w:left="620"/>
        <w:spacing w:after="0" w:line="301" w:lineRule="auto"/>
        <w:rPr>
          <w:sz w:val="20"/>
          <w:szCs w:val="20"/>
          <w:color w:val="auto"/>
        </w:rPr>
      </w:pPr>
      <w:r>
        <w:rPr>
          <w:rFonts w:ascii="Arial" w:cs="Arial" w:eastAsia="Arial" w:hAnsi="Arial"/>
          <w:sz w:val="16"/>
          <w:szCs w:val="16"/>
          <w:color w:val="auto"/>
        </w:rPr>
        <w:t>We identified the evaluation of the fair value allocated to acquired developed technology, customer relationships and IPR&amp;D intangible assets as a critical audit matter. We performed sensitivity analyses to determine the significant assumptions used to value the acquired intangible assets, individually and in the aggregate. The fair value of these acquired intangible assets were sensitive to possible changes to the following key assumptions, requiring a high degree of auditor judgment and the use of valuation professionals with specialized skills and knowledge:</w:t>
      </w:r>
    </w:p>
    <w:p>
      <w:pPr>
        <w:spacing w:after="0" w:line="200" w:lineRule="exact"/>
        <w:rPr>
          <w:sz w:val="20"/>
          <w:szCs w:val="20"/>
          <w:color w:val="auto"/>
        </w:rPr>
      </w:pPr>
    </w:p>
    <w:p>
      <w:pPr>
        <w:spacing w:after="0" w:line="3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Developed technology:</w:t>
      </w:r>
    </w:p>
    <w:p>
      <w:pPr>
        <w:spacing w:after="0" w:line="9" w:lineRule="exact"/>
        <w:rPr>
          <w:sz w:val="20"/>
          <w:szCs w:val="20"/>
          <w:color w:val="auto"/>
        </w:rPr>
      </w:pPr>
    </w:p>
    <w:p>
      <w:pPr>
        <w:ind w:left="1000" w:hanging="385"/>
        <w:spacing w:after="0"/>
        <w:tabs>
          <w:tab w:leader="none" w:pos="1000" w:val="left"/>
        </w:tabs>
        <w:numPr>
          <w:ilvl w:val="0"/>
          <w:numId w:val="23"/>
        </w:numPr>
        <w:rPr>
          <w:rFonts w:ascii="Arial" w:cs="Arial" w:eastAsia="Arial" w:hAnsi="Arial"/>
          <w:sz w:val="20"/>
          <w:szCs w:val="20"/>
          <w:color w:val="auto"/>
        </w:rPr>
      </w:pPr>
      <w:r>
        <w:rPr>
          <w:rFonts w:ascii="Arial" w:cs="Arial" w:eastAsia="Arial" w:hAnsi="Arial"/>
          <w:sz w:val="18"/>
          <w:szCs w:val="18"/>
          <w:color w:val="auto"/>
        </w:rPr>
        <w:t>Forecasted revenue growth rates</w:t>
      </w:r>
    </w:p>
    <w:p>
      <w:pPr>
        <w:spacing w:after="0" w:line="15" w:lineRule="exact"/>
        <w:rPr>
          <w:rFonts w:ascii="Arial" w:cs="Arial" w:eastAsia="Arial" w:hAnsi="Arial"/>
          <w:sz w:val="20"/>
          <w:szCs w:val="20"/>
          <w:color w:val="auto"/>
        </w:rPr>
      </w:pPr>
    </w:p>
    <w:p>
      <w:pPr>
        <w:ind w:left="1000" w:hanging="385"/>
        <w:spacing w:after="0" w:line="223" w:lineRule="auto"/>
        <w:tabs>
          <w:tab w:leader="none" w:pos="100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Technology migration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left="220"/>
        <w:spacing w:after="0"/>
        <w:rPr>
          <w:sz w:val="20"/>
          <w:szCs w:val="20"/>
          <w:color w:val="auto"/>
        </w:rPr>
      </w:pPr>
      <w:r>
        <w:rPr>
          <w:rFonts w:ascii="Arial" w:cs="Arial" w:eastAsia="Arial" w:hAnsi="Arial"/>
          <w:sz w:val="18"/>
          <w:szCs w:val="18"/>
          <w:color w:val="auto"/>
        </w:rPr>
        <w:t>Customer relationships:</w:t>
      </w:r>
    </w:p>
    <w:p>
      <w:pPr>
        <w:spacing w:after="0" w:line="9" w:lineRule="exact"/>
        <w:rPr>
          <w:sz w:val="20"/>
          <w:szCs w:val="20"/>
          <w:color w:val="auto"/>
        </w:rPr>
      </w:pPr>
    </w:p>
    <w:p>
      <w:pPr>
        <w:ind w:left="600" w:hanging="385"/>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8"/>
          <w:szCs w:val="18"/>
          <w:color w:val="auto"/>
        </w:rPr>
        <w:t>Estimated customer ramp up periods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IPR&amp;D:</w:t>
      </w:r>
    </w:p>
    <w:p>
      <w:pPr>
        <w:spacing w:after="0" w:line="9" w:lineRule="exact"/>
        <w:rPr>
          <w:sz w:val="20"/>
          <w:szCs w:val="20"/>
          <w:color w:val="auto"/>
        </w:rPr>
      </w:pPr>
    </w:p>
    <w:p>
      <w:pPr>
        <w:ind w:left="600" w:hanging="385"/>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18"/>
          <w:szCs w:val="18"/>
          <w:color w:val="auto"/>
        </w:rPr>
        <w:t>Forecasted revenue growth rates</w:t>
      </w:r>
    </w:p>
    <w:p>
      <w:pPr>
        <w:spacing w:after="0" w:line="15" w:lineRule="exact"/>
        <w:rPr>
          <w:rFonts w:ascii="Arial" w:cs="Arial" w:eastAsia="Arial" w:hAnsi="Arial"/>
          <w:sz w:val="20"/>
          <w:szCs w:val="20"/>
          <w:color w:val="auto"/>
        </w:rPr>
      </w:pPr>
    </w:p>
    <w:p>
      <w:pPr>
        <w:ind w:left="600" w:hanging="385"/>
        <w:spacing w:after="0" w:line="223" w:lineRule="auto"/>
        <w:tabs>
          <w:tab w:leader="none" w:pos="600" w:val="left"/>
        </w:tabs>
        <w:numPr>
          <w:ilvl w:val="0"/>
          <w:numId w:val="25"/>
        </w:numPr>
        <w:rPr>
          <w:rFonts w:ascii="Arial" w:cs="Arial" w:eastAsia="Arial" w:hAnsi="Arial"/>
          <w:sz w:val="20"/>
          <w:szCs w:val="20"/>
          <w:color w:val="auto"/>
        </w:rPr>
      </w:pPr>
      <w:r>
        <w:rPr>
          <w:rFonts w:ascii="Arial" w:cs="Arial" w:eastAsia="Arial" w:hAnsi="Arial"/>
          <w:sz w:val="18"/>
          <w:szCs w:val="18"/>
          <w:color w:val="auto"/>
        </w:rPr>
        <w:t>Technology migration</w:t>
      </w:r>
    </w:p>
    <w:p>
      <w:pPr>
        <w:spacing w:after="0" w:line="324" w:lineRule="exact"/>
        <w:rPr>
          <w:sz w:val="20"/>
          <w:szCs w:val="20"/>
          <w:color w:val="auto"/>
        </w:rPr>
      </w:pPr>
    </w:p>
    <w:p>
      <w:pPr>
        <w:jc w:val="both"/>
        <w:ind w:left="220"/>
        <w:spacing w:after="0" w:line="275"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acquisition-date valuation processes, including controls related to the development of the key assumptions, as listed above. We evaluated the reasonableness of the Company’s forecasted revenue growth rates, technology migration, and estimated customer ramp up periods by comparing them to historical actual results of the acquired entities and certain peer and market participant data. We involved valuation professionals with specialized skills and knowledge, who assisted in:</w:t>
      </w:r>
    </w:p>
    <w:p>
      <w:pPr>
        <w:spacing w:after="0" w:line="176" w:lineRule="exact"/>
        <w:rPr>
          <w:sz w:val="20"/>
          <w:szCs w:val="20"/>
          <w:color w:val="auto"/>
        </w:rPr>
      </w:pPr>
    </w:p>
    <w:p>
      <w:pPr>
        <w:ind w:left="600" w:right="540" w:hanging="385"/>
        <w:spacing w:after="0" w:line="246" w:lineRule="auto"/>
        <w:tabs>
          <w:tab w:leader="none" w:pos="600" w:val="left"/>
        </w:tabs>
        <w:numPr>
          <w:ilvl w:val="1"/>
          <w:numId w:val="26"/>
        </w:numPr>
        <w:rPr>
          <w:rFonts w:ascii="Arial" w:cs="Arial" w:eastAsia="Arial" w:hAnsi="Arial"/>
          <w:sz w:val="20"/>
          <w:szCs w:val="20"/>
          <w:color w:val="auto"/>
        </w:rPr>
      </w:pPr>
      <w:r>
        <w:rPr>
          <w:rFonts w:ascii="Arial" w:cs="Arial" w:eastAsia="Arial" w:hAnsi="Arial"/>
          <w:sz w:val="18"/>
          <w:szCs w:val="18"/>
          <w:color w:val="auto"/>
        </w:rPr>
        <w:t>evaluating certain peer group and market participant data used in the assessment of forecasted revenue growth rates by assessing the appropriateness of the guideline comparable companies identified by management’s specialist and recalculating certain peer group and market participant data</w:t>
      </w:r>
    </w:p>
    <w:p>
      <w:pPr>
        <w:spacing w:after="0" w:line="2" w:lineRule="exact"/>
        <w:rPr>
          <w:rFonts w:ascii="Arial" w:cs="Arial" w:eastAsia="Arial" w:hAnsi="Arial"/>
          <w:sz w:val="20"/>
          <w:szCs w:val="20"/>
          <w:color w:val="auto"/>
        </w:rPr>
      </w:pPr>
    </w:p>
    <w:p>
      <w:pPr>
        <w:ind w:left="600" w:hanging="398"/>
        <w:spacing w:after="0" w:line="225"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18"/>
          <w:szCs w:val="18"/>
          <w:color w:val="auto"/>
        </w:rPr>
        <w:t>assessing the reasonableness of technology migration based on the nature of the technology acquired.</w:t>
      </w:r>
    </w:p>
    <w:p>
      <w:pPr>
        <w:spacing w:after="0" w:line="200" w:lineRule="exact"/>
        <w:rPr>
          <w:sz w:val="20"/>
          <w:szCs w:val="20"/>
          <w:color w:val="auto"/>
        </w:rPr>
      </w:pPr>
    </w:p>
    <w:p>
      <w:pPr>
        <w:spacing w:after="0" w:line="28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76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w:t>
            </w:r>
          </w:p>
        </w:tc>
      </w:tr>
      <w:tr>
        <w:trPr>
          <w:trHeight w:val="171"/>
        </w:trPr>
        <w:tc>
          <w:tcPr>
            <w:tcW w:w="3300" w:type="dxa"/>
            <w:vAlign w:val="bottom"/>
            <w:tcBorders>
              <w:bottom w:val="single" w:sz="8" w:color="CFF0FC"/>
            </w:tcBorders>
          </w:tcPr>
          <w:p>
            <w:pPr>
              <w:spacing w:after="0"/>
              <w:rPr>
                <w:sz w:val="14"/>
                <w:szCs w:val="14"/>
                <w:color w:val="auto"/>
              </w:rPr>
            </w:pPr>
          </w:p>
        </w:tc>
        <w:tc>
          <w:tcPr>
            <w:tcW w:w="46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3300" w:type="dxa"/>
            <w:vAlign w:val="bottom"/>
            <w:shd w:val="clear" w:color="auto" w:fill="CFF0FC"/>
          </w:tcPr>
          <w:p>
            <w:pPr>
              <w:spacing w:after="0"/>
              <w:rPr>
                <w:sz w:val="19"/>
                <w:szCs w:val="19"/>
                <w:color w:val="auto"/>
              </w:rPr>
            </w:pPr>
          </w:p>
        </w:tc>
        <w:tc>
          <w:tcPr>
            <w:tcW w:w="4600" w:type="dxa"/>
            <w:vAlign w:val="bottom"/>
            <w:shd w:val="clear" w:color="auto" w:fill="CFF0FC"/>
          </w:tcPr>
          <w:p>
            <w:pPr>
              <w:jc w:val="right"/>
              <w:ind w:right="361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Current Assets:</w:t>
            </w: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9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836.3</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763.4</w:t>
            </w:r>
          </w:p>
        </w:tc>
        <w:tc>
          <w:tcPr>
            <w:tcW w:w="120" w:type="dxa"/>
            <w:vAlign w:val="bottom"/>
            <w:shd w:val="clear" w:color="auto" w:fill="CFF0FC"/>
          </w:tcPr>
          <w:p>
            <w:pPr>
              <w:spacing w:after="0"/>
              <w:rPr>
                <w:sz w:val="19"/>
                <w:szCs w:val="19"/>
                <w:color w:val="auto"/>
              </w:rPr>
            </w:pPr>
          </w:p>
        </w:tc>
      </w:tr>
      <w:tr>
        <w:trPr>
          <w:trHeight w:val="229"/>
        </w:trPr>
        <w:tc>
          <w:tcPr>
            <w:tcW w:w="3300" w:type="dxa"/>
            <w:vAlign w:val="bottom"/>
          </w:tcPr>
          <w:p>
            <w:pPr>
              <w:ind w:left="260"/>
              <w:spacing w:after="0"/>
              <w:rPr>
                <w:sz w:val="20"/>
                <w:szCs w:val="20"/>
                <w:color w:val="auto"/>
              </w:rPr>
            </w:pPr>
            <w:r>
              <w:rPr>
                <w:rFonts w:ascii="Arial" w:cs="Arial" w:eastAsia="Arial" w:hAnsi="Arial"/>
                <w:sz w:val="18"/>
                <w:szCs w:val="18"/>
                <w:color w:val="auto"/>
                <w:w w:val="91"/>
              </w:rPr>
              <w:t>Accounts receivable, net of allowances of</w:t>
            </w:r>
          </w:p>
        </w:tc>
        <w:tc>
          <w:tcPr>
            <w:tcW w:w="4920" w:type="dxa"/>
            <w:vAlign w:val="bottom"/>
            <w:gridSpan w:val="2"/>
          </w:tcPr>
          <w:p>
            <w:pPr>
              <w:jc w:val="right"/>
              <w:ind w:right="2807"/>
              <w:spacing w:after="0"/>
              <w:rPr>
                <w:sz w:val="20"/>
                <w:szCs w:val="20"/>
                <w:color w:val="auto"/>
              </w:rPr>
            </w:pPr>
            <w:r>
              <w:rPr>
                <w:rFonts w:ascii="Arial" w:cs="Arial" w:eastAsia="Arial" w:hAnsi="Arial"/>
                <w:sz w:val="18"/>
                <w:szCs w:val="18"/>
                <w:color w:val="auto"/>
                <w:w w:val="90"/>
              </w:rPr>
              <w:t>$5.8 at June 2021 and 2020</w:t>
            </w:r>
          </w:p>
        </w:tc>
        <w:tc>
          <w:tcPr>
            <w:tcW w:w="1140" w:type="dxa"/>
            <w:vAlign w:val="bottom"/>
          </w:tcPr>
          <w:p>
            <w:pPr>
              <w:jc w:val="right"/>
              <w:spacing w:after="0"/>
              <w:rPr>
                <w:sz w:val="20"/>
                <w:szCs w:val="20"/>
                <w:color w:val="auto"/>
              </w:rPr>
            </w:pPr>
            <w:r>
              <w:rPr>
                <w:rFonts w:ascii="Arial" w:cs="Arial" w:eastAsia="Arial" w:hAnsi="Arial"/>
                <w:sz w:val="18"/>
                <w:szCs w:val="18"/>
                <w:color w:val="auto"/>
              </w:rPr>
              <w:t>228.3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19"/>
                <w:szCs w:val="19"/>
                <w:color w:val="auto"/>
              </w:rPr>
            </w:pPr>
          </w:p>
        </w:tc>
      </w:tr>
      <w:tr>
        <w:trPr>
          <w:trHeight w:val="230"/>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FF0FC"/>
          </w:tcPr>
          <w:p>
            <w:pPr>
              <w:spacing w:after="0"/>
              <w:rPr>
                <w:sz w:val="19"/>
                <w:szCs w:val="19"/>
                <w:color w:val="auto"/>
              </w:rPr>
            </w:pPr>
          </w:p>
        </w:tc>
      </w:tr>
      <w:tr>
        <w:trPr>
          <w:trHeight w:val="229"/>
        </w:trPr>
        <w:tc>
          <w:tcPr>
            <w:tcW w:w="3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87"/>
              </w:rPr>
              <w:t>Prepaid expenses and other current assets</w:t>
            </w:r>
          </w:p>
        </w:tc>
        <w:tc>
          <w:tcPr>
            <w:tcW w:w="46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FF0FC"/>
            </w:tcBorders>
          </w:tcPr>
          <w:p>
            <w:pPr>
              <w:spacing w:after="0"/>
              <w:rPr>
                <w:sz w:val="19"/>
                <w:szCs w:val="19"/>
                <w:color w:val="auto"/>
              </w:rPr>
            </w:pPr>
          </w:p>
        </w:tc>
      </w:tr>
      <w:tr>
        <w:trPr>
          <w:trHeight w:val="223"/>
        </w:trPr>
        <w:tc>
          <w:tcPr>
            <w:tcW w:w="3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shd w:val="clear" w:color="auto" w:fill="CFF0FC"/>
          </w:tcPr>
          <w:p>
            <w:pPr>
              <w:spacing w:after="0"/>
              <w:rPr>
                <w:sz w:val="19"/>
                <w:szCs w:val="19"/>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12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46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FF0FC"/>
          </w:tcPr>
          <w:p>
            <w:pPr>
              <w:spacing w:after="0"/>
              <w:rPr>
                <w:sz w:val="19"/>
                <w:szCs w:val="19"/>
                <w:color w:val="auto"/>
              </w:rPr>
            </w:pPr>
          </w:p>
        </w:tc>
      </w:tr>
      <w:tr>
        <w:trPr>
          <w:trHeight w:val="263"/>
        </w:trPr>
        <w:tc>
          <w:tcPr>
            <w:tcW w:w="3300" w:type="dxa"/>
            <w:vAlign w:val="bottom"/>
            <w:tcBorders>
              <w:bottom w:val="single" w:sz="8" w:color="CFF0FC"/>
            </w:tcBorders>
          </w:tcPr>
          <w:p>
            <w:pPr>
              <w:spacing w:after="0"/>
              <w:rPr>
                <w:sz w:val="22"/>
                <w:szCs w:val="22"/>
                <w:color w:val="auto"/>
              </w:rPr>
            </w:pPr>
          </w:p>
        </w:tc>
        <w:tc>
          <w:tcPr>
            <w:tcW w:w="46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2,226.8</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1,693.8</w:t>
            </w:r>
          </w:p>
        </w:tc>
        <w:tc>
          <w:tcPr>
            <w:tcW w:w="120" w:type="dxa"/>
            <w:vAlign w:val="bottom"/>
            <w:tcBorders>
              <w:bottom w:val="single" w:sz="8" w:color="CFF0FC"/>
            </w:tcBorders>
          </w:tcPr>
          <w:p>
            <w:pPr>
              <w:spacing w:after="0"/>
              <w:rPr>
                <w:sz w:val="22"/>
                <w:szCs w:val="22"/>
                <w:color w:val="auto"/>
              </w:rPr>
            </w:pPr>
          </w:p>
        </w:tc>
      </w:tr>
      <w:tr>
        <w:trPr>
          <w:trHeight w:val="210"/>
        </w:trPr>
        <w:tc>
          <w:tcPr>
            <w:tcW w:w="3300" w:type="dxa"/>
            <w:vAlign w:val="bottom"/>
            <w:shd w:val="clear" w:color="auto" w:fill="CFF0FC"/>
          </w:tcPr>
          <w:p>
            <w:pPr>
              <w:spacing w:after="0"/>
              <w:rPr>
                <w:sz w:val="18"/>
                <w:szCs w:val="18"/>
                <w:color w:val="auto"/>
              </w:rPr>
            </w:pPr>
          </w:p>
        </w:tc>
        <w:tc>
          <w:tcPr>
            <w:tcW w:w="4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8220" w:type="dxa"/>
            <w:vAlign w:val="bottom"/>
            <w:gridSpan w:val="3"/>
          </w:tcPr>
          <w:p>
            <w:pPr>
              <w:ind w:left="1900"/>
              <w:spacing w:after="0"/>
              <w:rPr>
                <w:sz w:val="20"/>
                <w:szCs w:val="20"/>
                <w:color w:val="auto"/>
              </w:rPr>
            </w:pPr>
            <w:r>
              <w:rPr>
                <w:rFonts w:ascii="Arial" w:cs="Arial" w:eastAsia="Arial" w:hAnsi="Arial"/>
                <w:sz w:val="18"/>
                <w:szCs w:val="18"/>
                <w:b w:val="1"/>
                <w:bCs w:val="1"/>
                <w:color w:val="auto"/>
              </w:rPr>
              <w:t>LIABILITIES AND STOCKHOLDERS’ EQUITY</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3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9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19"/>
                <w:szCs w:val="19"/>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r>
      <w:tr>
        <w:trPr>
          <w:trHeight w:val="229"/>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FF0FC"/>
          </w:tcPr>
          <w:p>
            <w:pPr>
              <w:spacing w:after="0"/>
              <w:rPr>
                <w:sz w:val="19"/>
                <w:szCs w:val="19"/>
                <w:color w:val="auto"/>
              </w:rPr>
            </w:pPr>
          </w:p>
        </w:tc>
      </w:tr>
      <w:tr>
        <w:trPr>
          <w:trHeight w:val="230"/>
        </w:trPr>
        <w:tc>
          <w:tcPr>
            <w:tcW w:w="330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r>
      <w:tr>
        <w:trPr>
          <w:trHeight w:val="229"/>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liabilities</w:t>
            </w:r>
          </w:p>
        </w:tc>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FF0FC"/>
          </w:tcPr>
          <w:p>
            <w:pPr>
              <w:spacing w:after="0"/>
              <w:rPr>
                <w:sz w:val="19"/>
                <w:szCs w:val="19"/>
                <w:color w:val="auto"/>
              </w:rPr>
            </w:pPr>
          </w:p>
        </w:tc>
      </w:tr>
      <w:tr>
        <w:trPr>
          <w:trHeight w:val="229"/>
        </w:trPr>
        <w:tc>
          <w:tcPr>
            <w:tcW w:w="3300" w:type="dxa"/>
            <w:vAlign w:val="bottom"/>
          </w:tcPr>
          <w:p>
            <w:pPr>
              <w:ind w:left="260"/>
              <w:spacing w:after="0"/>
              <w:rPr>
                <w:sz w:val="20"/>
                <w:szCs w:val="20"/>
                <w:color w:val="auto"/>
              </w:rPr>
            </w:pPr>
            <w:r>
              <w:rPr>
                <w:rFonts w:ascii="Arial" w:cs="Arial" w:eastAsia="Arial" w:hAnsi="Arial"/>
                <w:sz w:val="18"/>
                <w:szCs w:val="18"/>
                <w:color w:val="auto"/>
              </w:rPr>
              <w:t>Convertible notes, net</w:t>
            </w: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33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46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3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Convertible notes, net</w:t>
            </w: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486.6</w:t>
            </w:r>
          </w:p>
        </w:tc>
        <w:tc>
          <w:tcPr>
            <w:tcW w:w="12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46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FF0FC"/>
          </w:tcPr>
          <w:p>
            <w:pPr>
              <w:spacing w:after="0"/>
              <w:rPr>
                <w:sz w:val="19"/>
                <w:szCs w:val="19"/>
                <w:color w:val="auto"/>
              </w:rPr>
            </w:pPr>
          </w:p>
        </w:tc>
      </w:tr>
      <w:tr>
        <w:trPr>
          <w:trHeight w:val="223"/>
        </w:trPr>
        <w:tc>
          <w:tcPr>
            <w:tcW w:w="33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874.7</w:t>
            </w:r>
          </w:p>
        </w:tc>
        <w:tc>
          <w:tcPr>
            <w:tcW w:w="12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19"/>
                <w:szCs w:val="19"/>
                <w:color w:val="auto"/>
              </w:rPr>
            </w:pPr>
          </w:p>
        </w:tc>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19"/>
                <w:szCs w:val="19"/>
                <w:color w:val="auto"/>
              </w:rPr>
            </w:pPr>
          </w:p>
        </w:tc>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Stockholders' Equity:</w:t>
            </w: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w:t>
            </w:r>
          </w:p>
        </w:tc>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8220" w:type="dxa"/>
            <w:vAlign w:val="bottom"/>
            <w:gridSpan w:val="3"/>
          </w:tcPr>
          <w:p>
            <w:pPr>
              <w:ind w:left="500"/>
              <w:spacing w:after="0"/>
              <w:rPr>
                <w:sz w:val="20"/>
                <w:szCs w:val="20"/>
                <w:color w:val="auto"/>
              </w:rPr>
            </w:pPr>
            <w:r>
              <w:rPr>
                <w:rFonts w:ascii="Arial" w:cs="Arial" w:eastAsia="Arial" w:hAnsi="Arial"/>
                <w:sz w:val="18"/>
                <w:szCs w:val="18"/>
                <w:color w:val="auto"/>
              </w:rPr>
              <w:t>$0.001 par value; 10,000,000 shares authorized; no shares issued and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30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8220" w:type="dxa"/>
            <w:vAlign w:val="bottom"/>
            <w:gridSpan w:val="3"/>
          </w:tcPr>
          <w:p>
            <w:pPr>
              <w:ind w:left="500"/>
              <w:spacing w:after="0"/>
              <w:rPr>
                <w:sz w:val="20"/>
                <w:szCs w:val="20"/>
                <w:color w:val="auto"/>
              </w:rPr>
            </w:pPr>
            <w:r>
              <w:rPr>
                <w:rFonts w:ascii="Arial" w:cs="Arial" w:eastAsia="Arial" w:hAnsi="Arial"/>
                <w:sz w:val="18"/>
                <w:szCs w:val="18"/>
                <w:color w:val="auto"/>
              </w:rPr>
              <w:t>$0.001 par value; 120,000,000 shares authorized, 66,963,006 and 65,871,648</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220" w:type="dxa"/>
            <w:vAlign w:val="bottom"/>
            <w:gridSpan w:val="3"/>
          </w:tcPr>
          <w:p>
            <w:pPr>
              <w:ind w:left="640"/>
              <w:spacing w:after="0"/>
              <w:rPr>
                <w:sz w:val="20"/>
                <w:szCs w:val="20"/>
                <w:color w:val="auto"/>
              </w:rPr>
            </w:pPr>
            <w:r>
              <w:rPr>
                <w:rFonts w:ascii="Arial" w:cs="Arial" w:eastAsia="Arial" w:hAnsi="Arial"/>
                <w:sz w:val="18"/>
                <w:szCs w:val="18"/>
                <w:color w:val="auto"/>
              </w:rPr>
              <w:t>shares issued, and 35,331,903 and 34,122,453 shares outstanding,</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300" w:type="dxa"/>
            <w:vAlign w:val="bottom"/>
          </w:tcPr>
          <w:p>
            <w:pPr>
              <w:ind w:left="640"/>
              <w:spacing w:after="0"/>
              <w:rPr>
                <w:sz w:val="20"/>
                <w:szCs w:val="20"/>
                <w:color w:val="auto"/>
              </w:rPr>
            </w:pPr>
            <w:r>
              <w:rPr>
                <w:rFonts w:ascii="Arial" w:cs="Arial" w:eastAsia="Arial" w:hAnsi="Arial"/>
                <w:sz w:val="18"/>
                <w:szCs w:val="18"/>
                <w:color w:val="auto"/>
                <w:w w:val="91"/>
              </w:rPr>
              <w:t>at June 2021 and 2020, respectively</w:t>
            </w:r>
          </w:p>
        </w:tc>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r>
      <w:tr>
        <w:trPr>
          <w:trHeight w:val="230"/>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1,340.2</w:t>
            </w:r>
          </w:p>
        </w:tc>
        <w:tc>
          <w:tcPr>
            <w:tcW w:w="120" w:type="dxa"/>
            <w:vAlign w:val="bottom"/>
            <w:shd w:val="clear" w:color="auto" w:fill="CFF0FC"/>
          </w:tcPr>
          <w:p>
            <w:pPr>
              <w:spacing w:after="0"/>
              <w:rPr>
                <w:sz w:val="19"/>
                <w:szCs w:val="19"/>
                <w:color w:val="auto"/>
              </w:rPr>
            </w:pPr>
          </w:p>
        </w:tc>
      </w:tr>
      <w:tr>
        <w:trPr>
          <w:trHeight w:val="215"/>
        </w:trPr>
        <w:tc>
          <w:tcPr>
            <w:tcW w:w="8220" w:type="dxa"/>
            <w:vAlign w:val="bottom"/>
            <w:gridSpan w:val="3"/>
          </w:tcPr>
          <w:p>
            <w:pPr>
              <w:ind w:left="260"/>
              <w:spacing w:after="0"/>
              <w:rPr>
                <w:sz w:val="20"/>
                <w:szCs w:val="20"/>
                <w:color w:val="auto"/>
              </w:rPr>
            </w:pPr>
            <w:r>
              <w:rPr>
                <w:rFonts w:ascii="Arial" w:cs="Arial" w:eastAsia="Arial" w:hAnsi="Arial"/>
                <w:sz w:val="18"/>
                <w:szCs w:val="18"/>
                <w:color w:val="auto"/>
              </w:rPr>
              <w:t>Treasury stock: 31,631,103 and 31,749,195 common shares at June 2021 and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300" w:type="dxa"/>
            <w:vAlign w:val="bottom"/>
          </w:tcPr>
          <w:p>
            <w:pPr>
              <w:ind w:left="380"/>
              <w:spacing w:after="0"/>
              <w:rPr>
                <w:sz w:val="20"/>
                <w:szCs w:val="20"/>
                <w:color w:val="auto"/>
              </w:rPr>
            </w:pPr>
            <w:r>
              <w:rPr>
                <w:rFonts w:ascii="Arial" w:cs="Arial" w:eastAsia="Arial" w:hAnsi="Arial"/>
                <w:sz w:val="18"/>
                <w:szCs w:val="18"/>
                <w:color w:val="auto"/>
              </w:rPr>
              <w:t>2020, respectively, at cost</w:t>
            </w:r>
          </w:p>
        </w:tc>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(1,205.4)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(1,222.6)</w:t>
            </w:r>
          </w:p>
        </w:tc>
      </w:tr>
      <w:tr>
        <w:trPr>
          <w:trHeight w:val="230"/>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46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701.4</w:t>
            </w:r>
          </w:p>
        </w:tc>
        <w:tc>
          <w:tcPr>
            <w:tcW w:w="120" w:type="dxa"/>
            <w:vAlign w:val="bottom"/>
            <w:shd w:val="clear" w:color="auto" w:fill="CFF0FC"/>
          </w:tcPr>
          <w:p>
            <w:pPr>
              <w:spacing w:after="0"/>
              <w:rPr>
                <w:sz w:val="19"/>
                <w:szCs w:val="19"/>
                <w:color w:val="auto"/>
              </w:rPr>
            </w:pPr>
          </w:p>
        </w:tc>
      </w:tr>
      <w:tr>
        <w:trPr>
          <w:trHeight w:val="223"/>
        </w:trPr>
        <w:tc>
          <w:tcPr>
            <w:tcW w:w="3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46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20" w:type="dxa"/>
            <w:vAlign w:val="bottom"/>
            <w:tcBorders>
              <w:bottom w:val="single" w:sz="8" w:color="CFF0FC"/>
            </w:tcBorders>
          </w:tcPr>
          <w:p>
            <w:pPr>
              <w:spacing w:after="0"/>
              <w:rPr>
                <w:sz w:val="19"/>
                <w:szCs w:val="19"/>
                <w:color w:val="auto"/>
              </w:rPr>
            </w:pPr>
          </w:p>
        </w:tc>
      </w:tr>
      <w:tr>
        <w:trPr>
          <w:trHeight w:val="223"/>
        </w:trPr>
        <w:tc>
          <w:tcPr>
            <w:tcW w:w="3300" w:type="dxa"/>
            <w:vAlign w:val="bottom"/>
            <w:tcBorders>
              <w:bottom w:val="single" w:sz="8" w:color="CFF0FC"/>
            </w:tcBorders>
            <w:shd w:val="clear" w:color="auto" w:fill="CFF0FC"/>
          </w:tcPr>
          <w:p>
            <w:pPr>
              <w:spacing w:after="0"/>
              <w:rPr>
                <w:sz w:val="19"/>
                <w:szCs w:val="19"/>
                <w:color w:val="auto"/>
              </w:rPr>
            </w:pPr>
          </w:p>
        </w:tc>
        <w:tc>
          <w:tcPr>
            <w:tcW w:w="46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4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6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Restructuring costs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audio technology assets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income/(loss)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Loss on redemption of convertible notes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assets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Impairment recovery on investments, net</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Income/(loss) before provision for income taxes and equity investment loss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 loss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500"/>
              <w:spacing w:after="0"/>
              <w:rPr>
                <w:sz w:val="20"/>
                <w:szCs w:val="20"/>
                <w:color w:val="auto"/>
              </w:rPr>
            </w:pPr>
            <w:r>
              <w:rPr>
                <w:rFonts w:ascii="Arial" w:cs="Arial" w:eastAsia="Arial" w:hAnsi="Arial"/>
                <w:sz w:val="18"/>
                <w:szCs w:val="18"/>
                <w:color w:val="auto"/>
              </w:rPr>
              <w:t>Net income/(loss)</w:t>
            </w:r>
          </w:p>
        </w:tc>
        <w:tc>
          <w:tcPr>
            <w:tcW w:w="6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4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118.8</w:t>
            </w:r>
          </w:p>
        </w:tc>
        <w:tc>
          <w:tcPr>
            <w:tcW w:w="24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604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40" w:type="dxa"/>
            <w:vAlign w:val="bottom"/>
          </w:tcPr>
          <w:p>
            <w:pPr>
              <w:spacing w:after="0"/>
              <w:rPr>
                <w:sz w:val="20"/>
                <w:szCs w:val="20"/>
                <w:color w:val="auto"/>
              </w:rPr>
            </w:pPr>
            <w:r>
              <w:rPr>
                <w:rFonts w:ascii="Arial" w:cs="Arial" w:eastAsia="Arial" w:hAnsi="Arial"/>
                <w:sz w:val="18"/>
                <w:szCs w:val="18"/>
                <w:color w:val="auto"/>
              </w:rPr>
              <w:t>Net income/(loss) per share:</w:t>
            </w: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6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FF0FC"/>
            </w:tcBorders>
            <w:vMerge w:val="continue"/>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Shares used in computing net income/(loss)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2" w:name="page63"/>
    <w:bookmarkEnd w:id="62"/>
    <w:p>
      <w:pPr>
        <w:jc w:val="center"/>
        <w:spacing w:after="0" w:line="275" w:lineRule="auto"/>
        <w:rPr>
          <w:sz w:val="20"/>
          <w:szCs w:val="20"/>
          <w:color w:val="auto"/>
        </w:rPr>
      </w:pPr>
      <w:r>
        <w:rPr>
          <w:rFonts w:ascii="Arial" w:cs="Arial" w:eastAsia="Arial" w:hAnsi="Arial"/>
          <w:sz w:val="18"/>
          <w:szCs w:val="18"/>
          <w:b w:val="1"/>
          <w:bCs w:val="1"/>
          <w:color w:val="auto"/>
        </w:rPr>
        <w:t xml:space="preserve">SYNAPTICS INCORPORATED AND SUBSIDIARIES CONSOLIDATED STATEMENTS OF COMPREHENSIVE INCOME/(LOSS) </w:t>
      </w:r>
      <w:r>
        <w:rPr>
          <w:rFonts w:ascii="Arial" w:cs="Arial" w:eastAsia="Arial" w:hAnsi="Arial"/>
          <w:sz w:val="18"/>
          <w:szCs w:val="18"/>
          <w:color w:val="auto"/>
        </w:rPr>
        <w:t>(in millions)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CFF0FC"/>
            </w:tcBorders>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15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net loss on investments</w:t>
            </w:r>
          </w:p>
        </w:tc>
        <w:tc>
          <w:tcPr>
            <w:tcW w:w="15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Comprehensive income/(loss)</w:t>
            </w:r>
          </w:p>
        </w:tc>
        <w:tc>
          <w:tcPr>
            <w:tcW w:w="15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79.6</w:t>
            </w:r>
          </w:p>
        </w:tc>
        <w:tc>
          <w:tcPr>
            <w:tcW w:w="24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118.8</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214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Retained</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16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81"/>
              <w:spacing w:after="0" w:line="155"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2018</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62,889,679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(1,073.9)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396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1,394,269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396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(118.5)</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Balance at June 2019, as reported</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64,283,948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(1,192.4)</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effect of changes in accounting</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principles for leases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(0.9)</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Balance at June 2019, as adjusted</w:t>
            </w: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64,283,948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(1,192.4)</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1,587,700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396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Balance at June 2020</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65,871,648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(1,222.6)</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1,091,358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issued for redemption of</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notes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Balance at June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66,963,006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(1,205.4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3"/>
                <w:szCs w:val="13"/>
                <w:b w:val="1"/>
                <w:bCs w:val="1"/>
                <w:color w:val="auto"/>
              </w:rPr>
              <w:t>Fiscal Year</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82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472"/>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7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96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3"/>
                <w:szCs w:val="13"/>
                <w:color w:val="auto"/>
              </w:rPr>
              <w:t>Net income/(loss)</w:t>
            </w:r>
          </w:p>
        </w:tc>
        <w:tc>
          <w:tcPr>
            <w:tcW w:w="1820" w:type="dxa"/>
            <w:vAlign w:val="bottom"/>
            <w:gridSpan w:val="2"/>
          </w:tcPr>
          <w:p>
            <w:pPr>
              <w:jc w:val="right"/>
              <w:ind w:right="713"/>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79.6</w:t>
            </w:r>
          </w:p>
        </w:tc>
        <w:tc>
          <w:tcPr>
            <w:tcW w:w="140" w:type="dxa"/>
            <w:vAlign w:val="bottom"/>
          </w:tcPr>
          <w:p>
            <w:pPr>
              <w:spacing w:after="0"/>
              <w:rPr>
                <w:sz w:val="14"/>
                <w:szCs w:val="14"/>
                <w:color w:val="auto"/>
              </w:rPr>
            </w:pPr>
          </w:p>
        </w:tc>
        <w:tc>
          <w:tcPr>
            <w:tcW w:w="32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118.8</w:t>
            </w:r>
          </w:p>
        </w:tc>
        <w:tc>
          <w:tcPr>
            <w:tcW w:w="24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income/(loss) to net cash provided by operating activities:</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3"/>
                <w:szCs w:val="13"/>
                <w:color w:val="auto"/>
              </w:rPr>
              <w:t>Share-based compensation costs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49.3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Depreciation and amortization</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3"/>
                <w:szCs w:val="13"/>
                <w:color w:val="auto"/>
              </w:rPr>
              <w:t>Acquired intangibles amortization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51.4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 on sale of audio technology assets</w:t>
            </w:r>
          </w:p>
        </w:tc>
        <w:tc>
          <w:tcPr>
            <w:tcW w:w="9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3"/>
                <w:szCs w:val="13"/>
                <w:color w:val="auto"/>
              </w:rPr>
              <w:t>Gain on sale of assets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(105.1)</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 on sale of property and equipment</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3"/>
                <w:szCs w:val="13"/>
                <w:color w:val="auto"/>
              </w:rPr>
              <w:t>Loss on redemption of convertible notes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taxes</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3"/>
                <w:szCs w:val="13"/>
                <w:color w:val="auto"/>
              </w:rPr>
              <w:t>Amortization of convertible debt discount and issuance costs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debt issuance costs</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3"/>
                <w:szCs w:val="13"/>
                <w:color w:val="auto"/>
              </w:rPr>
              <w:t>Amortization of cost of development services</w:t>
            </w: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Impairment recovery on investments, net</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3"/>
                <w:szCs w:val="13"/>
                <w:color w:val="auto"/>
              </w:rPr>
              <w:t>Acquired in-process research and development</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Arbitration settlement</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3"/>
                <w:szCs w:val="13"/>
                <w:color w:val="auto"/>
              </w:rPr>
              <w:t>Equity investment loss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Provision for bad debt reserves</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3"/>
                <w:szCs w:val="13"/>
                <w:color w:val="auto"/>
              </w:rPr>
              <w:t>Foreign currency remeasurement (gain)/loss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Changes in operating assets and liabilities, net of acquisitions:</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500"/>
              <w:spacing w:after="0"/>
              <w:rPr>
                <w:sz w:val="20"/>
                <w:szCs w:val="20"/>
                <w:color w:val="auto"/>
              </w:rPr>
            </w:pPr>
            <w:r>
              <w:rPr>
                <w:rFonts w:ascii="Arial" w:cs="Arial" w:eastAsia="Arial" w:hAnsi="Arial"/>
                <w:sz w:val="13"/>
                <w:szCs w:val="13"/>
                <w:color w:val="auto"/>
              </w:rPr>
              <w:t>Accounts receivable, net</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Inventories</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62"/>
        </w:trPr>
        <w:tc>
          <w:tcPr>
            <w:tcW w:w="5700" w:type="dxa"/>
            <w:vAlign w:val="bottom"/>
          </w:tcPr>
          <w:p>
            <w:pPr>
              <w:ind w:left="500"/>
              <w:spacing w:after="0"/>
              <w:rPr>
                <w:sz w:val="20"/>
                <w:szCs w:val="20"/>
                <w:color w:val="auto"/>
              </w:rPr>
            </w:pPr>
            <w:r>
              <w:rPr>
                <w:rFonts w:ascii="Arial" w:cs="Arial" w:eastAsia="Arial" w:hAnsi="Arial"/>
                <w:sz w:val="13"/>
                <w:szCs w:val="13"/>
                <w:color w:val="auto"/>
              </w:rPr>
              <w:t>Prepaid expenses and other current assets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(2.9)</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assets</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500"/>
              <w:spacing w:after="0"/>
              <w:rPr>
                <w:sz w:val="20"/>
                <w:szCs w:val="20"/>
                <w:color w:val="auto"/>
              </w:rPr>
            </w:pPr>
            <w:r>
              <w:rPr>
                <w:rFonts w:ascii="Arial" w:cs="Arial" w:eastAsia="Arial" w:hAnsi="Arial"/>
                <w:sz w:val="13"/>
                <w:szCs w:val="13"/>
                <w:color w:val="auto"/>
              </w:rPr>
              <w:t>Accounts payable</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(36.2)</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(55.8)</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Accrued compensation</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500"/>
              <w:spacing w:after="0"/>
              <w:rPr>
                <w:sz w:val="20"/>
                <w:szCs w:val="20"/>
                <w:color w:val="auto"/>
              </w:rPr>
            </w:pPr>
            <w:r>
              <w:rPr>
                <w:rFonts w:ascii="Arial" w:cs="Arial" w:eastAsia="Arial" w:hAnsi="Arial"/>
                <w:sz w:val="13"/>
                <w:szCs w:val="13"/>
                <w:color w:val="auto"/>
              </w:rPr>
              <w:t>Acquisition related liabilities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Income taxes payable</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500"/>
              <w:spacing w:after="0"/>
              <w:rPr>
                <w:sz w:val="20"/>
                <w:szCs w:val="20"/>
                <w:color w:val="auto"/>
              </w:rPr>
            </w:pPr>
            <w:r>
              <w:rPr>
                <w:rFonts w:ascii="Arial" w:cs="Arial" w:eastAsia="Arial" w:hAnsi="Arial"/>
                <w:sz w:val="13"/>
                <w:szCs w:val="13"/>
                <w:color w:val="auto"/>
              </w:rPr>
              <w:t>Other accrued liabilities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(29.9)</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Net cash provided by operating activities</w:t>
            </w:r>
          </w:p>
        </w:tc>
        <w:tc>
          <w:tcPr>
            <w:tcW w:w="96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spacing w:after="0"/>
              <w:rPr>
                <w:sz w:val="13"/>
                <w:szCs w:val="13"/>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319.2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221.8</w:t>
            </w:r>
          </w:p>
        </w:tc>
        <w:tc>
          <w:tcPr>
            <w:tcW w:w="2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154.2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 of assets</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3"/>
                <w:szCs w:val="13"/>
                <w:color w:val="auto"/>
              </w:rPr>
              <w:t>Purchase of in-process research and development</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(2.5)</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spacing w:after="0"/>
              <w:rPr>
                <w:sz w:val="20"/>
                <w:szCs w:val="20"/>
                <w:color w:val="auto"/>
              </w:rPr>
            </w:pPr>
            <w:r>
              <w:rPr>
                <w:rFonts w:ascii="Arial" w:cs="Arial" w:eastAsia="Arial" w:hAnsi="Arial"/>
                <w:sz w:val="13"/>
                <w:szCs w:val="13"/>
                <w:color w:val="auto"/>
              </w:rPr>
              <w:t>Acquisition of businesses, net of cash and cash equivalents acquired</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(626.5)</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3"/>
                <w:szCs w:val="13"/>
                <w:color w:val="auto"/>
              </w:rPr>
              <w:t>Proceeds from sale of audio technology assets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sales of investments</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3"/>
                <w:szCs w:val="13"/>
                <w:color w:val="auto"/>
              </w:rPr>
              <w:t>Purchases of property and equipment</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(16.3)</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spacing w:after="0"/>
              <w:rPr>
                <w:sz w:val="20"/>
                <w:szCs w:val="20"/>
                <w:color w:val="auto"/>
              </w:rPr>
            </w:pPr>
            <w:r>
              <w:rPr>
                <w:rFonts w:ascii="Arial" w:cs="Arial" w:eastAsia="Arial" w:hAnsi="Arial"/>
                <w:sz w:val="13"/>
                <w:szCs w:val="13"/>
                <w:color w:val="auto"/>
              </w:rPr>
              <w:t>Cost method investment</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color w:val="auto"/>
              </w:rPr>
              <w:t>Net cash provided by/(used in) investing activities</w:t>
            </w:r>
          </w:p>
        </w:tc>
        <w:tc>
          <w:tcPr>
            <w:tcW w:w="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(522.6)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119.9</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56"/>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96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3"/>
                <w:szCs w:val="13"/>
                <w:color w:val="auto"/>
              </w:rPr>
              <w:t>Proceeds from issuance of debt</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spacing w:after="0"/>
              <w:rPr>
                <w:sz w:val="20"/>
                <w:szCs w:val="20"/>
                <w:color w:val="auto"/>
              </w:rPr>
            </w:pPr>
            <w:r>
              <w:rPr>
                <w:rFonts w:ascii="Arial" w:cs="Arial" w:eastAsia="Arial" w:hAnsi="Arial"/>
                <w:sz w:val="13"/>
                <w:szCs w:val="13"/>
                <w:color w:val="auto"/>
              </w:rPr>
              <w:t>Proceeds from borrowings under line-of-credit</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3"/>
                <w:szCs w:val="13"/>
                <w:color w:val="auto"/>
              </w:rPr>
              <w:t>Payment on line of credit borrowings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spacing w:after="0"/>
              <w:rPr>
                <w:sz w:val="20"/>
                <w:szCs w:val="20"/>
                <w:color w:val="auto"/>
              </w:rPr>
            </w:pPr>
            <w:r>
              <w:rPr>
                <w:rFonts w:ascii="Arial" w:cs="Arial" w:eastAsia="Arial" w:hAnsi="Arial"/>
                <w:sz w:val="13"/>
                <w:szCs w:val="13"/>
                <w:color w:val="auto"/>
              </w:rPr>
              <w:t>Purchases of treasury stock</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(30.2)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(118.5)</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3"/>
                <w:szCs w:val="13"/>
                <w:color w:val="auto"/>
              </w:rPr>
              <w:t>Proceeds from issuance of shares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34.5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spacing w:after="0"/>
              <w:rPr>
                <w:sz w:val="20"/>
                <w:szCs w:val="20"/>
                <w:color w:val="auto"/>
              </w:rPr>
            </w:pPr>
            <w:r>
              <w:rPr>
                <w:rFonts w:ascii="Arial" w:cs="Arial" w:eastAsia="Arial" w:hAnsi="Arial"/>
                <w:sz w:val="13"/>
                <w:szCs w:val="13"/>
                <w:color w:val="auto"/>
              </w:rPr>
              <w:t>Payment of debt issuance costs</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(0.7)</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3"/>
                <w:szCs w:val="13"/>
                <w:color w:val="auto"/>
              </w:rPr>
              <w:t>Payment for redemption of convertible notes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spacing w:after="0"/>
              <w:rPr>
                <w:sz w:val="20"/>
                <w:szCs w:val="20"/>
                <w:color w:val="auto"/>
              </w:rPr>
            </w:pPr>
            <w:r>
              <w:rPr>
                <w:rFonts w:ascii="Arial" w:cs="Arial" w:eastAsia="Arial" w:hAnsi="Arial"/>
                <w:sz w:val="13"/>
                <w:szCs w:val="13"/>
                <w:color w:val="auto"/>
              </w:rPr>
              <w:t>Payroll taxes for deferred stock and market stock units</w:t>
            </w:r>
          </w:p>
        </w:tc>
        <w:tc>
          <w:tcPr>
            <w:tcW w:w="9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(9.7)</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color w:val="auto"/>
              </w:rPr>
              <w:t>Net cash provided by/(used in) financing activities</w:t>
            </w:r>
          </w:p>
        </w:tc>
        <w:tc>
          <w:tcPr>
            <w:tcW w:w="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274.1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93.9</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(106.6)</w:t>
            </w:r>
          </w:p>
        </w:tc>
        <w:tc>
          <w:tcPr>
            <w:tcW w:w="0" w:type="dxa"/>
            <w:vAlign w:val="bottom"/>
          </w:tcPr>
          <w:p>
            <w:pPr>
              <w:spacing w:after="0"/>
              <w:rPr>
                <w:sz w:val="1"/>
                <w:szCs w:val="1"/>
                <w:color w:val="auto"/>
              </w:rPr>
            </w:pPr>
          </w:p>
        </w:tc>
      </w:tr>
      <w:tr>
        <w:trPr>
          <w:trHeight w:val="155"/>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96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3"/>
                <w:szCs w:val="13"/>
                <w:color w:val="auto"/>
              </w:rPr>
              <w:t>Net increase in cash and cash equivalents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435.6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at beginning of year</w:t>
            </w:r>
          </w:p>
        </w:tc>
        <w:tc>
          <w:tcPr>
            <w:tcW w:w="96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763.4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327.8</w:t>
            </w:r>
          </w:p>
        </w:tc>
        <w:tc>
          <w:tcPr>
            <w:tcW w:w="2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700" w:type="dxa"/>
            <w:vAlign w:val="bottom"/>
          </w:tcPr>
          <w:p>
            <w:pPr>
              <w:spacing w:after="0"/>
              <w:rPr>
                <w:sz w:val="20"/>
                <w:szCs w:val="20"/>
                <w:color w:val="auto"/>
              </w:rPr>
            </w:pPr>
            <w:r>
              <w:rPr>
                <w:rFonts w:ascii="Arial" w:cs="Arial" w:eastAsia="Arial" w:hAnsi="Arial"/>
                <w:sz w:val="13"/>
                <w:szCs w:val="13"/>
                <w:color w:val="auto"/>
              </w:rPr>
              <w:t>Cash and cash equivalents at end of year</w:t>
            </w:r>
          </w:p>
        </w:tc>
        <w:tc>
          <w:tcPr>
            <w:tcW w:w="1820" w:type="dxa"/>
            <w:vAlign w:val="bottom"/>
            <w:gridSpan w:val="2"/>
          </w:tcPr>
          <w:p>
            <w:pPr>
              <w:jc w:val="right"/>
              <w:ind w:right="713"/>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836.3</w:t>
            </w:r>
          </w:p>
        </w:tc>
        <w:tc>
          <w:tcPr>
            <w:tcW w:w="140" w:type="dxa"/>
            <w:vAlign w:val="bottom"/>
          </w:tcPr>
          <w:p>
            <w:pPr>
              <w:spacing w:after="0"/>
              <w:rPr>
                <w:sz w:val="17"/>
                <w:szCs w:val="17"/>
                <w:color w:val="auto"/>
              </w:rPr>
            </w:pPr>
          </w:p>
        </w:tc>
        <w:tc>
          <w:tcPr>
            <w:tcW w:w="32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763.4</w:t>
            </w:r>
          </w:p>
        </w:tc>
        <w:tc>
          <w:tcPr>
            <w:tcW w:w="240" w:type="dxa"/>
            <w:vAlign w:val="bottom"/>
          </w:tcPr>
          <w:p>
            <w:pPr>
              <w:spacing w:after="0"/>
              <w:rPr>
                <w:sz w:val="17"/>
                <w:szCs w:val="17"/>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327.8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7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Supplemental disclosures of cash flow information</w:t>
            </w:r>
          </w:p>
        </w:tc>
        <w:tc>
          <w:tcPr>
            <w:tcW w:w="96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7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paid for interest</w:t>
            </w:r>
          </w:p>
        </w:tc>
        <w:tc>
          <w:tcPr>
            <w:tcW w:w="960" w:type="dxa"/>
            <w:vAlign w:val="bottom"/>
            <w:tcBorders>
              <w:bottom w:val="single" w:sz="8" w:color="CFF0FC"/>
            </w:tcBorders>
          </w:tcPr>
          <w:p>
            <w:pPr>
              <w:spacing w:after="0"/>
              <w:rPr>
                <w:sz w:val="17"/>
                <w:szCs w:val="17"/>
                <w:color w:val="auto"/>
              </w:rPr>
            </w:pPr>
          </w:p>
        </w:tc>
        <w:tc>
          <w:tcPr>
            <w:tcW w:w="86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70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Cash paid for taxes</w:t>
            </w:r>
          </w:p>
        </w:tc>
        <w:tc>
          <w:tcPr>
            <w:tcW w:w="9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713"/>
              <w:spacing w:after="0" w:line="143"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39.7</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73"/>
              <w:spacing w:after="0" w:line="143" w:lineRule="exact"/>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18.9</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53"/>
              <w:spacing w:after="0" w:line="143"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16.4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color w:val="auto"/>
              </w:rPr>
              <w:t>Cash refund on taxes</w:t>
            </w:r>
          </w:p>
        </w:tc>
        <w:tc>
          <w:tcPr>
            <w:tcW w:w="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00" w:type="dxa"/>
            <w:vAlign w:val="bottom"/>
            <w:vMerge w:val="continue"/>
          </w:tcPr>
          <w:p>
            <w:pPr>
              <w:spacing w:after="0"/>
              <w:rPr>
                <w:sz w:val="15"/>
                <w:szCs w:val="15"/>
                <w:color w:val="auto"/>
              </w:rPr>
            </w:pPr>
          </w:p>
        </w:tc>
        <w:tc>
          <w:tcPr>
            <w:tcW w:w="1820" w:type="dxa"/>
            <w:vAlign w:val="bottom"/>
            <w:gridSpan w:val="2"/>
          </w:tcPr>
          <w:p>
            <w:pPr>
              <w:jc w:val="right"/>
              <w:ind w:right="713"/>
              <w:spacing w:after="0" w:line="143"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3" w:lineRule="exact"/>
              <w:rPr>
                <w:sz w:val="20"/>
                <w:szCs w:val="20"/>
                <w:color w:val="auto"/>
              </w:rPr>
            </w:pPr>
            <w:r>
              <w:rPr>
                <w:rFonts w:ascii="Arial" w:cs="Arial" w:eastAsia="Arial" w:hAnsi="Arial"/>
                <w:sz w:val="13"/>
                <w:szCs w:val="13"/>
                <w:color w:val="auto"/>
              </w:rPr>
              <w:t>0.3</w:t>
            </w:r>
          </w:p>
        </w:tc>
        <w:tc>
          <w:tcPr>
            <w:tcW w:w="140" w:type="dxa"/>
            <w:vAlign w:val="bottom"/>
          </w:tcPr>
          <w:p>
            <w:pPr>
              <w:spacing w:after="0"/>
              <w:rPr>
                <w:sz w:val="15"/>
                <w:szCs w:val="15"/>
                <w:color w:val="auto"/>
              </w:rPr>
            </w:pPr>
          </w:p>
        </w:tc>
        <w:tc>
          <w:tcPr>
            <w:tcW w:w="320" w:type="dxa"/>
            <w:vAlign w:val="bottom"/>
            <w:gridSpan w:val="2"/>
          </w:tcPr>
          <w:p>
            <w:pPr>
              <w:jc w:val="right"/>
              <w:ind w:right="73"/>
              <w:spacing w:after="0" w:line="143" w:lineRule="exact"/>
              <w:rPr>
                <w:sz w:val="20"/>
                <w:szCs w:val="20"/>
                <w:color w:val="auto"/>
              </w:rPr>
            </w:pPr>
            <w:r>
              <w:rPr>
                <w:rFonts w:ascii="Arial" w:cs="Arial" w:eastAsia="Arial" w:hAnsi="Arial"/>
                <w:sz w:val="13"/>
                <w:szCs w:val="13"/>
                <w:color w:val="auto"/>
              </w:rPr>
              <w:t>$</w:t>
            </w:r>
          </w:p>
        </w:tc>
        <w:tc>
          <w:tcPr>
            <w:tcW w:w="1120" w:type="dxa"/>
            <w:vAlign w:val="bottom"/>
          </w:tcPr>
          <w:p>
            <w:pPr>
              <w:jc w:val="right"/>
              <w:spacing w:after="0" w:line="143" w:lineRule="exact"/>
              <w:rPr>
                <w:sz w:val="20"/>
                <w:szCs w:val="20"/>
                <w:color w:val="auto"/>
              </w:rPr>
            </w:pPr>
            <w:r>
              <w:rPr>
                <w:rFonts w:ascii="Arial" w:cs="Arial" w:eastAsia="Arial" w:hAnsi="Arial"/>
                <w:sz w:val="13"/>
                <w:szCs w:val="13"/>
                <w:color w:val="auto"/>
              </w:rPr>
              <w:t>1.3</w:t>
            </w:r>
          </w:p>
        </w:tc>
        <w:tc>
          <w:tcPr>
            <w:tcW w:w="240" w:type="dxa"/>
            <w:vAlign w:val="bottom"/>
          </w:tcPr>
          <w:p>
            <w:pPr>
              <w:spacing w:after="0"/>
              <w:rPr>
                <w:sz w:val="15"/>
                <w:szCs w:val="15"/>
                <w:color w:val="auto"/>
              </w:rPr>
            </w:pPr>
          </w:p>
        </w:tc>
        <w:tc>
          <w:tcPr>
            <w:tcW w:w="300" w:type="dxa"/>
            <w:vAlign w:val="bottom"/>
          </w:tcPr>
          <w:p>
            <w:pPr>
              <w:jc w:val="right"/>
              <w:ind w:right="153"/>
              <w:spacing w:after="0" w:line="143" w:lineRule="exact"/>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line="143" w:lineRule="exact"/>
              <w:rPr>
                <w:sz w:val="20"/>
                <w:szCs w:val="20"/>
                <w:color w:val="auto"/>
              </w:rPr>
            </w:pPr>
            <w:r>
              <w:rPr>
                <w:rFonts w:ascii="Arial" w:cs="Arial" w:eastAsia="Arial" w:hAnsi="Arial"/>
                <w:sz w:val="13"/>
                <w:szCs w:val="13"/>
                <w:color w:val="auto"/>
              </w:rPr>
              <w:t>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7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i w:val="1"/>
                <w:iCs w:val="1"/>
                <w:color w:val="auto"/>
              </w:rPr>
              <w:t>Non-cash investing and financing activities:</w:t>
            </w:r>
          </w:p>
        </w:tc>
        <w:tc>
          <w:tcPr>
            <w:tcW w:w="96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3"/>
                <w:szCs w:val="13"/>
                <w:color w:val="auto"/>
              </w:rPr>
              <w:t>Property and equipment received but unpaid</w:t>
            </w:r>
          </w:p>
        </w:tc>
        <w:tc>
          <w:tcPr>
            <w:tcW w:w="1820" w:type="dxa"/>
            <w:vAlign w:val="bottom"/>
            <w:gridSpan w:val="2"/>
          </w:tcPr>
          <w:p>
            <w:pPr>
              <w:jc w:val="right"/>
              <w:ind w:right="713"/>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0.8</w:t>
            </w:r>
          </w:p>
        </w:tc>
        <w:tc>
          <w:tcPr>
            <w:tcW w:w="140" w:type="dxa"/>
            <w:vAlign w:val="bottom"/>
          </w:tcPr>
          <w:p>
            <w:pPr>
              <w:spacing w:after="0"/>
              <w:rPr>
                <w:sz w:val="14"/>
                <w:szCs w:val="14"/>
                <w:color w:val="auto"/>
              </w:rPr>
            </w:pPr>
          </w:p>
        </w:tc>
        <w:tc>
          <w:tcPr>
            <w:tcW w:w="32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1.2</w:t>
            </w:r>
          </w:p>
        </w:tc>
        <w:tc>
          <w:tcPr>
            <w:tcW w:w="24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 and Basis of Presentation</w:t>
      </w:r>
    </w:p>
    <w:p>
      <w:pPr>
        <w:spacing w:after="0" w:line="11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We are a leading worldwide developer and supplier of custom-designed semiconductor solutions that is changing the way humans engage with connected devices and data, engineering exceptional experiences throughout the home, at work, in the car and on the go. We currently generate revenue from the markets for Internet of Things, or IoT, products, which include smart devices with voice, speech, video, wireless connectivity, smartphones, augmented reality and virtual reality devices, tablets, personal computer, or PC, products, and other select electronic devices, including devices in automobiles. We deliver semiconductor solutions including connectivity products, audio input and output System-On-Chips, or SoCs, high-definition video and vision SoCs, touch controllers, display drivers, fingerprint sensors, and touchpads, which comprise our semiconductor chip, firmware, and software as a complete customer solution.</w:t>
      </w:r>
    </w:p>
    <w:p>
      <w:pPr>
        <w:spacing w:after="0" w:line="195"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consolidated financial statements are presented in accordance with U.S. generally accepted accounting principles, or U.S. GAAP, and include our financial statements and those of our wholly owned subsidiaries. All significant intercompany balances and transactions have been eliminated upon consolidation.</w:t>
      </w:r>
    </w:p>
    <w:p>
      <w:pPr>
        <w:spacing w:after="0" w:line="184"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fiscal year is the 52- or 53-week period ending on the last Saturday in June. The fiscal years presented in this report were 52-week periods ended June 26, 2021, June 27, 2020 and June 29,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546"/>
        <w:spacing w:after="0" w:line="290"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including our expectations regarding the potential impacts on our business of the COVID-19 pandemic,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Investments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equivalents consist of highly liquid investments with original maturities of three months or less.</w:t>
      </w:r>
    </w:p>
    <w:p>
      <w:pPr>
        <w:spacing w:after="0" w:line="22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cash equivalents as of the end of fiscal 2021 are bank deposits and as of the end of fiscal 2020 were money market accounts with a fair value of $509.1 million and $521.1 million,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117"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measure certain financial assets and liabilities at fair value. When we measure fair value on either a recurring or nonrecurring basis, inputs used in valuation techniques are assigned a hierarchical level as follows:</w:t>
      </w:r>
    </w:p>
    <w:p>
      <w:pPr>
        <w:spacing w:after="0" w:line="62"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 inputs are observable inputs that reflect quoted prices for identical assets or liabilities in active markets.</w:t>
      </w:r>
    </w:p>
    <w:p>
      <w:pPr>
        <w:spacing w:after="0" w:line="117"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5"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Level 3 inputs are unobservable inputs reflecting our assumptions, which are incorporated into valuation techniques and models used to determine fair value. The assumptions are consistent with market participant assumptions that are reasonably available.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6" w:name="page67"/>
    <w:bookmarkEnd w:id="66"/>
    <w:p>
      <w:pPr>
        <w:jc w:val="both"/>
        <w:ind w:firstLine="546"/>
        <w:spacing w:after="0" w:line="263" w:lineRule="auto"/>
        <w:rPr>
          <w:sz w:val="20"/>
          <w:szCs w:val="20"/>
          <w:color w:val="auto"/>
        </w:rPr>
      </w:pPr>
      <w:r>
        <w:rPr>
          <w:rFonts w:ascii="Arial" w:cs="Arial" w:eastAsia="Arial" w:hAnsi="Arial"/>
          <w:sz w:val="18"/>
          <w:szCs w:val="18"/>
          <w:color w:val="auto"/>
        </w:rPr>
        <w:t>Our financial assets measured at fair value are bank deposits and money market accounts, are included on a recurring basis, and are level 1 within the fair value hierarchy. As of the end of fiscal 2021 our bank deposit balances were $509.1 million and at the end of fiscal 2020 our money market balances were $521.1 million.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in or out of our Level 1, 2 or 3 assets during fiscal 2021 or 2020.</w:t>
      </w:r>
    </w:p>
    <w:p>
      <w:pPr>
        <w:spacing w:after="0" w:line="225"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 The interest rate on our bank debt is variable, which is subject to change from time to time to reflect a market interest rate; accordingly, the carrying value of our bank debt approximates fair value.</w:t>
      </w:r>
    </w:p>
    <w:p>
      <w:pPr>
        <w:spacing w:after="0" w:line="187"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color w:val="auto"/>
        </w:rPr>
        <w:t>The fair value of our $400.0 million principal amount of 4.0% senior notes due 2029 is measured at fair value for disclosure purposes. The fair value of the senior notes as of June 26, 2021 was approximately $401.5 million, based on the last trading price of the senior notes for the period.</w:t>
      </w:r>
    </w:p>
    <w:p>
      <w:pPr>
        <w:spacing w:after="0" w:line="146"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fair value of our $505.6 million principal amount of 0.50% convertible notes due 2022 is measured at fair value for disclosure purposes. The fair value of the convertible notes as of June 26, 2021 was approximately $1,013.3 million, based on the last trading price of the convertible notes for the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equivalents, investments, and accounts receivable. Our investment policy, which is predicated on capital preservation and liquidity, limits investments to U.S. government treasuries and agency issues, taxable securities, and municipal issued securities with a minimum rating of A1 (Moody’s) or P1 (Standard and Poor’s) or their equivalent.</w:t>
      </w:r>
    </w:p>
    <w:p>
      <w:pPr>
        <w:spacing w:after="0" w:line="149"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sell our products to contract manufacturers that provide manufacturing services for OEMs, to some OEMs directly, and to distributors. We extend credit based on an evaluation of a customer’s financial condition, and we generally do not require collateral.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customers accounted for more than 10% of our accounts receivable balance as of the end of fiscal 2021 and 2020:</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4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2021</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15%</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Customer B</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21%</w:t>
            </w:r>
          </w:p>
        </w:tc>
        <w:tc>
          <w:tcPr>
            <w:tcW w:w="8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626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9">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5"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Concentrations</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products include certain components that are currently single sourced. We believe other vendors would be able to provide similar components, however, the qualification of such vendors may require additional lead time. In order to mitigate any potential adverse impact from a supply disruption, we strive to maintain an adequate supply of critical single-sourced components.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Our revenue is primarily generated from the sale of ASIC chips, either directly to a customer or to a distributor. Revenue is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jc w:val="both"/>
        <w:ind w:firstLine="546"/>
        <w:spacing w:after="0" w:line="311"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9"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other accrued liabilities on our consolidated balance sheets.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applied to distributor inventory subject to stock rotation rights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74" w:lineRule="exact"/>
        <w:rPr>
          <w:sz w:val="20"/>
          <w:szCs w:val="20"/>
          <w:color w:val="auto"/>
        </w:rPr>
      </w:pPr>
    </w:p>
    <w:p>
      <w:pPr>
        <w:jc w:val="both"/>
        <w:ind w:firstLine="546"/>
        <w:spacing w:after="0" w:line="290" w:lineRule="auto"/>
        <w:rPr>
          <w:sz w:val="20"/>
          <w:szCs w:val="20"/>
          <w:color w:val="auto"/>
        </w:rPr>
      </w:pPr>
      <w:r>
        <w:rPr>
          <w:rFonts w:ascii="Arial" w:cs="Arial" w:eastAsia="Arial" w:hAnsi="Arial"/>
          <w:sz w:val="16"/>
          <w:szCs w:val="16"/>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In fiscal 2021, there was no material bad debt charge recorded on accounts receivable. There was $1.9 million of contract assets (i.e., unbilled accounts receivable, deferred commissions) recorded on the consolidated balance sheets as of June 26, 2021, and $0.4 million as of June 27, 2020. Contract assets are presented as part of prepaid expenses and other current assets. Contract liabilities and refund liabilities were $7.0 million and $36.1 million, respectively, as of June 26, 2021, and $3.2 million and $25.8 million, respectively, as of June 27, 2020. Both contract liabilities and refund liabilities are presented as part of customer obligations in other accrued liabilities on our consolidated balance sheets. During fiscal 2021 and 2020, we recognized $1.8 million and $2.0 million, respectively, in revenue related to contract liabilities outstanding as of the beginning of each such fiscal year.</w:t>
      </w:r>
    </w:p>
    <w:p>
      <w:pPr>
        <w:spacing w:after="0" w:line="165"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We invoice customers for each delivery upon shipment and recognize revenue in accordance with delivery terms. As of June 26, 2021, we did not have any remaining unsatisfied performance obligations with an original duration greater than one year. Accordingly, under the optional exception provided by the ASC, we do not disclose revenues allocated to future performance obligations of partially completed contracts. We have elected to account for shipping and handling costs as fulfillment costs before the customer obtains control of the goods. We continue to classify shipping and handling costs as a cost of revenue. We have elected to continue to account for collection of all taxes on a net basis.</w:t>
      </w:r>
    </w:p>
    <w:p>
      <w:pPr>
        <w:spacing w:after="0" w:line="176"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the product is shipped because such commissions are incurred after the product has been shipped.</w:t>
      </w:r>
    </w:p>
    <w:p>
      <w:pPr>
        <w:spacing w:after="0" w:line="184"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12 Segment, Customers, and Geographical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Advertising costs, if any, are expensed when incurred.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jc w:val="both"/>
        <w:ind w:firstLine="546"/>
        <w:spacing w:after="0" w:line="290" w:lineRule="auto"/>
        <w:rPr>
          <w:sz w:val="20"/>
          <w:szCs w:val="20"/>
          <w:color w:val="auto"/>
        </w:rPr>
      </w:pPr>
      <w:r>
        <w:rPr>
          <w:rFonts w:ascii="Arial" w:cs="Arial" w:eastAsia="Arial" w:hAnsi="Arial"/>
          <w:sz w:val="16"/>
          <w:szCs w:val="16"/>
          <w:color w:val="auto"/>
        </w:rPr>
        <w:t>We maintain allowances for doubtful accounts for estimated losses resulting from the inability of customers to meet their financial obligations. On an ongoing basis, we evaluate the collectability of accounts receivable based on a combination of factors. In circumstances in which we are aware of a specific customer’s potential inability to meet its financial obligation, we record a specific reserve of the bad debt against amounts due. In addition, we make judgments and estimates on the collectability of accounts receivable based on our historical bad debt experience, customers’ creditworthiness, current economic trends, recent changes in customers’ payment trends, and deterioration in customers’ operating results or financial position. If circumstances change adversely, additional bad debt allowances may be required. For the fiscal year ended June 26, 2021 there were no credit losses on our accounts receivable and for the fiscal year ended June 27, 2020 credit losses on our accounts receivable were $3.7 million, and they were insignificant in the fiscal year ended June 29, 2019, and we believe that an adequate allowance for doubtful accounts has been provided.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Our cost of revenue includes the cost of products shipped to our customers, which primarily includes the cost of products built to our specifications by our contract manufacturers, the cost of silicon wafers supplied by independent semiconductor wafer manufacturers, and the related assembly, package, and test costs of our products. Also included in our cost of revenue are personnel and related costs, including share-based compensation for quality assurance and manufacturing support personnel; logistics costs; depreciation of equipment supporting manufacturing; acquired intangibles amortization; fair value adjustments associated with acquired businesses; inventory write-downs and losses on purchase obligations; and warranty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Inventories are stated at the lower of cost (first-in, first-out method) or net realizable value as of the end of fiscal 2021 and 2020, and consisted of the following (in millions):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00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3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49.1</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3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32.9</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bottom w:val="single" w:sz="8" w:color="CFF0FC"/>
            </w:tcBorders>
          </w:tcPr>
          <w:p>
            <w:pPr>
              <w:spacing w:after="0"/>
              <w:rPr>
                <w:sz w:val="19"/>
                <w:szCs w:val="19"/>
                <w:color w:val="auto"/>
              </w:rPr>
            </w:pPr>
          </w:p>
        </w:tc>
      </w:tr>
      <w:tr>
        <w:trPr>
          <w:trHeight w:val="223"/>
        </w:trPr>
        <w:tc>
          <w:tcPr>
            <w:tcW w:w="400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82.0</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OEM customers of any product offerings incorporating our product solutions.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auto"/>
        </w:rPr>
        <w:t>We state property and equipment at cost less accumulated depreciation and amortization. We compute depreciation using the straight-line method over the estimated useful lives of the assets. We amortize leasehold improvements over the shorter of the lease term or the useful life of the asset.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252525"/>
        </w:rPr>
        <w:t>In December 2020, we invested $5.0 million in Eta Compute in exchange for preferred stock. This investment provides us with a strategic relationship that enables us to better address expanded industry opportunities for artificial intelligence applications. The investment is accounted for under the cost method.</w:t>
      </w:r>
    </w:p>
    <w:p>
      <w:pPr>
        <w:spacing w:after="0" w:line="7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In April 2017, we paid $18.4 million for a 14.4% interest in OXi Technology Ltd., or OXi. In April 2019, our investment ownership was reduced to 13.8% as a result of new investment in OXi. Our investment in OXi is included in non-current other assets on our consolidated balance sheets. We determined the equity method of accounting applies to our investment as we have significant influence over OXi’s operating and financial policies. We record our portion of OXi’s net income/(loss) on a one quarter lag due to the timing of the availability of OXi’s financial records. In addition, we amortize intangible assets that we recorded under the equity method of accounting, and such amortization as well as our portion of OXi’s net income/(loss) is included in equity investment loss on our consolidated statements of operations. We did not have any material related party transactions with OXi. As of June 26, 2021, we recorded a $7.7 million impairment charge on our investment in OXi, which is included in Equity investment loss in the consolidated statements of operations.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The U.S. dollar is our functional and reporting currency. We remeasure our monetary assets and liabilities not denominated in our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These foreign currency transactions and remeasurement gains and losses, resulted in a net loss of $1.4 million and $1.1 million in fiscal 2021 and 2019, respectively, and a net gain of $0.2 million in fiscal 2020. Gains and losses resulting from foreign currency transactions are included in selling, general, and administrative expenses in the consolidated statements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Changes in our goodwill balance for fiscal 2021 and 2020 were as follows (in millions):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18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1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360.8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Acquisition activity</w:t>
            </w: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209.2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Goodwill allocated to sale of product line</w:t>
            </w: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Ending balance</w:t>
            </w:r>
          </w:p>
        </w:tc>
        <w:tc>
          <w:tcPr>
            <w:tcW w:w="1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570.0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We have allocated our goodwill to two reporting units. We perform a qualitative assessment of goodwill in the fourth quarter of each fiscal year, or earlier if a triggering event occurs. In assessing the qualitative factors, we considered the impact of key factors including change in industry and competitive environment, potential impacts on our business of the COVID-19 pandemic, market capitalization, stock price, gross margin and cash flow from operating activities. During our qualitative assessment in fiscal 2021, we determined there were no triggering events that led us to performing a step 1 quantitative assessment. No goodwill impairment was recognized for fiscal 2021, 2020, and 2019.</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jc w:val="both"/>
        <w:ind w:firstLine="706"/>
        <w:spacing w:after="0" w:line="289" w:lineRule="auto"/>
        <w:rPr>
          <w:sz w:val="20"/>
          <w:szCs w:val="20"/>
          <w:color w:val="auto"/>
        </w:rPr>
      </w:pPr>
      <w:r>
        <w:rPr>
          <w:rFonts w:ascii="Arial" w:cs="Arial" w:eastAsia="Arial" w:hAnsi="Arial"/>
          <w:sz w:val="16"/>
          <w:szCs w:val="16"/>
          <w:color w:val="auto"/>
        </w:rPr>
        <w:t>We evaluate long-lived assets, such as property and equipment and intangible assets subject to amortization, for impairment whenever events or changes in circumstances indicate that the carrying value of an asset may not be recoverable. We measure recoverability of assets to be held and used by a comparison of the carrying amount of an asset to estimated undiscounted future cash flows expected to be generated by the asset. We review the carrying value of indefinite-lived intangible assets for impairment at least annually during the last quarter of our fiscal year, or more frequently if we believe indicators of impairment exist. If the carrying amount of the asset exceeds its estimated undiscounted future cash flows, we recognize an impairment charge in an amount by which the carrying amount of the asset exceeds the fair value of the asset. Assets to be disposed of would be separately presented in the consolidated balance sheets and reported at the lower of the carrying amount or fair value less costs to sell and would no longer be depreciated. The assets and liabilities of a disposed group classified as held for sale would be presented separately in the appropriate asset and liability sections of the consolidated balance sheets. No impairment of long-lived assets was recognized for fiscal 2021, 2020, and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We determine if a contract is a lease or contains a lease at the inception of the contract and reassess that conclusion if the contract is modified. All leases are assessed for classification as an operating lease or a finance lease. Operating lease right-of-use, or ROU, assets are included in non-current other assets on our consolidated balance sheet. Operating lease liabilities are separated into a current portion, included within other accrued liabilities on our consolidated balance sheet, and a non-current portion, included within other long-term liabilities on our consolidated balance sheet. We do not have any finance lease ROU assets or liabilities. ROU assets represent our right to use an underlying asset for the lease term and lease liabilities represent our obligation to make lease payments arising from the lease. We do not obtain and control the right to use the identified asset until the lease commencement date.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jc w:val="both"/>
        <w:ind w:firstLine="546"/>
        <w:spacing w:after="0" w:line="272" w:lineRule="auto"/>
        <w:rPr>
          <w:sz w:val="20"/>
          <w:szCs w:val="20"/>
          <w:color w:val="auto"/>
        </w:rPr>
      </w:pPr>
      <w:r>
        <w:rPr>
          <w:rFonts w:ascii="Arial" w:cs="Arial" w:eastAsia="Arial" w:hAnsi="Arial"/>
          <w:sz w:val="17"/>
          <w:szCs w:val="17"/>
          <w:color w:val="auto"/>
        </w:rPr>
        <w:t>Our lease liabilities are recognized at the applicable lease commencement date based on the present value of the lease payments required to be paid over the lease term. Because the interest rate implicit in the lease is not readily determinable, we generally use our incremental borrowing rate to discount the lease payments to present value. The estimated incremental borrowing rate is derived from information available at the lease commencement date. We factor in publicly available data for instruments with similar characteristics when calculating our incremental borrowing rates. Our ROU assets are also recognized at the applicable lease commencement date. The ROU asset equals the carrying amount of the related lease liability, adjusted for any lease payments made prior to lease commencement and lease incentives provided by the lessor. Variable lease payments are expensed as incurred and do not factor into the measurement of the applicable ROU asset or lease liability.</w:t>
      </w:r>
    </w:p>
    <w:p>
      <w:pPr>
        <w:spacing w:after="0" w:line="17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The term of our leases equals the non-cancellable period of the lease, including any rent-free periods provided by the lessor, and also include options to renew or extend the lease (including by not terminating the lease) that we are reasonably certain to exercise. We establish the term of each lease at lease commencement and reassess that term in subsequent periods if a triggering event occurs. Operating lease cost for lease payments is recognized on a straight-line basis over the lease term.</w:t>
      </w:r>
    </w:p>
    <w:p>
      <w:pPr>
        <w:spacing w:after="0" w:line="187"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lease contracts often include lease and non-lease components. For our leases, we have elected the practical expedient offered by the standard to not separate lease from non-lease components and account for them as a single lease component.</w:t>
      </w:r>
    </w:p>
    <w:p>
      <w:pPr>
        <w:spacing w:after="0" w:line="170"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have elected, for all classes of underlying assets, not to recognize ROU assets and lease liabilities for leases with a term of twelve months or less. Lease cost for short-term leases is recognized on a straight-line basis over the lease term.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Accrued Liabilities and Other Long-Term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end of fiscal 2021 and 2020, other accrued liabilities consisted of the following (in millions):</w:t>
      </w:r>
    </w:p>
    <w:p>
      <w:pPr>
        <w:spacing w:after="0" w:line="34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19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43.1</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Inventory obligations</w:t>
            </w: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17.0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9"/>
                <w:szCs w:val="19"/>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19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r>
      <w:tr>
        <w:trPr>
          <w:trHeight w:val="230"/>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30.7</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80" w:type="dxa"/>
            <w:vAlign w:val="bottom"/>
            <w:tcBorders>
              <w:bottom w:val="single" w:sz="8" w:color="CFF0FC"/>
            </w:tcBorders>
          </w:tcPr>
          <w:p>
            <w:pPr>
              <w:spacing w:after="0"/>
              <w:rPr>
                <w:sz w:val="19"/>
                <w:szCs w:val="19"/>
                <w:color w:val="auto"/>
              </w:rPr>
            </w:pPr>
          </w:p>
        </w:tc>
      </w:tr>
      <w:tr>
        <w:trPr>
          <w:trHeight w:val="223"/>
        </w:trPr>
        <w:tc>
          <w:tcPr>
            <w:tcW w:w="346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96.2</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end of fiscal 2021 and 2020, other long-term accrued liabilities consisted of the following (in millions):</w:t>
      </w:r>
    </w:p>
    <w:p>
      <w:pPr>
        <w:spacing w:after="0" w:line="252"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 payable, long-term</w:t>
            </w:r>
          </w:p>
        </w:tc>
        <w:tc>
          <w:tcPr>
            <w:tcW w:w="1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15.4</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Non-current deferred tax liability</w:t>
            </w:r>
          </w:p>
        </w:tc>
        <w:tc>
          <w:tcPr>
            <w:tcW w:w="1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27.1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24.0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9"/>
                <w:szCs w:val="19"/>
                <w:color w:val="auto"/>
              </w:rPr>
            </w:pPr>
          </w:p>
        </w:tc>
      </w:tr>
      <w:tr>
        <w:trPr>
          <w:trHeight w:val="230"/>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12.0</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FF0FC"/>
            </w:tcBorders>
          </w:tcPr>
          <w:p>
            <w:pPr>
              <w:spacing w:after="0"/>
              <w:rPr>
                <w:sz w:val="19"/>
                <w:szCs w:val="19"/>
                <w:color w:val="auto"/>
              </w:rPr>
            </w:pPr>
          </w:p>
        </w:tc>
      </w:tr>
      <w:tr>
        <w:trPr>
          <w:trHeight w:val="223"/>
        </w:trPr>
        <w:tc>
          <w:tcPr>
            <w:tcW w:w="38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78.5</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operate in one segment: the development, marketing, and sale of human experience semiconductor solutions for electronic devices and products. The chief operating decision maker, or CODM, is our CEO, Our CODM evaluates financial performance and allocates resources using financial information reported on a company-wide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We charge the estimated fair value less actual forfeitures to earnings on a straight-line basis over the vesting period of the entire underlying award, which is generally three to four years for our restricted stock units, or RSU, awards, three years for our market stock units, or MSU, awards, three years for our performance stock units, or PSU, awards, and up to one year for shares purchased under our 2019 employee stock purchase plan .</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jc w:val="both"/>
        <w:ind w:firstLine="546"/>
        <w:spacing w:after="0" w:line="296" w:lineRule="auto"/>
        <w:rPr>
          <w:sz w:val="20"/>
          <w:szCs w:val="20"/>
          <w:color w:val="auto"/>
        </w:rPr>
      </w:pPr>
      <w:r>
        <w:rPr>
          <w:rFonts w:ascii="Arial" w:cs="Arial" w:eastAsia="Arial" w:hAnsi="Arial"/>
          <w:sz w:val="16"/>
          <w:szCs w:val="16"/>
          <w:color w:val="auto"/>
        </w:rPr>
        <w:t>We estimate the fair value of market-based MSUs at the date of grant using a Monte Carlo simulation model and amortize those fair values over the requisite service period, which is generally three years. The Monte Carlo simulation model that we use to estimate the fair value of market-based MSUs at the date of grant incorporates into the valuation the possibility that the market condition may not be satisfied. Provided that the requisite service is rendered, the total fair value of the market-based MSUs at the date of grant must be recognized as compensation expense even if the market condition is not achieved. However, the number of shares that ultimately vest can vary significantly with the performance of the specified market criteria.</w:t>
      </w:r>
    </w:p>
    <w:p>
      <w:pPr>
        <w:spacing w:after="0" w:line="16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value PSUs using the aggregate intrinsic value on the date of grant and amortize the compensation expense over the three-year service period on a ratable basis, dependent upon the probability of meeting the performance measures.</w:t>
      </w:r>
    </w:p>
    <w:p>
      <w:pPr>
        <w:spacing w:after="0" w:line="170"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recognize compensation expense for phantom stock units on a straight-line basis for each tranche of each award based on the average closing price of our common stock over the thirty calendar days ended prior to each balance sheet date. As our phantom stock is a cash-settled award, it is recorded as a liability and remeasured each reporting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bases, and operating loss and tax credit carryforwards. We measure deferred tax assets and liabilities using enacted tax rates expected to apply to taxable income in the years in which those temporary differences are expected to be recovered or settled. We recognize the effect of a change in tax rates in income on deferred tax assets and liabilities in the period that includes the enactment date. We establish valuation allowances when necessary to reduce deferred tax assets to the amounts that are more likely than not to be realized.</w:t>
      </w:r>
    </w:p>
    <w:p>
      <w:pPr>
        <w:spacing w:after="0" w:line="192"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color w:val="auto"/>
        </w:rPr>
        <w:t>We use a two-step approach to recognizing and measuring uncertain tax positions. The first step is to determine whether it is more-likely-than-not that a tax position will be sustained upon examination, including resolution of any related appeals or litigation processes. The second step is to measure the tax benefit as the largest amount that is more than 50% likely of being realized upon ultimate settlement with a taxing authority. The calculation of tax liabilities involves significant judgment in estimating the impact of uncertainties in the application of highly complex tax laws. Resolution of these uncertainties in a manner inconsistent with our expectations could have a material impact on our consolidated financial position, results of operations, and cash flows. We believe we have adequately provided for reasonably foreseeable outcomes in connection with the resolution of income tax uncertainties. However,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Accordingly, our effective tax rate could fluctuate materially from period to period.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left="400" w:hanging="392"/>
        <w:spacing w:after="0"/>
        <w:tabs>
          <w:tab w:leader="none" w:pos="4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Income/(Loss) Per Share</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 computation of basic and diluted net income/(loss) per share for fiscal 2021, 2020, and 2019 was as follows (in millions, except per share amounts):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4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69"/>
        </w:trPr>
        <w:tc>
          <w:tcPr>
            <w:tcW w:w="4900" w:type="dxa"/>
            <w:vAlign w:val="bottom"/>
          </w:tcPr>
          <w:p>
            <w:pPr>
              <w:ind w:left="240"/>
              <w:spacing w:after="0"/>
              <w:rPr>
                <w:sz w:val="20"/>
                <w:szCs w:val="20"/>
                <w:color w:val="auto"/>
              </w:rPr>
            </w:pPr>
            <w:r>
              <w:rPr>
                <w:rFonts w:ascii="Arial" w:cs="Arial" w:eastAsia="Arial" w:hAnsi="Arial"/>
                <w:sz w:val="18"/>
                <w:szCs w:val="18"/>
                <w:color w:val="auto"/>
              </w:rPr>
              <w:t>Net income/(loss)</w:t>
            </w:r>
          </w:p>
        </w:tc>
        <w:tc>
          <w:tcPr>
            <w:tcW w:w="11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79.6</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118.8</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r>
      <w:tr>
        <w:trPr>
          <w:trHeight w:val="210"/>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4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34.8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r>
      <w:tr>
        <w:trPr>
          <w:trHeight w:val="229"/>
        </w:trPr>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Effect of dilutive share-based awards and convertible notes</w:t>
            </w: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40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38.3</w:t>
            </w:r>
          </w:p>
        </w:tc>
        <w:tc>
          <w:tcPr>
            <w:tcW w:w="2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80" w:type="dxa"/>
            <w:vAlign w:val="bottom"/>
            <w:tcBorders>
              <w:bottom w:val="single" w:sz="8" w:color="CFF0FC"/>
            </w:tcBorders>
          </w:tcPr>
          <w:p>
            <w:pPr>
              <w:spacing w:after="0"/>
              <w:rPr>
                <w:sz w:val="22"/>
                <w:szCs w:val="22"/>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4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69"/>
        </w:trPr>
        <w:tc>
          <w:tcPr>
            <w:tcW w:w="4900" w:type="dxa"/>
            <w:vAlign w:val="bottom"/>
          </w:tcPr>
          <w:p>
            <w:pPr>
              <w:ind w:left="240"/>
              <w:spacing w:after="0"/>
              <w:rPr>
                <w:sz w:val="20"/>
                <w:szCs w:val="20"/>
                <w:color w:val="auto"/>
              </w:rPr>
            </w:pPr>
            <w:r>
              <w:rPr>
                <w:rFonts w:ascii="Arial" w:cs="Arial" w:eastAsia="Arial" w:hAnsi="Arial"/>
                <w:sz w:val="18"/>
                <w:szCs w:val="18"/>
                <w:color w:val="auto"/>
              </w:rPr>
              <w:t>Basic</w:t>
            </w:r>
          </w:p>
        </w:tc>
        <w:tc>
          <w:tcPr>
            <w:tcW w:w="11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2.29</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3.54</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(0.66)</w:t>
            </w:r>
          </w:p>
        </w:tc>
      </w:tr>
      <w:tr>
        <w:trPr>
          <w:trHeight w:val="210"/>
        </w:trPr>
        <w:tc>
          <w:tcPr>
            <w:tcW w:w="49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2.08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Diluted net income per share does not include the effect of potential common shares related to certain share-based awards for fiscal 2021, 2020, and 2019 as follows (in millions):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100" w:type="dxa"/>
            <w:vAlign w:val="bottom"/>
            <w:gridSpan w:val="2"/>
          </w:tcPr>
          <w:p>
            <w:pPr>
              <w:jc w:val="right"/>
              <w:ind w:right="100"/>
              <w:spacing w:after="0"/>
              <w:rPr>
                <w:sz w:val="20"/>
                <w:szCs w:val="20"/>
                <w:color w:val="auto"/>
              </w:rPr>
            </w:pPr>
            <w:r>
              <w:rPr>
                <w:rFonts w:ascii="Arial" w:cs="Arial" w:eastAsia="Arial" w:hAnsi="Arial"/>
                <w:sz w:val="14"/>
                <w:szCs w:val="14"/>
                <w:color w:val="auto"/>
              </w:rPr>
              <w:t>2021</w:t>
            </w: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2020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19"/>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Share-based awards</w:t>
            </w: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These share-based awards were not included in the computation of diluted net income per share because the proceeds received, if any, from such share-based awards combined with the average unamortized compensation costs, were greater than the average market price of our common stock, and therefore, their effect would have been antidilutive.</w:t>
      </w:r>
    </w:p>
    <w:p>
      <w:pPr>
        <w:spacing w:after="0" w:line="184"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Our basic net income per share amounts for each period presented have been computed using the weighted average number of shares of common stock outstanding. Our diluted net income per share amounts for each period presented include the weighted average effect of potentially dilutive shares. We used the “treasury stock” method to determine the dilutive effect of our stock options, RSUs, MSUs, PSUs and our convertible notes.</w:t>
      </w:r>
    </w:p>
    <w:p>
      <w:pPr>
        <w:spacing w:after="0" w:line="334"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as of the end of fiscal 2021 and 2020 consisted of the following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Building and building improvements</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Up to 35 years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3 - 5 years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1 - 5 years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leasehold improvements</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3 - 10 years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software</w:t>
            </w:r>
          </w:p>
        </w:tc>
        <w:tc>
          <w:tcPr>
            <w:tcW w:w="14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3 - 7 years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(131.0)</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(131.2)</w:t>
            </w:r>
          </w:p>
        </w:tc>
      </w:tr>
      <w:tr>
        <w:trPr>
          <w:trHeight w:val="223"/>
        </w:trPr>
        <w:tc>
          <w:tcPr>
            <w:tcW w:w="66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fiscal 2021 and 2020, there was $19.8 million and $16.6 million, respectively, of property and equipment retired which was fully 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3" w:name="page74"/>
    <w:bookmarkEnd w:id="73"/>
    <w:p>
      <w:pPr>
        <w:ind w:right="7720" w:firstLine="8"/>
        <w:spacing w:after="0" w:line="377" w:lineRule="auto"/>
        <w:tabs>
          <w:tab w:leader="none" w:pos="39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Divestiture and Investment Acquisitions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p>
    <w:p>
      <w:pPr>
        <w:spacing w:after="0" w:line="11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On July 17, 2020, we entered into a definitive agreement to acquire 100% of equity interest in DisplayLink Corporation, or DisplayLink, a leader in high-performance video compression technology, for $305 million in cash adjusted for (i) estimated cash and cash equivalents and short-term investments at the closing (ii) estimated indebtedness outstanding immediately prior to the closing, (iii) unpaid portion as of the closing of certain transaction expenses incurred by DisplayLink, and (iv) the amount that the estimated working capital of DisplayLink exceeds or falls short, respectively, of a certain specified target working capital set forth in an Agreement and Plan of Merger, or the Merger Agreement, with $3.1 million of the purchase price held in escrow accounts for adjustments after closing and to secure the Seller Parties’ indemnification obligations under the Merger Agreement. The acquisition closed on July 31, 2020, or the DisplayLink Closing Date, whereupon we obtained high-performance video compression technology which will further enhance our current IoT business.</w:t>
      </w:r>
    </w:p>
    <w:p>
      <w:pPr>
        <w:spacing w:after="0" w:line="192"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 xml:space="preserve">This acquisition has been accounted for using the purchase method of accounting in accordance with the business acquisition guidance. </w:t>
      </w:r>
      <w:r>
        <w:rPr>
          <w:rFonts w:ascii="Arial" w:cs="Arial" w:eastAsia="Arial" w:hAnsi="Arial"/>
          <w:sz w:val="16"/>
          <w:szCs w:val="16"/>
          <w:color w:val="252525"/>
        </w:rPr>
        <w:t>Under the</w:t>
      </w:r>
      <w:r>
        <w:rPr>
          <w:rFonts w:ascii="Arial" w:cs="Arial" w:eastAsia="Arial" w:hAnsi="Arial"/>
          <w:sz w:val="16"/>
          <w:szCs w:val="16"/>
          <w:color w:val="auto"/>
        </w:rPr>
        <w:t xml:space="preserve"> </w:t>
      </w:r>
      <w:r>
        <w:rPr>
          <w:rFonts w:ascii="Arial" w:cs="Arial" w:eastAsia="Arial" w:hAnsi="Arial"/>
          <w:sz w:val="16"/>
          <w:szCs w:val="16"/>
          <w:color w:val="252525"/>
        </w:rPr>
        <w:t xml:space="preserve">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6"/>
          <w:szCs w:val="16"/>
          <w:color w:val="000000"/>
        </w:rPr>
        <w:t>consideration over the net tangible and identifiable</w:t>
      </w:r>
      <w:r>
        <w:rPr>
          <w:rFonts w:ascii="Arial" w:cs="Arial" w:eastAsia="Arial" w:hAnsi="Arial"/>
          <w:sz w:val="16"/>
          <w:szCs w:val="16"/>
          <w:color w:val="252525"/>
        </w:rPr>
        <w:t xml:space="preserve"> </w:t>
      </w:r>
      <w:r>
        <w:rPr>
          <w:rFonts w:ascii="Arial" w:cs="Arial" w:eastAsia="Arial" w:hAnsi="Arial"/>
          <w:sz w:val="16"/>
          <w:szCs w:val="16"/>
          <w:color w:val="000000"/>
        </w:rPr>
        <w:t xml:space="preserve">intangible assets acquired and liabilities has been recorded as goodwill. </w:t>
      </w:r>
      <w:r>
        <w:rPr>
          <w:rFonts w:ascii="Arial" w:cs="Arial" w:eastAsia="Arial" w:hAnsi="Arial"/>
          <w:sz w:val="16"/>
          <w:szCs w:val="16"/>
          <w:color w:val="252525"/>
        </w:rPr>
        <w:t>Our estimate of the fair values of the acquired intangible assets at June 26, 2021,</w:t>
      </w:r>
      <w:r>
        <w:rPr>
          <w:rFonts w:ascii="Arial" w:cs="Arial" w:eastAsia="Arial" w:hAnsi="Arial"/>
          <w:sz w:val="16"/>
          <w:szCs w:val="16"/>
          <w:color w:val="000000"/>
        </w:rPr>
        <w:t xml:space="preserve"> </w:t>
      </w:r>
      <w:r>
        <w:rPr>
          <w:rFonts w:ascii="Arial" w:cs="Arial" w:eastAsia="Arial" w:hAnsi="Arial"/>
          <w:sz w:val="16"/>
          <w:szCs w:val="16"/>
          <w:color w:val="252525"/>
        </w:rPr>
        <w:t>was based on established and accepted valuation techniques performed with the assistance of our third-party valuation specialists.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252525"/>
        </w:rPr>
        <w:t>The adjusted purchase price paid for DisplayLink was $444.0 million.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252525"/>
        </w:rPr>
        <w:t>The following table summarizes the amounts recorded for the estimated fair values of the assets acquired and liabilities assumed as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52525"/>
        </w:rPr>
        <w:t>DisplayLink Closing Date (in millions):</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Inventory</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Right-of-use lease asset</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8"/>
                <w:szCs w:val="18"/>
                <w:color w:val="auto"/>
              </w:rPr>
              <w:t>Total identifiable assets acquired</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404.6</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w:t>
            </w:r>
          </w:p>
        </w:tc>
      </w:tr>
      <w:tr>
        <w:trPr>
          <w:trHeight w:val="223"/>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14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Net identifiable assets acquired</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337.6</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assets acquired</w:t>
            </w:r>
          </w:p>
        </w:tc>
        <w:tc>
          <w:tcPr>
            <w:tcW w:w="1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501"/>
        <w:spacing w:after="0" w:line="263" w:lineRule="auto"/>
        <w:rPr>
          <w:sz w:val="20"/>
          <w:szCs w:val="20"/>
          <w:color w:val="auto"/>
        </w:rPr>
      </w:pPr>
      <w:r>
        <w:rPr>
          <w:rFonts w:ascii="Arial" w:cs="Arial" w:eastAsia="Arial" w:hAnsi="Arial"/>
          <w:sz w:val="18"/>
          <w:szCs w:val="18"/>
          <w:color w:val="auto"/>
        </w:rPr>
        <w:t>During the fiscal year ended June 26, 2021, we recorded measurement period adjustments of $0.9 million to goodwill comprising of increases of $2.3 million in prepaid expenses and decreases of $0.8 million to other accrued liabilities and increases of $1.4 million in other long-term liabilities for a net increase of $1.7 million to the fair value of other acquired net tangible assets.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4" w:name="page75"/>
    <w:bookmarkEnd w:id="74"/>
    <w:p>
      <w:pPr>
        <w:ind w:left="500"/>
        <w:spacing w:after="0"/>
        <w:rPr>
          <w:sz w:val="20"/>
          <w:szCs w:val="20"/>
          <w:color w:val="auto"/>
        </w:rPr>
      </w:pPr>
      <w:r>
        <w:rPr>
          <w:rFonts w:ascii="Arial" w:cs="Arial" w:eastAsia="Arial" w:hAnsi="Arial"/>
          <w:sz w:val="18"/>
          <w:szCs w:val="18"/>
          <w:color w:val="252525"/>
        </w:rPr>
        <w:t>The following table summarizes the estimated fair value of the intangible assets as of the DisplayLink Closing Date (in millions):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Estimated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Useful Lives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Estimated 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in 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9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 process research and development</w:t>
            </w:r>
          </w:p>
        </w:tc>
        <w:tc>
          <w:tcPr>
            <w:tcW w:w="114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Trade names</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w:t>
            </w:r>
          </w:p>
        </w:tc>
        <w:tc>
          <w:tcPr>
            <w:tcW w:w="9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Estimated fair value of acquired intangibles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11.0% to 11.5%. The fair value of these intangible assets is primarily affected by the projected revenue, gross margins, operating expenses, the technology migration curve, customer ramp up period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66"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In-process research and development consists of a next generation docking and video interface products for the IoT market. We expect to complete the in-process research and development project in early fiscal 2023.</w:t>
      </w:r>
    </w:p>
    <w:p>
      <w:pPr>
        <w:spacing w:after="0" w:line="170"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 xml:space="preserve">The value of goodwill reflects the anticipated synergies of the combined operations and workforce of DisplayLink as of the DisplayLink Closing Date. </w:t>
      </w:r>
      <w:r>
        <w:rPr>
          <w:rFonts w:ascii="Arial" w:cs="Arial" w:eastAsia="Arial" w:hAnsi="Arial"/>
          <w:sz w:val="18"/>
          <w:szCs w:val="18"/>
          <w:color w:val="252525"/>
        </w:rPr>
        <w:t>As of June 26, 2021, none of the goodwill is expected to be deductible for income tax purposes.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252525"/>
        </w:rPr>
        <w:t>Prior to the DisplayLink acquisition, we did not have an existing relationship or transactions with DisplayLink.</w:t>
      </w:r>
    </w:p>
    <w:p>
      <w:pPr>
        <w:spacing w:after="0" w:line="225"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252525"/>
        </w:rPr>
        <w:t xml:space="preserve">The consolidated financial statements include approximately $110.0 million of revenue from </w:t>
      </w:r>
      <w:r>
        <w:rPr>
          <w:rFonts w:ascii="Arial" w:cs="Arial" w:eastAsia="Arial" w:hAnsi="Arial"/>
          <w:sz w:val="18"/>
          <w:szCs w:val="18"/>
          <w:color w:val="000000"/>
        </w:rPr>
        <w:t>DisplayLink</w:t>
      </w:r>
      <w:r>
        <w:rPr>
          <w:rFonts w:ascii="Arial" w:cs="Arial" w:eastAsia="Arial" w:hAnsi="Arial"/>
          <w:sz w:val="18"/>
          <w:szCs w:val="18"/>
          <w:color w:val="252525"/>
        </w:rPr>
        <w:t xml:space="preserve"> from the </w:t>
      </w:r>
      <w:r>
        <w:rPr>
          <w:rFonts w:ascii="Arial" w:cs="Arial" w:eastAsia="Arial" w:hAnsi="Arial"/>
          <w:sz w:val="18"/>
          <w:szCs w:val="18"/>
          <w:color w:val="000000"/>
        </w:rPr>
        <w:t>DisplayLink</w:t>
      </w:r>
      <w:r>
        <w:rPr>
          <w:rFonts w:ascii="Arial" w:cs="Arial" w:eastAsia="Arial" w:hAnsi="Arial"/>
          <w:sz w:val="18"/>
          <w:szCs w:val="18"/>
          <w:color w:val="252525"/>
        </w:rPr>
        <w:t xml:space="preserve"> Closing Date through June 26, 2021. </w:t>
      </w:r>
      <w:r>
        <w:rPr>
          <w:rFonts w:ascii="Arial" w:cs="Arial" w:eastAsia="Arial" w:hAnsi="Arial"/>
          <w:sz w:val="18"/>
          <w:szCs w:val="18"/>
          <w:color w:val="000000"/>
        </w:rPr>
        <w:t>It is impracticable to determine the effect on net income attributable to DisplayLink as we integrated a substantial portion of</w:t>
      </w:r>
      <w:r>
        <w:rPr>
          <w:rFonts w:ascii="Arial" w:cs="Arial" w:eastAsia="Arial" w:hAnsi="Arial"/>
          <w:sz w:val="18"/>
          <w:szCs w:val="18"/>
          <w:color w:val="252525"/>
        </w:rPr>
        <w:t xml:space="preserve"> </w:t>
      </w:r>
      <w:r>
        <w:rPr>
          <w:rFonts w:ascii="Arial" w:cs="Arial" w:eastAsia="Arial" w:hAnsi="Arial"/>
          <w:sz w:val="18"/>
          <w:szCs w:val="18"/>
          <w:color w:val="000000"/>
        </w:rPr>
        <w:t>DisplayLink into our ongoing operations during the first quarter of fiscal 2021</w:t>
      </w:r>
      <w:r>
        <w:rPr>
          <w:rFonts w:ascii="Arial" w:cs="Arial" w:eastAsia="Arial" w:hAnsi="Arial"/>
          <w:sz w:val="18"/>
          <w:szCs w:val="18"/>
          <w:color w:val="252525"/>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5" w:name="page76"/>
    <w:bookmarkEnd w:id="75"/>
    <w:p>
      <w:pPr>
        <w:jc w:val="both"/>
        <w:ind w:firstLine="546"/>
        <w:spacing w:after="0" w:line="296" w:lineRule="auto"/>
        <w:rPr>
          <w:sz w:val="20"/>
          <w:szCs w:val="20"/>
          <w:color w:val="auto"/>
        </w:rPr>
      </w:pPr>
      <w:r>
        <w:rPr>
          <w:rFonts w:ascii="Arial" w:cs="Arial" w:eastAsia="Arial" w:hAnsi="Arial"/>
          <w:sz w:val="16"/>
          <w:szCs w:val="16"/>
          <w:color w:val="252525"/>
        </w:rPr>
        <w:t>The following unaudited pro forma financial information (in millions, except per share data) presents the combined results of operations for us and DisplayLink as if the DisplayLink acquisition had occurred on June 30, 2019. The unaudited pro forma financial information has been prepared for comparative purposes only and does not purport to be indicative of the actual operating results that would have been recorded had the DisplayLink acquisition actually taken place on June 30, 2019 and should not be taken as indicative of future consolidated operating results. Additionally, the unaudited pro forma financial results do not include any anticipated synergies or other expected benefits from the DisplayLink acquisition.</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3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15"/>
                <w:szCs w:val="15"/>
                <w:b w:val="1"/>
                <w:bCs w:val="1"/>
                <w:color w:val="auto"/>
              </w:rPr>
              <w:t>(1)</w:t>
            </w:r>
          </w:p>
        </w:tc>
        <w:tc>
          <w:tcPr>
            <w:tcW w:w="1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1,449.9</w:t>
            </w:r>
          </w:p>
        </w:tc>
        <w:tc>
          <w:tcPr>
            <w:tcW w:w="80" w:type="dxa"/>
            <w:vAlign w:val="bottom"/>
            <w:shd w:val="clear" w:color="auto" w:fill="CFF0FC"/>
          </w:tcPr>
          <w:p>
            <w:pPr>
              <w:spacing w:after="0"/>
              <w:rPr>
                <w:sz w:val="19"/>
                <w:szCs w:val="19"/>
                <w:color w:val="auto"/>
              </w:rPr>
            </w:pPr>
          </w:p>
        </w:tc>
      </w:tr>
      <w:tr>
        <w:trPr>
          <w:trHeight w:val="228"/>
        </w:trPr>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19"/>
                <w:szCs w:val="19"/>
                <w:color w:val="auto"/>
              </w:rPr>
            </w:pPr>
          </w:p>
        </w:tc>
      </w:tr>
    </w:tbl>
    <w:p>
      <w:pPr>
        <w:ind w:left="2000" w:hanging="399"/>
        <w:spacing w:after="0"/>
        <w:tabs>
          <w:tab w:leader="none" w:pos="2000" w:val="left"/>
        </w:tabs>
        <w:numPr>
          <w:ilvl w:val="0"/>
          <w:numId w:val="33"/>
        </w:numPr>
        <w:rPr>
          <w:rFonts w:ascii="Arial" w:cs="Arial" w:eastAsia="Arial" w:hAnsi="Arial"/>
          <w:sz w:val="15"/>
          <w:szCs w:val="15"/>
          <w:color w:val="auto"/>
        </w:rPr>
      </w:pPr>
      <w:r>
        <w:rPr>
          <w:rFonts w:ascii="Arial" w:cs="Arial" w:eastAsia="Arial" w:hAnsi="Arial"/>
          <w:sz w:val="18"/>
          <w:szCs w:val="18"/>
          <w:color w:val="auto"/>
        </w:rPr>
        <w:t>Includes results of Broadcom Wireless Connectivity Business</w:t>
      </w:r>
    </w:p>
    <w:p>
      <w:pPr>
        <w:spacing w:after="0" w:line="212"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Pro forma adjustments used to arrive at pro forma net income/(loss) included adjustments for historical amortization expense, the addition of intangible amortization expense for the value of intangibles under the purchase price allocation, transaction costs and restructuring costs. The total pro forma adjustments for fiscal years 2021 and 2020 were a decrease to net income of $1.1 million and $33.8 million,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 Wireless Connectivity Business</w:t>
      </w:r>
    </w:p>
    <w:p>
      <w:pPr>
        <w:spacing w:after="0" w:line="117"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On July 2, 2020, we entered into definitive agreements with Broadcom to acquire certain assets and assume certain liabilities of, and obtain non-exclusive licenses relating to, Broadcom’s existing Wi-Fi, Bluetooth and GPS/GNSS products and business in the IoT market, or Broadcom Business Acquisition, for an aggregate consideration of $250 million in cash which closed on July 23, 2020, or the Broadcom Business Acquisition Closing Date. We also entered into certain transition agreements with Broadcom for a period of three years. We acquired these assets and assumed certain liabilities from Broadcom in order to obtain wireless connectivity technology which will enhance our current IoT business.</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252525"/>
        </w:rPr>
        <w:t xml:space="preserve">The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8"/>
          <w:szCs w:val="18"/>
          <w:color w:val="000000"/>
        </w:rPr>
        <w:t>consideration over the net tangible and identifiable</w:t>
      </w:r>
      <w:r>
        <w:rPr>
          <w:rFonts w:ascii="Arial" w:cs="Arial" w:eastAsia="Arial" w:hAnsi="Arial"/>
          <w:sz w:val="18"/>
          <w:szCs w:val="18"/>
          <w:color w:val="252525"/>
        </w:rPr>
        <w:t xml:space="preserve"> </w:t>
      </w:r>
      <w:r>
        <w:rPr>
          <w:rFonts w:ascii="Arial" w:cs="Arial" w:eastAsia="Arial" w:hAnsi="Arial"/>
          <w:sz w:val="18"/>
          <w:szCs w:val="18"/>
          <w:color w:val="000000"/>
        </w:rPr>
        <w:t>intangible assets acquired and liabilities has been recorded as goodwill. Our estimate of the fair values of the acquired intangible assets at the Broadcom Business Acquisition Closing Date was based on established and accepted valuation techniques performed with the assistance of our third-party valuation specialists.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252525"/>
        </w:rPr>
        <w:t>The following table summarizes the adjusted purchase price paid for the Broadcom Business Acquisition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Adjustments to consideration transferred, net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Roadmap products - estimated cost of development</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r>
              <w:rPr>
                <w:rFonts w:ascii="Arial" w:cs="Arial" w:eastAsia="Arial" w:hAnsi="Arial"/>
                <w:sz w:val="18"/>
                <w:szCs w:val="18"/>
                <w:u w:val="single" w:color="auto"/>
                <w:color w:val="auto"/>
              </w:rPr>
              <w:t>6</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760" w:type="dxa"/>
            <w:vAlign w:val="bottom"/>
            <w:vMerge w:val="restart"/>
          </w:tcPr>
          <w:p>
            <w:pPr>
              <w:ind w:left="3200"/>
              <w:spacing w:after="0"/>
              <w:rPr>
                <w:sz w:val="20"/>
                <w:szCs w:val="20"/>
                <w:color w:val="auto"/>
              </w:rPr>
            </w:pPr>
            <w:r>
              <w:rPr>
                <w:rFonts w:ascii="Arial" w:cs="Arial" w:eastAsia="Arial" w:hAnsi="Arial"/>
                <w:sz w:val="18"/>
                <w:szCs w:val="18"/>
                <w:color w:val="auto"/>
              </w:rPr>
              <w:t>F-20</w:t>
            </w: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2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jc w:val="both"/>
        <w:ind w:firstLine="546"/>
        <w:spacing w:after="0" w:line="288" w:lineRule="auto"/>
        <w:rPr>
          <w:sz w:val="20"/>
          <w:szCs w:val="20"/>
          <w:color w:val="auto"/>
        </w:rPr>
      </w:pPr>
      <w:r>
        <w:rPr>
          <w:rFonts w:ascii="Arial" w:cs="Arial" w:eastAsia="Arial" w:hAnsi="Arial"/>
          <w:sz w:val="16"/>
          <w:szCs w:val="16"/>
          <w:color w:val="auto"/>
        </w:rPr>
        <w:t>We entered into a derivative and roadmap product agreement and an asset purchase agreement with Broadcom. The derivative and roadmap product agreement includes the purchase of derivative and roadmap product development services to be performed by Broadcom. We estimated the value of the development services to be approximately $25.0 million, accounted for it separate from the business combination, and included $10.0 million in prepaid expenses and other current assets and $15.0 million ($5.8 million after amortization as of June 26, 2021) in non-current other assets in our consolidated balance sheets. The estimated value of the development services is amortizing over the period of time estimated to complete the development or approximately thirty months. The amortization of the estimated cost of development is included in research and development in our consolidated statements of comprehensive income. In addition, under the terms of the asset purchase agreement we provided replacement equity compensation awards to the transferred employees and Broadcom agreed to make cash payments to transferred employees as incentive to accept employment offers from our company. We determined $3.5 million of value related to these arrangements should be included as consideration transferred, which was partially offset by $2.0 million of cash payments to transferred employees as a reduction of consideration transferred.</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amounts recorded for the estimated fair values of the assets acquired and liabilities assumed as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Broadcom Business Acquisition Closing Date (in millions):</w:t>
      </w:r>
    </w:p>
    <w:p>
      <w:pPr>
        <w:spacing w:after="0" w:line="200" w:lineRule="exact"/>
        <w:rPr>
          <w:sz w:val="20"/>
          <w:szCs w:val="20"/>
          <w:color w:val="auto"/>
        </w:rPr>
      </w:pPr>
    </w:p>
    <w:p>
      <w:pPr>
        <w:spacing w:after="0" w:line="241"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Acquired intangible assets</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identifiable assets acquired</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8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FF0FC"/>
          </w:tcPr>
          <w:p>
            <w:pPr>
              <w:spacing w:after="0"/>
              <w:rPr>
                <w:sz w:val="19"/>
                <w:szCs w:val="19"/>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r>
              <w:rPr>
                <w:rFonts w:ascii="Arial" w:cs="Arial" w:eastAsia="Arial" w:hAnsi="Arial"/>
                <w:sz w:val="18"/>
                <w:szCs w:val="18"/>
                <w:u w:val="single" w:color="auto"/>
                <w:color w:val="auto"/>
              </w:rPr>
              <w:t>6</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is 2.2% for order backlog and 13.0% for the rest of the intangible assets. The fair value of these intangible assets is primarily affected by the projected revenue, gross margins, operating expenses, the technology migration curve, customer ramp up period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252525"/>
        </w:rPr>
        <w:t xml:space="preserve">The following table summarizes the estimate of the intangible assets as of the </w:t>
      </w:r>
      <w:r>
        <w:rPr>
          <w:rFonts w:ascii="Arial" w:cs="Arial" w:eastAsia="Arial" w:hAnsi="Arial"/>
          <w:sz w:val="17"/>
          <w:szCs w:val="17"/>
          <w:color w:val="000000"/>
        </w:rPr>
        <w:t>Broadcom Business Acquisition Closing Date</w:t>
      </w:r>
      <w:r>
        <w:rPr>
          <w:rFonts w:ascii="Arial" w:cs="Arial" w:eastAsia="Arial" w:hAnsi="Arial"/>
          <w:sz w:val="17"/>
          <w:szCs w:val="17"/>
          <w:color w:val="252525"/>
        </w:rPr>
        <w:t xml:space="preserve"> (in millions):</w:t>
      </w:r>
    </w:p>
    <w:p>
      <w:pPr>
        <w:spacing w:after="0" w:line="3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Estimated</w:t>
      </w:r>
    </w:p>
    <w:p>
      <w:pPr>
        <w:spacing w:after="0" w:line="17"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Useful Lives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Estimated 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in 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9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Order backlog</w:t>
            </w:r>
          </w:p>
        </w:tc>
        <w:tc>
          <w:tcPr>
            <w:tcW w:w="9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Estimated fair value of acquired intangibles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auto"/>
        </w:rPr>
        <w:t xml:space="preserve">The value of goodwill reflects the anticipated synergies of the combined operations and workforce of the transferred Broadcom Business assets as of the Broadcom Business Acquisition Closing Date. </w:t>
      </w:r>
      <w:r>
        <w:rPr>
          <w:rFonts w:ascii="Arial" w:cs="Arial" w:eastAsia="Arial" w:hAnsi="Arial"/>
          <w:sz w:val="16"/>
          <w:szCs w:val="16"/>
          <w:color w:val="252525"/>
        </w:rPr>
        <w:t>As of June 26, 2021, all of the goodwill is expected to be deductible for income tax purposes.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252525"/>
        </w:rPr>
        <w:t>Prior to the Broadcom Business Acquisition, we did not have an existing relationship or transactions with Broadcom.</w:t>
      </w:r>
    </w:p>
    <w:p>
      <w:pPr>
        <w:spacing w:after="0" w:line="225"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252525"/>
        </w:rPr>
        <w:t xml:space="preserve">The consolidated financial statements include approximately $100.4 million of revenue from the Broadcom Business Acquisition from the Broadcom Business Acquisition Closing Date through June 26, 2021. </w:t>
      </w:r>
      <w:r>
        <w:rPr>
          <w:rFonts w:ascii="Arial" w:cs="Arial" w:eastAsia="Arial" w:hAnsi="Arial"/>
          <w:sz w:val="16"/>
          <w:szCs w:val="16"/>
          <w:color w:val="000000"/>
        </w:rPr>
        <w:t>It is impracticable to determine the effect on net income attributable to the</w:t>
      </w:r>
      <w:r>
        <w:rPr>
          <w:rFonts w:ascii="Arial" w:cs="Arial" w:eastAsia="Arial" w:hAnsi="Arial"/>
          <w:sz w:val="16"/>
          <w:szCs w:val="16"/>
          <w:color w:val="252525"/>
        </w:rPr>
        <w:t xml:space="preserve"> Broadcom Business Acquisition </w:t>
      </w:r>
      <w:r>
        <w:rPr>
          <w:rFonts w:ascii="Arial" w:cs="Arial" w:eastAsia="Arial" w:hAnsi="Arial"/>
          <w:sz w:val="16"/>
          <w:szCs w:val="16"/>
          <w:color w:val="000000"/>
        </w:rPr>
        <w:t>as we had integrated a substantial portion of the</w:t>
      </w:r>
      <w:r>
        <w:rPr>
          <w:rFonts w:ascii="Arial" w:cs="Arial" w:eastAsia="Arial" w:hAnsi="Arial"/>
          <w:sz w:val="16"/>
          <w:szCs w:val="16"/>
          <w:color w:val="252525"/>
        </w:rPr>
        <w:t xml:space="preserve"> Broadcom Business Acquisition </w:t>
      </w:r>
      <w:r>
        <w:rPr>
          <w:rFonts w:ascii="Arial" w:cs="Arial" w:eastAsia="Arial" w:hAnsi="Arial"/>
          <w:sz w:val="16"/>
          <w:szCs w:val="16"/>
          <w:color w:val="000000"/>
        </w:rPr>
        <w:t>into our ongoing operations at the close</w:t>
      </w:r>
      <w:r>
        <w:rPr>
          <w:rFonts w:ascii="Arial" w:cs="Arial" w:eastAsia="Arial" w:hAnsi="Arial"/>
          <w:sz w:val="16"/>
          <w:szCs w:val="16"/>
          <w:color w:val="252525"/>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jc w:val="both"/>
        <w:ind w:firstLine="546"/>
        <w:spacing w:after="0" w:line="259"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determined it is impractical to include pro forma information given the difficulty in obtaining the historical financial information for the</w:t>
      </w:r>
      <w:r>
        <w:rPr>
          <w:rFonts w:ascii="Arial" w:cs="Arial" w:eastAsia="Arial" w:hAnsi="Arial"/>
          <w:sz w:val="18"/>
          <w:szCs w:val="18"/>
          <w:color w:val="auto"/>
        </w:rPr>
        <w:t xml:space="preserve"> </w:t>
      </w:r>
      <w:r>
        <w:rPr>
          <w:rFonts w:ascii="Arial" w:cs="Arial" w:eastAsia="Arial" w:hAnsi="Arial"/>
          <w:sz w:val="18"/>
          <w:szCs w:val="18"/>
          <w:color w:val="252525"/>
        </w:rPr>
        <w:t>Broadcom Business Acquisition as the business was part of Broadcom and did not have discrete financial information prior to the acquisition. Inclusion of such information would require us to make estimates and assumptions regarding the acquired business historical financial results that we believe may ultimately prove inaccurate.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In December 2020, we completed the sale of limited audio technology intangible assets, received a fully-paid up perpetual license back from the buyer and, as an element of the transaction licensed other audio technology intangible assets to the buyer under a fully-paid up perpetual license arrangement. Under the asset purchase agreement and the intellectual property license agreement, we received $35.0 million in cash. The gain on the sale of the audio technology assets was $34.2 million.</w:t>
      </w:r>
    </w:p>
    <w:p>
      <w:pPr>
        <w:spacing w:after="0" w:line="79"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In April 2020, we completed the sale of the assets of our LCD Touch Controller and Display Driver Integration product line, or TDDI, for LCD mobile displays. We retained our automotive TDDI product line and our discrete touch and discrete display driver product lines supporting LCD and OLED for the mobile market. The assets sold under the asset purchase agreement had a carrying value of approximately $33.6 million as of the closing date of the transaction for cash consideration of $138.7 million. The gain on sale of the assets was $105.1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252525"/>
        </w:rPr>
        <w:t>In December 2020, we invested $5.0 million in Eta Compute in exchange for preferred stock. This investment provides us with a partnership that enables us to better address expanded industry opportunities for artificial intelligence applications. The investment is accounted for under the cost method.</w:t>
      </w:r>
    </w:p>
    <w:p>
      <w:pPr>
        <w:spacing w:after="0" w:line="200" w:lineRule="exact"/>
        <w:rPr>
          <w:sz w:val="20"/>
          <w:szCs w:val="20"/>
          <w:color w:val="auto"/>
        </w:rPr>
      </w:pPr>
    </w:p>
    <w:p>
      <w:pPr>
        <w:spacing w:after="0" w:line="392"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Acquired Intangibles</w:t>
      </w:r>
    </w:p>
    <w:p>
      <w:pPr>
        <w:spacing w:after="0" w:line="121"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following table summarizes the life, the gross carrying value of our acquired intangible assets, and the related accumulated amortization as of the end of fiscal 2021 and 2020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1"/>
              </w:rPr>
              <w:t>Weighted</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6"/>
              </w:rPr>
              <w:t>2020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14"/>
              <w:spacing w:after="0" w:line="149" w:lineRule="exact"/>
              <w:rPr>
                <w:sz w:val="20"/>
                <w:szCs w:val="20"/>
                <w:color w:val="auto"/>
              </w:rPr>
            </w:pPr>
            <w:r>
              <w:rPr>
                <w:rFonts w:ascii="Arial" w:cs="Arial" w:eastAsia="Arial" w:hAnsi="Arial"/>
                <w:sz w:val="14"/>
                <w:szCs w:val="14"/>
                <w:color w:val="auto"/>
                <w:w w:val="90"/>
              </w:rPr>
              <w:t>Gross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14"/>
              <w:spacing w:after="0" w:line="149" w:lineRule="exact"/>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Life 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94"/>
              <w:spacing w:after="0" w:line="149" w:lineRule="exact"/>
              <w:rPr>
                <w:sz w:val="20"/>
                <w:szCs w:val="20"/>
                <w:color w:val="auto"/>
              </w:rPr>
            </w:pPr>
            <w:r>
              <w:rPr>
                <w:rFonts w:ascii="Arial" w:cs="Arial" w:eastAsia="Arial" w:hAnsi="Arial"/>
                <w:sz w:val="14"/>
                <w:szCs w:val="14"/>
                <w:color w:val="auto"/>
                <w:w w:val="98"/>
              </w:rPr>
              <w:t>Carrying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12"/>
                <w:szCs w:val="12"/>
                <w:color w:val="auto"/>
              </w:rPr>
            </w:pPr>
          </w:p>
        </w:tc>
        <w:tc>
          <w:tcPr>
            <w:tcW w:w="920" w:type="dxa"/>
            <w:vAlign w:val="bottom"/>
          </w:tcPr>
          <w:p>
            <w:pPr>
              <w:jc w:val="right"/>
              <w:ind w:right="53"/>
              <w:spacing w:after="0" w:line="149" w:lineRule="exact"/>
              <w:rPr>
                <w:sz w:val="20"/>
                <w:szCs w:val="20"/>
                <w:color w:val="auto"/>
              </w:rPr>
            </w:pPr>
            <w:r>
              <w:rPr>
                <w:rFonts w:ascii="Arial" w:cs="Arial" w:eastAsia="Arial" w:hAnsi="Arial"/>
                <w:sz w:val="14"/>
                <w:szCs w:val="14"/>
                <w:color w:val="auto"/>
                <w:w w:val="96"/>
              </w:rPr>
              <w:t>Net Carrying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4"/>
              <w:spacing w:after="0" w:line="149" w:lineRule="exact"/>
              <w:rPr>
                <w:sz w:val="20"/>
                <w:szCs w:val="20"/>
                <w:color w:val="auto"/>
              </w:rPr>
            </w:pPr>
            <w:r>
              <w:rPr>
                <w:rFonts w:ascii="Arial" w:cs="Arial" w:eastAsia="Arial" w:hAnsi="Arial"/>
                <w:sz w:val="14"/>
                <w:szCs w:val="14"/>
                <w:color w:val="auto"/>
                <w:w w:val="98"/>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Accumulated</w:t>
            </w:r>
          </w:p>
        </w:tc>
        <w:tc>
          <w:tcPr>
            <w:tcW w:w="10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Carrying</w:t>
            </w:r>
          </w:p>
        </w:tc>
        <w:tc>
          <w:tcPr>
            <w:tcW w:w="0" w:type="dxa"/>
            <w:vAlign w:val="bottom"/>
          </w:tcPr>
          <w:p>
            <w:pPr>
              <w:spacing w:after="0"/>
              <w:rPr>
                <w:sz w:val="1"/>
                <w:szCs w:val="1"/>
                <w:color w:val="auto"/>
              </w:rPr>
            </w:pPr>
          </w:p>
        </w:tc>
      </w:tr>
      <w:tr>
        <w:trPr>
          <w:trHeight w:val="167"/>
        </w:trPr>
        <w:tc>
          <w:tcPr>
            <w:tcW w:w="3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Years</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89"/>
              </w:rPr>
              <w:t>Value</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89"/>
              </w:rPr>
              <w:t>Value</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Value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Audio and video technology</w:t>
            </w:r>
          </w:p>
        </w:tc>
        <w:tc>
          <w:tcPr>
            <w:tcW w:w="88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Wireless connectivity technology</w:t>
            </w:r>
          </w:p>
        </w:tc>
        <w:tc>
          <w:tcPr>
            <w:tcW w:w="88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Video interface technology</w:t>
            </w: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88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Not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Backlog</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applicable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 and other</w:t>
            </w:r>
          </w:p>
        </w:tc>
        <w:tc>
          <w:tcPr>
            <w:tcW w:w="88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Patents</w:t>
            </w: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Tradename</w:t>
            </w:r>
          </w:p>
        </w:tc>
        <w:tc>
          <w:tcPr>
            <w:tcW w:w="88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Not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 process research and development</w:t>
            </w:r>
          </w:p>
        </w:tc>
        <w:tc>
          <w:tcPr>
            <w:tcW w:w="8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1"/>
              </w:rPr>
              <w:t>applicable</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gross</w:t>
            </w:r>
          </w:p>
        </w:tc>
        <w:tc>
          <w:tcPr>
            <w:tcW w:w="88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(243.2)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4"/>
          </w:tcPr>
          <w:p>
            <w:pPr>
              <w:jc w:val="right"/>
              <w:ind w:right="800"/>
              <w:spacing w:after="0"/>
              <w:rPr>
                <w:sz w:val="20"/>
                <w:szCs w:val="20"/>
                <w:color w:val="auto"/>
              </w:rPr>
            </w:pPr>
            <w:r>
              <w:rPr>
                <w:rFonts w:ascii="Arial" w:cs="Arial" w:eastAsia="Arial" w:hAnsi="Arial"/>
                <w:sz w:val="18"/>
                <w:szCs w:val="18"/>
                <w:color w:val="auto"/>
              </w:rPr>
              <w:t>F-22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jc w:val="both"/>
        <w:ind w:firstLine="546"/>
        <w:spacing w:after="0" w:line="277" w:lineRule="auto"/>
        <w:rPr>
          <w:sz w:val="20"/>
          <w:szCs w:val="20"/>
          <w:color w:val="auto"/>
        </w:rPr>
      </w:pPr>
      <w:r>
        <w:rPr>
          <w:rFonts w:ascii="Arial" w:cs="Arial" w:eastAsia="Arial" w:hAnsi="Arial"/>
          <w:sz w:val="18"/>
          <w:szCs w:val="18"/>
          <w:color w:val="auto"/>
        </w:rPr>
        <w:t>In fiscal 2021, there was $143.6 million of display driver developed technology and $28.3 million of customer relationships retired which were fully amortized. In fiscal 2020, there was $47.2 million of fingerprint authentication technology retired which was fully amortized.</w:t>
      </w:r>
    </w:p>
    <w:p>
      <w:pPr>
        <w:spacing w:after="0" w:line="197"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Amortization expense is calculated using the straight-line method over the estimated useful lives of the acquired intangibles. The total amortization expense for the acquired intangible assets was $110.1 million in fiscal 2021, $51.4 million in fiscal 2020, and $74.4 million in fiscal 2019. This amortization expense was included in our consolidated statements of operations as acquired intangibles amortization and cost of revenue.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expected annual aggregate amortization expense in future fiscal years (in millions):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86.1</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 be determined</w:t>
            </w: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ind w:left="240"/>
              <w:spacing w:after="0"/>
              <w:rPr>
                <w:sz w:val="20"/>
                <w:szCs w:val="20"/>
                <w:color w:val="auto"/>
              </w:rPr>
            </w:pPr>
            <w:r>
              <w:rPr>
                <w:rFonts w:ascii="Arial" w:cs="Arial" w:eastAsia="Arial" w:hAnsi="Arial"/>
                <w:sz w:val="18"/>
                <w:szCs w:val="18"/>
                <w:color w:val="auto"/>
              </w:rPr>
              <w:t>Future amortization</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Debt</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Senior Notes Indenture, by and among our company, the guarantors named therein and Wells Fargo Bank, National Association, as trustee.</w:t>
      </w:r>
    </w:p>
    <w:p>
      <w:pPr>
        <w:spacing w:after="0" w:line="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The Senior Notes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79"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auto"/>
        </w:rPr>
        <w:t>Prior to June 15, 2024, we may redeem the Senior Notes, in whole or in part, at a redemption price of 100% of the principal amount thereof, plus a make-whole premium set forth in the Senior Notes Indenture, plus accrued and unpaid interest, if any, up to, but excluding, the redemption date.</w:t>
      </w:r>
    </w:p>
    <w:p>
      <w:pPr>
        <w:spacing w:after="0" w:line="16"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may redeem some or all of the Senior Notes on or after June 15, 2024 at the redemption prices specified below, plus accrued and unpaid interest, if any, up to, but excluding, the redemption date:</w:t>
      </w:r>
    </w:p>
    <w:p>
      <w:pPr>
        <w:spacing w:after="0" w:line="184"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14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Year</w:t>
            </w:r>
          </w:p>
        </w:tc>
        <w:tc>
          <w:tcPr>
            <w:tcW w:w="12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Price</w:t>
            </w:r>
          </w:p>
        </w:tc>
        <w:tc>
          <w:tcPr>
            <w:tcW w:w="180" w:type="dxa"/>
            <w:vAlign w:val="bottom"/>
            <w:tcBorders>
              <w:bottom w:val="single" w:sz="8" w:color="CFF0FC"/>
            </w:tcBorders>
          </w:tcPr>
          <w:p>
            <w:pPr>
              <w:spacing w:after="0"/>
              <w:rPr>
                <w:sz w:val="20"/>
                <w:szCs w:val="20"/>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2026 and thereafter</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bl>
    <w:p>
      <w:pPr>
        <w:spacing w:after="0" w:line="94"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76"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Senior Notes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subordinated to all existing and future indebtedness and liabilities (including trade payables) of our subsidiaries that do not guarantee the Senior Notes.</w:t>
      </w:r>
    </w:p>
    <w:p>
      <w:pPr>
        <w:spacing w:after="0" w:line="140"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6"/>
          <w:szCs w:val="16"/>
          <w:color w:val="auto"/>
        </w:rPr>
        <w:t>The Senior Notes Indenture contains covenants that, subject to exceptions and qualifications, among other things, limit our ability and the ability of our Restricted Subsidiaries (as defined in the Senior Notes Indenture) to (i) incur additional indebtedness and guarantee indebtedness; (ii) pay dividends or make other distributions or repurchase or redeem our company’s or any parent’s capital stock; (iii) prepay, redeem or repurchase certain indebtedness;</w:t>
      </w:r>
    </w:p>
    <w:p>
      <w:pPr>
        <w:spacing w:after="0" w:line="2" w:lineRule="exact"/>
        <w:rPr>
          <w:sz w:val="20"/>
          <w:szCs w:val="20"/>
          <w:color w:val="auto"/>
        </w:rPr>
      </w:pPr>
    </w:p>
    <w:p>
      <w:pPr>
        <w:jc w:val="both"/>
        <w:ind w:firstLine="8"/>
        <w:spacing w:after="0" w:line="255" w:lineRule="auto"/>
        <w:tabs>
          <w:tab w:leader="none" w:pos="3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82"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The Senior Notes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Senior Notes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68"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 xml:space="preserve">Debt issuance costs relating to the Senior Notes of $5.7 million, netted against the debt amount on the consolidated balance sheet, </w:t>
      </w:r>
      <w:r>
        <w:rPr>
          <w:rFonts w:ascii="Arial" w:cs="Arial" w:eastAsia="Arial" w:hAnsi="Arial"/>
          <w:sz w:val="18"/>
          <w:szCs w:val="18"/>
          <w:color w:val="252525"/>
        </w:rPr>
        <w:t>are amortized as</w:t>
      </w:r>
      <w:r>
        <w:rPr>
          <w:rFonts w:ascii="Arial" w:cs="Arial" w:eastAsia="Arial" w:hAnsi="Arial"/>
          <w:sz w:val="18"/>
          <w:szCs w:val="18"/>
          <w:color w:val="auto"/>
        </w:rPr>
        <w:t xml:space="preserve"> </w:t>
      </w:r>
      <w:r>
        <w:rPr>
          <w:rFonts w:ascii="Arial" w:cs="Arial" w:eastAsia="Arial" w:hAnsi="Arial"/>
          <w:sz w:val="18"/>
          <w:szCs w:val="18"/>
          <w:color w:val="252525"/>
        </w:rPr>
        <w:t xml:space="preserve">interest expense using the effective interest method </w:t>
      </w:r>
      <w:r>
        <w:rPr>
          <w:rFonts w:ascii="Arial" w:cs="Arial" w:eastAsia="Arial" w:hAnsi="Arial"/>
          <w:sz w:val="18"/>
          <w:szCs w:val="18"/>
          <w:color w:val="000000"/>
        </w:rPr>
        <w:t>over 99 months. The total interest expense recorded on the Senior Notes during the fiscal year ended</w:t>
      </w:r>
      <w:r>
        <w:rPr>
          <w:rFonts w:ascii="Arial" w:cs="Arial" w:eastAsia="Arial" w:hAnsi="Arial"/>
          <w:sz w:val="18"/>
          <w:szCs w:val="18"/>
          <w:color w:val="252525"/>
        </w:rPr>
        <w:t xml:space="preserve"> </w:t>
      </w:r>
      <w:r>
        <w:rPr>
          <w:rFonts w:ascii="Arial" w:cs="Arial" w:eastAsia="Arial" w:hAnsi="Arial"/>
          <w:sz w:val="18"/>
          <w:szCs w:val="18"/>
          <w:color w:val="000000"/>
        </w:rPr>
        <w:t>June 26, 2021 was $5.0 million.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convertible debt consists of an original $525 million aggregate principal amount of 0.50% convertible senior notes due 2022, or the Convertible Notes, which were issued in a private placement transaction. The net proceeds from the Convertible Notes, after deducting discounts, were $514.5 million. The Convertible Notes were issued pursuant to an Indenture, dated as of June 26, 2017, or the Convertible Notes Indenture, by and among our company, and Wells Fargo Bank, National Association, as trustee.</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252525"/>
        </w:rPr>
        <w:t>The Convertible Notes bear interest at a rate of 0.50% per year, which is payable semi-annually in arrears, on June 15 and December 15 of each year. The Convertible Notes are senior unsecured obligations and rank senior in right of payment to any of our indebtedness that is expressly subordinated in right of payment to the Convertible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252525"/>
        </w:rPr>
        <w:t>The Convertible Notes mature on June 15, 2022, or the Maturity Date, unless earlier repurchased, redeemed or converted.</w:t>
      </w:r>
    </w:p>
    <w:p>
      <w:pPr>
        <w:spacing w:after="0" w:line="225"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252525"/>
        </w:rPr>
        <w:t>Holders may convert all or any portion of their Convertible Notes, in multiples of $1,000 principal amounts, at their option at any time prior to the close of business on the business day immediately preceding March 15, 2022 under certain defined circumstances, including (1) if the last reported sale price of our common stock has been at least 130% of the conversion price then in effect for at least 20 trading days (whether or not consecutive) during any period of 30 consecutive trading days ending on the last trading day of the immediately preceding calendar quarter (the Sales Price Condition) or (2) during the five business day period after any five consecutive trading day period (the “measurement period”) in which the trading price per $1,000 principal amount of notes for each trading day of the measurement period was less than 98% of the product of the last reported sale price of our common stock and the conversion rate on each such trading day (the Trading Price Condition).</w:t>
      </w:r>
    </w:p>
    <w:p>
      <w:pPr>
        <w:spacing w:after="0" w:line="177"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Effective April 1, 2021, the Sales Price Condition of our Convertible Notes had been met at the end of the preceding calendar quarter and holders of our notes became entitled to redeem their notes in accordance with the terms of the Convertible Indenture during the calendar quarter ending June 30, 2021. During the fourth quarter of fiscal 2021, a total of $19.4 million principal amount of our Convertible Notes were submitted for conversion, which completed by June 26, 2021 through a combination of $19.4 million in cash and 118,092 shares of common stock from our treasury shares, resulting in a loss of approximately $0.3 million which is included in loss on extinguishment of debt on our consolidated statements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jc w:val="both"/>
        <w:ind w:firstLine="546"/>
        <w:spacing w:after="0" w:line="273" w:lineRule="auto"/>
        <w:rPr>
          <w:sz w:val="20"/>
          <w:szCs w:val="20"/>
          <w:color w:val="auto"/>
        </w:rPr>
      </w:pPr>
      <w:r>
        <w:rPr>
          <w:rFonts w:ascii="Arial" w:cs="Arial" w:eastAsia="Arial" w:hAnsi="Arial"/>
          <w:sz w:val="17"/>
          <w:szCs w:val="17"/>
          <w:color w:val="auto"/>
        </w:rPr>
        <w:t xml:space="preserve">Commencing </w:t>
      </w:r>
      <w:r>
        <w:rPr>
          <w:rFonts w:ascii="Arial" w:cs="Arial" w:eastAsia="Arial" w:hAnsi="Arial"/>
          <w:sz w:val="17"/>
          <w:szCs w:val="17"/>
          <w:color w:val="252525"/>
        </w:rPr>
        <w:t>June 20, 2020, we may redeem for cash all or any portion of the Convertible Notes, at our option, if the last reported sale price of our</w:t>
      </w:r>
      <w:r>
        <w:rPr>
          <w:rFonts w:ascii="Arial" w:cs="Arial" w:eastAsia="Arial" w:hAnsi="Arial"/>
          <w:sz w:val="17"/>
          <w:szCs w:val="17"/>
          <w:color w:val="auto"/>
        </w:rPr>
        <w:t xml:space="preserve"> </w:t>
      </w:r>
      <w:r>
        <w:rPr>
          <w:rFonts w:ascii="Arial" w:cs="Arial" w:eastAsia="Arial" w:hAnsi="Arial"/>
          <w:sz w:val="17"/>
          <w:szCs w:val="17"/>
          <w:color w:val="252525"/>
        </w:rPr>
        <w:t xml:space="preserve">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Convertible Notes to be redeemed, plus accrued and unpaid interest up to, but excluding, the redemption date. </w:t>
      </w:r>
      <w:r>
        <w:rPr>
          <w:rFonts w:ascii="Arial" w:cs="Arial" w:eastAsia="Arial" w:hAnsi="Arial"/>
          <w:sz w:val="17"/>
          <w:szCs w:val="17"/>
          <w:color w:val="000000"/>
        </w:rPr>
        <w:t>This criteria was met by the end of our third quarter in fiscal 2021.</w:t>
      </w:r>
      <w:r>
        <w:rPr>
          <w:rFonts w:ascii="Arial" w:cs="Arial" w:eastAsia="Arial" w:hAnsi="Arial"/>
          <w:sz w:val="17"/>
          <w:szCs w:val="17"/>
          <w:color w:val="252525"/>
        </w:rPr>
        <w:t xml:space="preserve"> Our policy is to settle the principal amount of our Convertible Notes with cash upon conversion or redemption.</w:t>
      </w:r>
    </w:p>
    <w:p>
      <w:pPr>
        <w:spacing w:after="0" w:line="178"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On June 1, 2021, we provided an irrevocable notice of redemption for all $525,000,000 aggregate principal amount of our outstanding Convertible Notes, or Redemption. The Convertible Notes are redeemable at a cash redemption price of 100.0% of the principal amount, plus accrued and unpaid interest, if any, to, but excluding, the redemption date of August 4, 2021, or the Redemption Price.</w:t>
      </w:r>
    </w:p>
    <w:p>
      <w:pPr>
        <w:spacing w:after="0" w:line="184"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color w:val="auto"/>
        </w:rPr>
        <w:t>Holders of the Convertible Notes had the right to convert the Convertible Notes called for redemption no later than August 3, 2021, or the Conversion Deadline. The conversion rate is equal to 13.7267 shares per $1,000 principal amount of the Convertible Notes, which is the initial conversion rate of 13.6947 shares per $1,000 principal amount of the Convertible Notes plus a number of additional shares equal to 0.0320 shares per $1,000 principal amount of the Convertible Notes. We have elected to settle any conversions by Combination Settlement with a Specified Dollar Amount per $1,000 principal amount of Convertible Notes equal to $1,000, plus a number of shares of the our common stock, $0.001 par value, or the Common Stock, to be determined pursuant to the Convertible Notes Indenture, together with additional cash, if applicable, in lieu of delivering any fractional shares of Common Stock. As a result of this election, on August 4, 2021, we paid $505.6 million in cash for the principal amount of Convertible Notes outstanding and delivered approximately 3.5 million shares in Common Stock from our treasury stock for additional amounts, resulting in a loss of approximately $8.1 million.</w:t>
      </w:r>
    </w:p>
    <w:p>
      <w:pPr>
        <w:spacing w:after="0" w:line="196"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252525"/>
        </w:rPr>
        <w:t>As of the issuance date of the Convertible Notes, we recorded $82.1 million of the principal amount to equity, representing the debt discount for the difference between our estimated nonconvertible debt borrowing rate of 4.39% and the coupon rate of the Convertible Notes of 0.50% using a five-year life, which coincides with the term of the Convertible Notes. In addition, we allocated the total of $11.1 million of debt issuance costs, consisting of the initial purchaser’s discount and legal, accounting, and printing costs, pro rata, to the equity and debt components of the Convertible Notes, or $1.9 million and $9.2 million, respectively. The debt discount and the debt issuance costs allocated to the debt component of the Convertible Notes are amortized as interest expense using the effective interest method over five years, which was partially reclassified to additional paid in capital with the balance charged to Loss on redemption of convertible notes upon settlement in June and August 2021.</w:t>
      </w:r>
    </w:p>
    <w:p>
      <w:pPr>
        <w:spacing w:after="0" w:line="177"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252525"/>
        </w:rPr>
        <w:t>The contractual interest expense and amortization of the discount on the Convertible Notes for the fiscal year ended June 26, 2021, were as follows (in millions):</w:t>
      </w:r>
    </w:p>
    <w:p>
      <w:pPr>
        <w:spacing w:after="0" w:line="31"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color w:val="auto"/>
              </w:rPr>
              <w:t>Fiscal</w:t>
            </w:r>
          </w:p>
        </w:tc>
      </w:tr>
      <w:tr>
        <w:trPr>
          <w:trHeight w:val="167"/>
        </w:trPr>
        <w:tc>
          <w:tcPr>
            <w:tcW w:w="55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2021</w:t>
            </w:r>
          </w:p>
        </w:tc>
        <w:tc>
          <w:tcPr>
            <w:tcW w:w="60" w:type="dxa"/>
            <w:vAlign w:val="bottom"/>
            <w:tcBorders>
              <w:bottom w:val="single" w:sz="8" w:color="CFF0FC"/>
            </w:tcBorders>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9"/>
                <w:szCs w:val="19"/>
                <w:color w:val="auto"/>
              </w:rPr>
            </w:pPr>
          </w:p>
        </w:tc>
      </w:tr>
      <w:tr>
        <w:trPr>
          <w:trHeight w:val="229"/>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6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interest</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 unamortized amounts of the debt issuance costs and discount associated with the Convertible Notes as of June 26, 2021 were $1.9 million and $16.6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On March 11, 2021, we amended and restated our Amended and Restated Credit Agreement, with the lenders and Wells Fargo Bank, National Association, as administrative agent, or the Credit Agreement,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(as defined in the Credit Agreement) ratio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jc w:val="both"/>
        <w:ind w:firstLine="546"/>
        <w:spacing w:after="0" w:line="291" w:lineRule="auto"/>
        <w:rPr>
          <w:sz w:val="20"/>
          <w:szCs w:val="20"/>
          <w:color w:val="auto"/>
        </w:rPr>
      </w:pPr>
      <w:r>
        <w:rPr>
          <w:rFonts w:ascii="Arial" w:cs="Arial" w:eastAsia="Arial" w:hAnsi="Arial"/>
          <w:sz w:val="16"/>
          <w:szCs w:val="16"/>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In March 2021, we used a portion of the proceeds from the Senior Notes described above to repay the $100.0 million outstanding borrowings on this revolving credit facility. As of June 26, 2021, there was no balance outstanding under the revolving credit facility. The weighted average annualized interest rate on these borrowings for the fiscal year ended June 26, 2021 was 2.65%.</w:t>
      </w:r>
    </w:p>
    <w:p>
      <w:pPr>
        <w:spacing w:after="0" w:line="166"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14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188"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June 2023. Under our credit facility, when the LIBOR index is discontinued, we will switch to a comparable or successor rate as selected by us and the administrative agent, which may include the Secured Overnight Financing Rate, or SOFR.</w:t>
      </w:r>
    </w:p>
    <w:p>
      <w:pPr>
        <w:spacing w:after="0" w:line="192"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which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our company and specified subsidiaries and other specific items. The leverage ratio is the ratio of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June 26, 2021, we remain in compliance with the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ind w:left="400" w:hanging="392"/>
        <w:spacing w:after="0"/>
        <w:tabs>
          <w:tab w:leader="none" w:pos="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Leases,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In fiscal 2020, we adopted Accounting Standards Codification Topic 842, or ASC 842, Leases, which requires recognition of ROU assets and lease liabilities for most leases on our consolidated balance sheet. We adopted ASC 842 using a modified retrospective transition approach as of the effective date as permitted. As a result, we were not required to adjust our comparative period financial information for effects of the standard or make the new required lease disclosures for the periods before the date of adoption. We elected the package of practical expedients which allows us not to reassess (1) whether existing or expired contracts, as of the adoption date, contain leases, (2) the lease classification for existing leases, and (3) whether existing initial direct costs meet the new definition. We also elected the practical expedient to not separate lease and non-lease components for our leases, and to not recognize ROU assets and liabilities for short-term leases.</w:t>
      </w:r>
    </w:p>
    <w:p>
      <w:pPr>
        <w:spacing w:after="0" w:line="177" w:lineRule="exact"/>
        <w:rPr>
          <w:sz w:val="20"/>
          <w:szCs w:val="20"/>
          <w:color w:val="auto"/>
        </w:rPr>
      </w:pPr>
    </w:p>
    <w:p>
      <w:pPr>
        <w:jc w:val="both"/>
        <w:ind w:right="20" w:firstLine="546"/>
        <w:spacing w:after="0" w:line="308" w:lineRule="auto"/>
        <w:rPr>
          <w:sz w:val="20"/>
          <w:szCs w:val="20"/>
          <w:color w:val="auto"/>
        </w:rPr>
      </w:pPr>
      <w:r>
        <w:rPr>
          <w:rFonts w:ascii="Arial" w:cs="Arial" w:eastAsia="Arial" w:hAnsi="Arial"/>
          <w:sz w:val="17"/>
          <w:szCs w:val="17"/>
          <w:color w:val="auto"/>
        </w:rPr>
        <w:t>The most significant impact of the adoption of the standard was the recognition of ROU assets and lease liabilities for operating leases on our consolidated balance sheet. Adoption of the standard did not have a material impact on our consolidated statements of operations or cash flows.</w:t>
      </w:r>
    </w:p>
    <w:p>
      <w:pPr>
        <w:spacing w:after="0" w:line="14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year 2030, some of which include options to extend the lease for up to 5 years. For the fiscal year ended June 26, 2021, we recorded approximately $10.1 million of operating leases expense. Our short-term leases are immaterial and we do not have finance leases.</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100" w:type="dxa"/>
            <w:vAlign w:val="bottom"/>
            <w:gridSpan w:val="4"/>
          </w:tcPr>
          <w:p>
            <w:pPr>
              <w:spacing w:after="0"/>
              <w:rPr>
                <w:sz w:val="20"/>
                <w:szCs w:val="20"/>
                <w:color w:val="auto"/>
              </w:rPr>
            </w:pPr>
            <w:r>
              <w:rPr>
                <w:rFonts w:ascii="Arial" w:cs="Arial" w:eastAsia="Arial" w:hAnsi="Arial"/>
                <w:sz w:val="18"/>
                <w:szCs w:val="18"/>
                <w:color w:val="auto"/>
                <w:w w:val="94"/>
              </w:rPr>
              <w:t>As of June 26, 2021, and June 27, 2020 the components of leases are as follows (in millions):</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June</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81"/>
              </w:rPr>
              <w:t>June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31.7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lease liabilities</w:t>
            </w:r>
          </w:p>
        </w:tc>
        <w:tc>
          <w:tcPr>
            <w:tcW w:w="1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ind w:right="70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1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24.0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ind w:left="114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700"/>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33.3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w w:val="97"/>
              </w:rPr>
              <w:t>Supplemental cash flow information related to leases is as follows (in millions):</w:t>
            </w: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1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Fiscal</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Fiscal</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94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flows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Supplemental non-cash information related to lease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liabilities arising from obtaining right-of-use assets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26, 2021, the weighted average remaining lease term was 6.18 years, and the weighted average discount rate was 4.01%.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tbl>
      <w:tblPr>
        <w:tblLayout w:type="fixed"/>
        <w:tblInd w:w="56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w w:val="93"/>
              </w:rPr>
              <w:t>Future minimum lease payments for the operating lease liabilities are as follows (in millions):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7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Operating</w:t>
            </w:r>
          </w:p>
        </w:tc>
      </w:tr>
      <w:tr>
        <w:trPr>
          <w:trHeight w:val="229"/>
        </w:trPr>
        <w:tc>
          <w:tcPr>
            <w:tcW w:w="17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Lease</w:t>
            </w:r>
          </w:p>
        </w:tc>
      </w:tr>
      <w:tr>
        <w:trPr>
          <w:trHeight w:val="230"/>
        </w:trPr>
        <w:tc>
          <w:tcPr>
            <w:tcW w:w="6900" w:type="dxa"/>
            <w:vAlign w:val="bottom"/>
            <w:gridSpan w:val="2"/>
          </w:tcPr>
          <w:p>
            <w:pPr>
              <w:ind w:left="1700"/>
              <w:spacing w:after="0"/>
              <w:rPr>
                <w:sz w:val="20"/>
                <w:szCs w:val="20"/>
                <w:color w:val="auto"/>
              </w:rPr>
            </w:pPr>
            <w:r>
              <w:rPr>
                <w:rFonts w:ascii="Arial" w:cs="Arial" w:eastAsia="Arial" w:hAnsi="Arial"/>
                <w:sz w:val="18"/>
                <w:szCs w:val="18"/>
                <w:color w:val="auto"/>
              </w:rPr>
              <w:t>Fiscal Year</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Payments</w:t>
            </w:r>
          </w:p>
        </w:tc>
      </w:tr>
      <w:tr>
        <w:trPr>
          <w:trHeight w:val="223"/>
        </w:trPr>
        <w:tc>
          <w:tcPr>
            <w:tcW w:w="1700" w:type="dxa"/>
            <w:vAlign w:val="bottom"/>
          </w:tcPr>
          <w:p>
            <w:pPr>
              <w:spacing w:after="0"/>
              <w:rPr>
                <w:sz w:val="19"/>
                <w:szCs w:val="19"/>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operating lease payments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FF0FC"/>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Less: interest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23"/>
        </w:trPr>
        <w:tc>
          <w:tcPr>
            <w:tcW w:w="170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recognized rent expense on a straight-line basis of $10.1 million, and $10.3 million for fiscal 2021 and 2020,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jc w:val="both"/>
        <w:ind w:right="20" w:firstLine="546"/>
        <w:spacing w:after="0" w:line="308" w:lineRule="auto"/>
        <w:rPr>
          <w:sz w:val="20"/>
          <w:szCs w:val="20"/>
          <w:color w:val="auto"/>
        </w:rPr>
      </w:pPr>
      <w:r>
        <w:rPr>
          <w:rFonts w:ascii="Arial" w:cs="Arial" w:eastAsia="Arial" w:hAnsi="Arial"/>
          <w:sz w:val="17"/>
          <w:szCs w:val="17"/>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46"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In connection with certain agreements, we are obligated to indemnify the counterparty against third-party claims alleging infringement of certain intellectual property rights by us. We have also entered into indemnification agreements with our officers and directors. Maximum potential future payments under these agreements cannot be estimated because these agreements do not have a maximum stated liability. However, historical costs related to these indemnification provisions have not been significant. We have not recorded any liability in our consolidated financial statements for such indemnification obligations.</w:t>
      </w:r>
    </w:p>
    <w:p>
      <w:pPr>
        <w:spacing w:after="0" w:line="332"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are authorized, subject to limitations imposed by Delaware law, to issue up to a total of 10,000,000 shares of preferred stock in one or more series without stockholder approval. Our Board of Directors has the power to establish, from time to time, the number of shares to be included in each series and to fix the rights, preferences, and privileges of the shares of each wholly unissued series and any of its qualifications, limitations, or restrictions. Our Board of Directors can also increase or decrease the number of shares of a series, but not below the number of shares of that series then outstanding, without any further vote or action by the stockholders.</w:t>
      </w:r>
    </w:p>
    <w:p>
      <w:pPr>
        <w:spacing w:after="0" w:line="18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harm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harm the market price of our common stock and the voting power and other rights of the holders of our common stock. As of the end of fiscal 2021, there were no shares of preferred stock outstanding.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7820" w:type="dxa"/>
            <w:vAlign w:val="bottom"/>
            <w:gridSpan w:val="2"/>
          </w:tcPr>
          <w:p>
            <w:pPr>
              <w:spacing w:after="0"/>
              <w:rPr>
                <w:sz w:val="20"/>
                <w:szCs w:val="20"/>
                <w:color w:val="auto"/>
              </w:rPr>
            </w:pPr>
            <w:r>
              <w:rPr>
                <w:rFonts w:ascii="Arial" w:cs="Arial" w:eastAsia="Arial" w:hAnsi="Arial"/>
                <w:sz w:val="18"/>
                <w:szCs w:val="18"/>
                <w:i w:val="1"/>
                <w:iCs w:val="1"/>
                <w:color w:val="auto"/>
              </w:rPr>
              <w:t>Shares Reserved for Future Issuance</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820" w:type="dxa"/>
            <w:vAlign w:val="bottom"/>
            <w:gridSpan w:val="2"/>
          </w:tcPr>
          <w:p>
            <w:pPr>
              <w:ind w:left="560"/>
              <w:spacing w:after="0"/>
              <w:rPr>
                <w:sz w:val="20"/>
                <w:szCs w:val="20"/>
                <w:color w:val="auto"/>
              </w:rPr>
            </w:pPr>
            <w:r>
              <w:rPr>
                <w:rFonts w:ascii="Arial" w:cs="Arial" w:eastAsia="Arial" w:hAnsi="Arial"/>
                <w:sz w:val="18"/>
                <w:szCs w:val="18"/>
                <w:color w:val="auto"/>
                <w:w w:val="92"/>
              </w:rPr>
              <w:t>Shares of common stock reserved for future issuance as of the end of fiscal 2021 were as follows:</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60" w:type="dxa"/>
            <w:vAlign w:val="bottom"/>
            <w:vMerge w:val="continue"/>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55,061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1120" w:type="dxa"/>
            <w:vAlign w:val="bottom"/>
          </w:tcPr>
          <w:p>
            <w:pPr>
              <w:jc w:val="right"/>
              <w:spacing w:after="0"/>
              <w:rPr>
                <w:sz w:val="20"/>
                <w:szCs w:val="20"/>
                <w:color w:val="auto"/>
              </w:rPr>
            </w:pPr>
            <w:r>
              <w:rPr>
                <w:rFonts w:ascii="Arial" w:cs="Arial" w:eastAsia="Arial" w:hAnsi="Arial"/>
                <w:sz w:val="18"/>
                <w:szCs w:val="18"/>
                <w:color w:val="auto"/>
              </w:rPr>
              <w:t>1,323,286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Market stock units outstanding</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347,027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Performance stock units outstanding</w:t>
            </w:r>
          </w:p>
        </w:tc>
        <w:tc>
          <w:tcPr>
            <w:tcW w:w="1120" w:type="dxa"/>
            <w:vAlign w:val="bottom"/>
          </w:tcPr>
          <w:p>
            <w:pPr>
              <w:jc w:val="right"/>
              <w:spacing w:after="0"/>
              <w:rPr>
                <w:sz w:val="20"/>
                <w:szCs w:val="20"/>
                <w:color w:val="auto"/>
              </w:rPr>
            </w:pPr>
            <w:r>
              <w:rPr>
                <w:rFonts w:ascii="Arial" w:cs="Arial" w:eastAsia="Arial" w:hAnsi="Arial"/>
                <w:sz w:val="18"/>
                <w:szCs w:val="18"/>
                <w:color w:val="auto"/>
              </w:rPr>
              <w:t>317,392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Awards available for grant under all share-based</w:t>
            </w: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5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 plans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3,322,989</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Reserved for future issuance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7"/>
          <w:szCs w:val="17"/>
          <w:color w:val="auto"/>
        </w:rPr>
        <w:t>Our cumulative authorization of repurchases under our common stock repurchase program as of the end of fiscal 2021 was $1.4 billion and in August 2021 our Board of Directors approved an additional $400.0 million and extended the expiration date to July 2025. The program authorizes us to repurchase our common stock in the open market or in privately negotiated transactions depending upon market conditions and other factors. The number of shares repurchased and the timing of repurchases is based on the level of our cash balances, general business and market conditions, and other factors, including alternative investment opportunities. Common stock repurchased under this program is held as treasury stock. As of the end of fiscal 2021, we had $177.4 million of common stock remaining to be repurchased under our common stock repurchase program, and after the additional board authorization in August 2021 this remaining amount increased to $577.4 million. During fiscal 2021, we issued 118,092 shares from treasury stock for settlement of early redemptions of our convertible notes and in August, subsequent to year end, we issued 3.5 million shares from treasury stock for the settlement of final redemptions of our Convertible Notes.</w:t>
      </w:r>
    </w:p>
    <w:p>
      <w:pPr>
        <w:spacing w:after="0" w:line="366"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The purpose of our various share-based compensation plans is to attract, motivate, retain, and reward high-quality employees, directors, and consultants by enabling such persons to acquire or increase their proprietary interest in our common stock in order to strengthen the mutuality of interests between such persons and our stockholders and to provide such persons with annual and long-term performance incentives to focus their best efforts on the creation of stockholder value. Consequently, we determine whether to grant share-based compensatory awards subsequent to the initial award for our employees and consultants primarily on individual performance.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Plans</w:t>
      </w:r>
    </w:p>
    <w:p>
      <w:pPr>
        <w:spacing w:after="0" w:line="117"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 to replace our Amended and Restated 2010 Employee Stock Purchase Plan, or our 2010 ESPP. Upon approval of the 2019 Incentive Plan, new awards are no longer issued under the 2010 Incentive Plan. Awards outstanding at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5" w:name="page86"/>
    <w:bookmarkEnd w:id="85"/>
    <w:p>
      <w:pPr>
        <w:jc w:val="both"/>
        <w:ind w:firstLine="546"/>
        <w:spacing w:after="0" w:line="301" w:lineRule="auto"/>
        <w:rPr>
          <w:sz w:val="20"/>
          <w:szCs w:val="20"/>
          <w:color w:val="auto"/>
        </w:rPr>
      </w:pPr>
      <w:r>
        <w:rPr>
          <w:rFonts w:ascii="Arial" w:cs="Arial" w:eastAsia="Arial" w:hAnsi="Arial"/>
          <w:sz w:val="16"/>
          <w:szCs w:val="16"/>
          <w:color w:val="auto"/>
        </w:rPr>
        <w:t>The 2019 Incentive Plan authorizes our Board of Directors to provide equity-based compensation in the form of stock options, stock appreciation rights, restricted stock units, cash incentive awards, performance shares, performance stock units, and other stock-based awards. The cumulative number of shares approved under the 2019 Incentive Plan was 2,590,000. The 2019 ESPP authorizes us to provide eligible employees with an opportunity to acquire an equity interest in our company through the purchase of stock at a discount, with an initial authorization of 1,500,000 shares.</w:t>
      </w:r>
    </w:p>
    <w:p>
      <w:pPr>
        <w:spacing w:after="0" w:line="157"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7"/>
          <w:szCs w:val="17"/>
          <w:color w:val="auto"/>
        </w:rPr>
        <w:t>Effective August 19, 2019, we adopted the 2019 Inducement Equity Plan. 650,000 shares of our common stock have been reserved for issuance under the 2019 Inducement Equity Plan, subject to adjustment for stock dividends, stock splits, or other changes in our common stock or capital structure. The 2019 Inducement Equity Plan is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As a result of approval by our stockholders of our amended and restated 2019 Incentive Plan on October 27, 2020, no new awards will be granted under the 2019 Inducement Equity Plan.</w:t>
      </w:r>
    </w:p>
    <w:p>
      <w:pPr>
        <w:spacing w:after="0" w:line="18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share-based compensation plans with outstanding awards consist of our 2010 Incentive Plan, our 2019 Incentive Plan, our 2019 Inducement Equity Plan, and our 2019 ESPP.</w:t>
      </w:r>
    </w:p>
    <w:p>
      <w:pPr>
        <w:spacing w:after="0" w:line="170"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Share-based compensation awards available for grant or issuance for each plan as of the beginning of the fiscal year, including changes in the balance of awards available for grant for fiscal 2021, were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Awards</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Available</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89"/>
              </w:rPr>
              <w:t>2019</w:t>
            </w:r>
          </w:p>
        </w:tc>
        <w:tc>
          <w:tcPr>
            <w:tcW w:w="1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Employee</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Employee</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6"/>
              </w:rPr>
              <w:t>2010</w:t>
            </w:r>
          </w:p>
        </w:tc>
        <w:tc>
          <w:tcPr>
            <w:tcW w:w="8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rPr>
              <w:t>Under All</w:t>
            </w:r>
          </w:p>
        </w:tc>
        <w:tc>
          <w:tcPr>
            <w:tcW w:w="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Incentive</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Inducement</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Stock</w:t>
            </w:r>
          </w:p>
        </w:tc>
        <w:tc>
          <w:tcPr>
            <w:tcW w:w="6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Incentive</w:t>
            </w:r>
          </w:p>
        </w:tc>
      </w:tr>
      <w:tr>
        <w:trPr>
          <w:trHeight w:val="162"/>
        </w:trPr>
        <w:tc>
          <w:tcPr>
            <w:tcW w:w="4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Share-Based</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Compensation</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Equity</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color w:val="auto"/>
                <w:w w:val="87"/>
              </w:rPr>
              <w:t>Purchase</w:t>
            </w:r>
          </w:p>
        </w:tc>
        <w:tc>
          <w:tcPr>
            <w:tcW w:w="980" w:type="dxa"/>
            <w:vAlign w:val="bottom"/>
            <w:gridSpan w:val="3"/>
          </w:tcPr>
          <w:p>
            <w:pPr>
              <w:jc w:val="center"/>
              <w:ind w:right="40"/>
              <w:spacing w:after="0"/>
              <w:rPr>
                <w:sz w:val="20"/>
                <w:szCs w:val="20"/>
                <w:color w:val="auto"/>
              </w:rPr>
            </w:pPr>
            <w:r>
              <w:rPr>
                <w:rFonts w:ascii="Arial" w:cs="Arial" w:eastAsia="Arial" w:hAnsi="Arial"/>
                <w:sz w:val="14"/>
                <w:szCs w:val="14"/>
                <w:color w:val="auto"/>
                <w:w w:val="90"/>
              </w:rPr>
              <w:t>Compensation</w:t>
            </w:r>
          </w:p>
        </w:tc>
      </w:tr>
      <w:tr>
        <w:trPr>
          <w:trHeight w:val="167"/>
        </w:trPr>
        <w:tc>
          <w:tcPr>
            <w:tcW w:w="4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Award Plans</w:t>
            </w:r>
          </w:p>
        </w:tc>
        <w:tc>
          <w:tcPr>
            <w:tcW w:w="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Plan</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Plan</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Plan</w:t>
            </w:r>
          </w:p>
        </w:tc>
        <w:tc>
          <w:tcPr>
            <w:tcW w:w="6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Plan</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2020</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3,190,152</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1,412,401</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348,780</w:t>
            </w:r>
          </w:p>
        </w:tc>
        <w:tc>
          <w:tcPr>
            <w:tcW w:w="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1,428,971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Additional shares authorized</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1,360,000</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1,360,000</w:t>
            </w: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Transferred between plans</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264,679</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(264,679)</w:t>
            </w: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Restricted stock units granted</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(803,721)</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(676,597)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(127,124)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 stock units granted</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(101,009)</w:t>
            </w: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(101,009)</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100" w:type="dxa"/>
            <w:vAlign w:val="bottom"/>
          </w:tcPr>
          <w:p>
            <w:pPr>
              <w:ind w:left="240"/>
              <w:spacing w:after="0"/>
              <w:rPr>
                <w:sz w:val="20"/>
                <w:szCs w:val="20"/>
                <w:color w:val="auto"/>
              </w:rPr>
            </w:pPr>
            <w:r>
              <w:rPr>
                <w:rFonts w:ascii="Arial" w:cs="Arial" w:eastAsia="Arial" w:hAnsi="Arial"/>
                <w:sz w:val="18"/>
                <w:szCs w:val="18"/>
                <w:color w:val="auto"/>
              </w:rPr>
              <w:t>Performance stock units granted</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(174,231)</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(168,895)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(5,336)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Performance stock units performance adjustment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(242,651)</w:t>
            </w: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(101,892)</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(20,449)</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(120,310)</w:t>
            </w: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Market stock units performance adjustment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(77,534)</w:t>
            </w:r>
          </w:p>
        </w:tc>
        <w:tc>
          <w:tcPr>
            <w:tcW w:w="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(77,534)</w:t>
            </w: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Purchases under employee stock purchase plan</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(220,389)</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(220,389)</w:t>
            </w:r>
          </w:p>
        </w:tc>
        <w:tc>
          <w:tcPr>
            <w:tcW w:w="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615,962</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125,720</w:t>
            </w: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490,242</w:t>
            </w:r>
          </w:p>
        </w:tc>
        <w:tc>
          <w:tcPr>
            <w:tcW w:w="80" w:type="dxa"/>
            <w:vAlign w:val="bottom"/>
          </w:tcPr>
          <w:p>
            <w:pPr>
              <w:spacing w:after="0"/>
              <w:rPr>
                <w:sz w:val="19"/>
                <w:szCs w:val="19"/>
                <w:color w:val="auto"/>
              </w:rPr>
            </w:pPr>
          </w:p>
        </w:tc>
      </w:tr>
      <w:tr>
        <w:trPr>
          <w:trHeight w:val="22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Plan shares no longer available for new grants</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(223,590)</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(195,871)</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(27,719)</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Balance at June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3,322,989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2,114,407</w:t>
            </w: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1,208,582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Share-based compensation and the related tax benefit recognized in our consolidated statements of income for fiscal 2021, 2020, and 2019 were as follows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3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45.4</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44.3</w:t>
            </w:r>
          </w:p>
        </w:tc>
        <w:tc>
          <w:tcPr>
            <w:tcW w:w="1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26.0</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63"/>
        </w:trPr>
        <w:tc>
          <w:tcPr>
            <w:tcW w:w="1700" w:type="dxa"/>
            <w:vAlign w:val="bottom"/>
          </w:tcPr>
          <w:p>
            <w:pPr>
              <w:spacing w:after="0"/>
              <w:rPr>
                <w:sz w:val="22"/>
                <w:szCs w:val="22"/>
                <w:color w:val="auto"/>
              </w:rPr>
            </w:pPr>
          </w:p>
        </w:tc>
        <w:tc>
          <w:tcPr>
            <w:tcW w:w="3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93.1</w:t>
            </w:r>
          </w:p>
        </w:tc>
        <w:tc>
          <w:tcPr>
            <w:tcW w:w="16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60.4</w:t>
            </w:r>
          </w:p>
        </w:tc>
        <w:tc>
          <w:tcPr>
            <w:tcW w:w="1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80" w:type="dxa"/>
            <w:vAlign w:val="bottom"/>
            <w:tcBorders>
              <w:bottom w:val="single" w:sz="8" w:color="CFF0FC"/>
            </w:tcBorders>
          </w:tcPr>
          <w:p>
            <w:pPr>
              <w:spacing w:after="0"/>
              <w:rPr>
                <w:sz w:val="22"/>
                <w:szCs w:val="22"/>
                <w:color w:val="auto"/>
              </w:rPr>
            </w:pPr>
          </w:p>
        </w:tc>
        <w:tc>
          <w:tcPr>
            <w:tcW w:w="1680" w:type="dxa"/>
            <w:vAlign w:val="bottom"/>
          </w:tcPr>
          <w:p>
            <w:pPr>
              <w:spacing w:after="0"/>
              <w:rPr>
                <w:sz w:val="22"/>
                <w:szCs w:val="22"/>
                <w:color w:val="auto"/>
              </w:rPr>
            </w:pPr>
          </w:p>
        </w:tc>
      </w:tr>
      <w:tr>
        <w:trPr>
          <w:trHeight w:val="210"/>
        </w:trPr>
        <w:tc>
          <w:tcPr>
            <w:tcW w:w="1700" w:type="dxa"/>
            <w:vAlign w:val="bottom"/>
          </w:tcPr>
          <w:p>
            <w:pPr>
              <w:spacing w:after="0"/>
              <w:rPr>
                <w:sz w:val="18"/>
                <w:szCs w:val="18"/>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Income tax benefit on share-based compensation</w:t>
            </w:r>
          </w:p>
        </w:tc>
        <w:tc>
          <w:tcPr>
            <w:tcW w:w="10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15.2</w:t>
            </w: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56"/>
        </w:trPr>
        <w:tc>
          <w:tcPr>
            <w:tcW w:w="1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0" w:type="dxa"/>
            <w:vAlign w:val="bottom"/>
            <w:gridSpan w:val="2"/>
          </w:tcPr>
          <w:p>
            <w:pPr>
              <w:jc w:val="right"/>
              <w:ind w:right="1067"/>
              <w:spacing w:after="0"/>
              <w:rPr>
                <w:sz w:val="20"/>
                <w:szCs w:val="20"/>
                <w:color w:val="auto"/>
              </w:rPr>
            </w:pPr>
            <w:r>
              <w:rPr>
                <w:rFonts w:ascii="Arial" w:cs="Arial" w:eastAsia="Arial" w:hAnsi="Arial"/>
                <w:sz w:val="18"/>
                <w:szCs w:val="18"/>
                <w:color w:val="auto"/>
              </w:rPr>
              <w:t>F-30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ind w:left="560"/>
        <w:spacing w:after="0"/>
        <w:rPr>
          <w:sz w:val="20"/>
          <w:szCs w:val="20"/>
          <w:color w:val="auto"/>
        </w:rPr>
      </w:pPr>
      <w:r>
        <w:rPr>
          <w:rFonts w:ascii="Arial" w:cs="Arial" w:eastAsia="Arial" w:hAnsi="Arial"/>
          <w:sz w:val="16"/>
          <w:szCs w:val="16"/>
          <w:color w:val="auto"/>
        </w:rPr>
        <w:t>Included in the preceding table is share-based compensation for our cash-settled phantom stock units, which we granted in October 2019 (see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Phantom Stock Units </w:t>
      </w:r>
      <w:r>
        <w:rPr>
          <w:rFonts w:ascii="Arial" w:cs="Arial" w:eastAsia="Arial" w:hAnsi="Arial"/>
          <w:sz w:val="18"/>
          <w:szCs w:val="18"/>
          <w:color w:val="auto"/>
        </w:rPr>
        <w:t>below) (in millions):</w:t>
      </w:r>
    </w:p>
    <w:p>
      <w:pPr>
        <w:spacing w:after="0" w:line="71"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2100" w:type="dxa"/>
            <w:vAlign w:val="bottom"/>
            <w:gridSpan w:val="2"/>
          </w:tcPr>
          <w:p>
            <w:pPr>
              <w:jc w:val="right"/>
              <w:ind w:right="10"/>
              <w:spacing w:after="0"/>
              <w:rPr>
                <w:sz w:val="20"/>
                <w:szCs w:val="20"/>
                <w:color w:val="auto"/>
              </w:rPr>
            </w:pPr>
            <w:r>
              <w:rPr>
                <w:rFonts w:ascii="Arial" w:cs="Arial" w:eastAsia="Arial" w:hAnsi="Arial"/>
                <w:sz w:val="14"/>
                <w:szCs w:val="14"/>
                <w:color w:val="auto"/>
              </w:rPr>
              <w:t>2021</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r>
      <w:tr>
        <w:trPr>
          <w:trHeight w:val="223"/>
        </w:trPr>
        <w:tc>
          <w:tcPr>
            <w:tcW w:w="3720" w:type="dxa"/>
            <w:vAlign w:val="bottom"/>
          </w:tcPr>
          <w:p>
            <w:pPr>
              <w:ind w:left="240"/>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recognize a tax benefit upon expensing certain share-based awards associated with our share-based compensation plans, including RSUs, market stock units, or MSUs, PSUs, and phantom stock units. We do not recognize a tax benefit upon expensing all or a portion of share-based awards granted to certain executive officers and certain foreign-based employees.</w:t>
      </w:r>
    </w:p>
    <w:p>
      <w:pPr>
        <w:spacing w:after="0" w:line="184"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We compare the actual tax benefit associated with the tax deduction from share-based award activity to the hypothetical tax benefit based on the grant date fair values of the corresponding share-based awards. Tax benefit associated with excess tax deduction creditable to income tax provision is recognized when incurred. Tax deficiency associated with a tax shortfall is debited to income tax provision when incurred.</w:t>
      </w:r>
    </w:p>
    <w:p>
      <w:pPr>
        <w:spacing w:after="0" w:line="165"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share-based compensation plans with outstanding stock option awards include our 2010 Incentive Plan. Under our 2010 Incentive Plan, we were able to grant incentive stock options or nonqualified stock options to purchase shares of our common stock at not less than 100% of the fair market value, or FMV, on the date of grant. Option granting ceased in fiscal 2018.</w:t>
      </w:r>
    </w:p>
    <w:p>
      <w:pPr>
        <w:spacing w:after="0" w:line="184"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Options granted under our 2010 Incentive Plan generally vest three to four years from the vesting commencement date and expire seven years after the date of grant if not exercised.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stock option activity for fiscal 2021 and balances as of the end of fiscal 2021 were as follows: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Stock</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8"/>
              <w:spacing w:after="0"/>
              <w:rPr>
                <w:sz w:val="20"/>
                <w:szCs w:val="20"/>
                <w:color w:val="auto"/>
              </w:rPr>
            </w:pPr>
            <w:r>
              <w:rPr>
                <w:rFonts w:ascii="Arial" w:cs="Arial" w:eastAsia="Arial" w:hAnsi="Arial"/>
                <w:sz w:val="14"/>
                <w:szCs w:val="14"/>
                <w:color w:val="auto"/>
                <w:w w:val="91"/>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53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Option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8"/>
              <w:spacing w:after="0"/>
              <w:rPr>
                <w:sz w:val="20"/>
                <w:szCs w:val="20"/>
                <w:color w:val="auto"/>
              </w:rPr>
            </w:pPr>
            <w:r>
              <w:rPr>
                <w:rFonts w:ascii="Arial" w:cs="Arial" w:eastAsia="Arial" w:hAnsi="Arial"/>
                <w:sz w:val="14"/>
                <w:szCs w:val="14"/>
                <w:color w:val="auto"/>
                <w:w w:val="88"/>
              </w:rPr>
              <w:t>Average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Intrinsic</w:t>
            </w:r>
          </w:p>
        </w:tc>
      </w:tr>
      <w:tr>
        <w:trPr>
          <w:trHeight w:val="162"/>
        </w:trPr>
        <w:tc>
          <w:tcPr>
            <w:tcW w:w="53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Awards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8"/>
              <w:spacing w:after="0"/>
              <w:rPr>
                <w:sz w:val="20"/>
                <w:szCs w:val="20"/>
                <w:color w:val="auto"/>
              </w:rPr>
            </w:pPr>
            <w:r>
              <w:rPr>
                <w:rFonts w:ascii="Arial" w:cs="Arial" w:eastAsia="Arial" w:hAnsi="Arial"/>
                <w:sz w:val="14"/>
                <w:szCs w:val="14"/>
                <w:color w:val="auto"/>
                <w:w w:val="93"/>
              </w:rPr>
              <w:t>Exercise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r>
      <w:tr>
        <w:trPr>
          <w:trHeight w:val="167"/>
        </w:trPr>
        <w:tc>
          <w:tcPr>
            <w:tcW w:w="53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Outstanding</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8"/>
              <w:spacing w:after="0"/>
              <w:rPr>
                <w:sz w:val="20"/>
                <w:szCs w:val="20"/>
                <w:color w:val="auto"/>
              </w:rPr>
            </w:pPr>
            <w:r>
              <w:rPr>
                <w:rFonts w:ascii="Arial" w:cs="Arial" w:eastAsia="Arial" w:hAnsi="Arial"/>
                <w:sz w:val="14"/>
                <w:szCs w:val="14"/>
                <w:color w:val="auto"/>
                <w:w w:val="93"/>
              </w:rPr>
              <w:t>Price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329,786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(221,164)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(53,561)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Balance at June 2021</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55,061</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2"/>
                <w:szCs w:val="22"/>
                <w:color w:val="auto"/>
              </w:rPr>
            </w:pPr>
          </w:p>
        </w:tc>
      </w:tr>
      <w:tr>
        <w:trPr>
          <w:trHeight w:val="210"/>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June 2021</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55,061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66.68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the last trading day of fiscal 2021, or June 25, 2021, of $147.58. All of the stock options outstanding were vested and in-the-money as of the end of fiscal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Cash received and the aggregate intrinsic value of stock options exercised for fiscal 2021, 2020, and 2019 were as follows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06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c>
          <w:tcPr>
            <w:tcW w:w="112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2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890"/>
        </w:trPr>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60" w:type="dxa"/>
            <w:vAlign w:val="bottom"/>
            <w:gridSpan w:val="2"/>
          </w:tcPr>
          <w:p>
            <w:pPr>
              <w:jc w:val="right"/>
              <w:ind w:right="787"/>
              <w:spacing w:after="0"/>
              <w:rPr>
                <w:sz w:val="20"/>
                <w:szCs w:val="20"/>
                <w:color w:val="auto"/>
              </w:rPr>
            </w:pPr>
            <w:r>
              <w:rPr>
                <w:rFonts w:ascii="Arial" w:cs="Arial" w:eastAsia="Arial" w:hAnsi="Arial"/>
                <w:sz w:val="18"/>
                <w:szCs w:val="18"/>
                <w:color w:val="auto"/>
              </w:rPr>
              <w:t>F-31</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87" w:name="page88"/>
    <w:bookmarkEnd w:id="87"/>
    <w:p>
      <w:pPr>
        <w:ind w:left="560"/>
        <w:spacing w:after="0"/>
        <w:rPr>
          <w:sz w:val="20"/>
          <w:szCs w:val="20"/>
          <w:color w:val="auto"/>
        </w:rPr>
      </w:pPr>
      <w:r>
        <w:rPr>
          <w:rFonts w:ascii="Arial" w:cs="Arial" w:eastAsia="Arial" w:hAnsi="Arial"/>
          <w:sz w:val="18"/>
          <w:szCs w:val="18"/>
          <w:color w:val="auto"/>
        </w:rPr>
        <w:t>There were no stock options granted in fiscal 2021, 2020 or 2019.</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was no unrecognized share-based compensation costs for stock options granted under our various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color w:val="auto"/>
        </w:rPr>
        <w:t>Our 2019 Incentive Plan provides for the grant of RSUs to our employees, consultants, and directors, and previously our 2019 Inducement Equity Plan and our 2010 Incentive Plan provided for the grant of deferred stock units, or DSUs, to our employees, consultants, and directors. An RSU and a DSU are each a promise to deliver shares of our common stock at a future date in accordance with the terms of the grant agreement and the words can be used interchangeably. We began granting DSUs in January 2006 and RSUs in 2019. The use of RSUs will cover the meaning of both RSUs and DSUs.</w:t>
      </w:r>
    </w:p>
    <w:p>
      <w:pPr>
        <w:spacing w:after="0" w:line="15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RSUs granted generally vest ratably over three to four years from the vesting commencement date. Delivery of shares under the plans take place on the quarterly vesting dates. At the delivery date, we withhold shares to cover applicable statutory minimum tax withholding for grantees subject to withholding and deliver a net quantity of shares to the grantee after such withholding. Until delivery of shares, the grantee has no rights as a stockholder with respect to any shares underlying the RSU award.</w:t>
      </w:r>
    </w:p>
    <w:p>
      <w:pPr>
        <w:spacing w:after="0" w:line="187"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RSU activity, including RSUs granted, delivered, and forfeited in fiscal 2021, and the balance and aggregate intrinsic value of RSUs as of the end of fiscal 2021 was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2"/>
              </w:rPr>
              <w:t>Aggregate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9"/>
              </w:rPr>
              <w:t>Intrinsic</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Average</w:t>
            </w:r>
          </w:p>
        </w:tc>
      </w:tr>
      <w:tr>
        <w:trPr>
          <w:trHeight w:val="162"/>
        </w:trPr>
        <w:tc>
          <w:tcPr>
            <w:tcW w:w="530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RSU Awards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color w:val="auto"/>
                <w:w w:val="94"/>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Grant Date</w:t>
            </w:r>
          </w:p>
        </w:tc>
      </w:tr>
      <w:tr>
        <w:trPr>
          <w:trHeight w:val="167"/>
        </w:trPr>
        <w:tc>
          <w:tcPr>
            <w:tcW w:w="530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Outstanding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color w:val="auto"/>
                <w:w w:val="98"/>
              </w:rPr>
              <w:t>(in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Fair Value</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1,360,324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803,721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81.52</w:t>
            </w:r>
          </w:p>
        </w:tc>
        <w:tc>
          <w:tcPr>
            <w:tcW w:w="80" w:type="dxa"/>
            <w:vAlign w:val="bottom"/>
          </w:tcPr>
          <w:p>
            <w:pPr>
              <w:spacing w:after="0"/>
              <w:rPr>
                <w:sz w:val="19"/>
                <w:szCs w:val="19"/>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(587,192)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(253,567)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54.67</w:t>
            </w:r>
          </w:p>
        </w:tc>
        <w:tc>
          <w:tcPr>
            <w:tcW w:w="80" w:type="dxa"/>
            <w:vAlign w:val="bottom"/>
          </w:tcPr>
          <w:p>
            <w:pPr>
              <w:spacing w:after="0"/>
              <w:rPr>
                <w:sz w:val="19"/>
                <w:szCs w:val="19"/>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2021</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1,323,286</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64.13</w:t>
            </w:r>
          </w:p>
        </w:tc>
        <w:tc>
          <w:tcPr>
            <w:tcW w:w="80" w:type="dxa"/>
            <w:vAlign w:val="bottom"/>
            <w:tcBorders>
              <w:top w:val="single" w:sz="8" w:color="CFF0FC"/>
            </w:tcBorders>
            <w:shd w:val="clear" w:color="auto" w:fill="CFF0FC"/>
          </w:tcPr>
          <w:p>
            <w:pPr>
              <w:spacing w:after="0"/>
              <w:rPr>
                <w:sz w:val="19"/>
                <w:szCs w:val="19"/>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546"/>
        <w:spacing w:after="0" w:line="308" w:lineRule="auto"/>
        <w:rPr>
          <w:sz w:val="20"/>
          <w:szCs w:val="20"/>
          <w:color w:val="auto"/>
        </w:rPr>
      </w:pPr>
      <w:r>
        <w:rPr>
          <w:rFonts w:ascii="Arial" w:cs="Arial" w:eastAsia="Arial" w:hAnsi="Arial"/>
          <w:sz w:val="17"/>
          <w:szCs w:val="17"/>
          <w:color w:val="auto"/>
        </w:rPr>
        <w:t>Of the shares delivered, 173,301 shares valued at $14.3 million were withheld to meet statutory tax withholding requirements. The aggregate intrinsic value was determined using the closing price of our common stock on the last trading day of fiscal 2021, or June 25, 2021, of $147.58.</w:t>
      </w:r>
    </w:p>
    <w:p>
      <w:pPr>
        <w:spacing w:after="0" w:line="146" w:lineRule="exact"/>
        <w:rPr>
          <w:sz w:val="20"/>
          <w:szCs w:val="20"/>
          <w:color w:val="auto"/>
        </w:rPr>
      </w:pPr>
    </w:p>
    <w:p>
      <w:pPr>
        <w:jc w:val="both"/>
        <w:ind w:right="20" w:firstLine="546"/>
        <w:spacing w:after="0" w:line="311" w:lineRule="auto"/>
        <w:rPr>
          <w:sz w:val="20"/>
          <w:szCs w:val="20"/>
          <w:color w:val="auto"/>
        </w:rPr>
      </w:pPr>
      <w:r>
        <w:rPr>
          <w:rFonts w:ascii="Arial" w:cs="Arial" w:eastAsia="Arial" w:hAnsi="Arial"/>
          <w:sz w:val="16"/>
          <w:szCs w:val="16"/>
          <w:color w:val="auto"/>
        </w:rPr>
        <w:t>The unrecognized share-based compensation cost for RSUs granted under our 2019 Incentive Plan, our 2019 Inducement Equity Plan and our 2010 Incentive Plan was approximately $61.5 million as of the end of fiscal 2021, which will be recognized over a weighted average period of approximately 2.0 years. The aggregate market value of RSUs delivered in fiscal 2021, 2020, and 2019 was $48.2 million, $36.0 million, and $35.7 million,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2019 Incentive Plan, and previously our 2019 Inducement Equity Plan, provide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84"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have granted MSU awards to our executive officers and other management members under our 2010 Incentive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w:t>
      </w:r>
    </w:p>
    <w:p>
      <w:pPr>
        <w:spacing w:after="0" w:line="188" w:lineRule="exact"/>
        <w:rPr>
          <w:sz w:val="20"/>
          <w:szCs w:val="20"/>
          <w:color w:val="auto"/>
        </w:rPr>
      </w:pPr>
    </w:p>
    <w:p>
      <w:pPr>
        <w:jc w:val="both"/>
        <w:ind w:firstLine="501"/>
        <w:spacing w:after="0" w:line="301" w:lineRule="auto"/>
        <w:rPr>
          <w:sz w:val="20"/>
          <w:szCs w:val="20"/>
          <w:color w:val="auto"/>
        </w:rPr>
      </w:pPr>
      <w:r>
        <w:rPr>
          <w:rFonts w:ascii="Arial" w:cs="Arial" w:eastAsia="Arial" w:hAnsi="Arial"/>
          <w:sz w:val="16"/>
          <w:szCs w:val="16"/>
          <w:color w:val="auto"/>
        </w:rPr>
        <w:t>For MSU awards granted in fiscal 2021, performance is measured based on our achievement of a specified level of total stockholder return, or TSR, relative to the TSRs of each company in the Russell 2000 Index. The potential payout ranges from 0% to 200% of the target grant quantity based on our TSR performance relative to the TSRs of each company in the Russell 2000 Index. No payout will occur if our TSR performance falls below the 25</w:t>
      </w:r>
      <w:r>
        <w:rPr>
          <w:rFonts w:ascii="Arial" w:cs="Arial" w:eastAsia="Arial" w:hAnsi="Arial"/>
          <w:sz w:val="13"/>
          <w:szCs w:val="13"/>
          <w:color w:val="auto"/>
        </w:rPr>
        <w:t>th</w:t>
      </w:r>
      <w:r>
        <w:rPr>
          <w:rFonts w:ascii="Arial" w:cs="Arial" w:eastAsia="Arial" w:hAnsi="Arial"/>
          <w:sz w:val="16"/>
          <w:szCs w:val="16"/>
          <w:color w:val="auto"/>
        </w:rPr>
        <w:t xml:space="preserve"> percentile of the TSRs of each company in the Russell 2000 Index, and a 200% payout will occur if our TSR performance exceeds the 75</w:t>
      </w:r>
      <w:r>
        <w:rPr>
          <w:rFonts w:ascii="Arial" w:cs="Arial" w:eastAsia="Arial" w:hAnsi="Arial"/>
          <w:sz w:val="13"/>
          <w:szCs w:val="13"/>
          <w:color w:val="auto"/>
        </w:rPr>
        <w:t>th</w:t>
      </w:r>
      <w:r>
        <w:rPr>
          <w:rFonts w:ascii="Arial" w:cs="Arial" w:eastAsia="Arial" w:hAnsi="Arial"/>
          <w:sz w:val="16"/>
          <w:szCs w:val="16"/>
          <w:color w:val="auto"/>
        </w:rPr>
        <w:t xml:space="preserve"> percentile of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8" w:name="page89"/>
    <w:bookmarkEnd w:id="88"/>
    <w:p>
      <w:pPr>
        <w:jc w:val="both"/>
        <w:spacing w:after="0" w:line="277" w:lineRule="auto"/>
        <w:rPr>
          <w:sz w:val="20"/>
          <w:szCs w:val="20"/>
          <w:color w:val="auto"/>
        </w:rPr>
      </w:pPr>
      <w:r>
        <w:rPr>
          <w:rFonts w:ascii="Arial" w:cs="Arial" w:eastAsia="Arial" w:hAnsi="Arial"/>
          <w:sz w:val="18"/>
          <w:szCs w:val="18"/>
          <w:color w:val="auto"/>
        </w:rPr>
        <w:t>TSRs of each company in the Russell 2000 Index. Performance payouts between the 25</w:t>
      </w:r>
      <w:r>
        <w:rPr>
          <w:rFonts w:ascii="Arial" w:cs="Arial" w:eastAsia="Arial" w:hAnsi="Arial"/>
          <w:sz w:val="15"/>
          <w:szCs w:val="15"/>
          <w:color w:val="auto"/>
        </w:rPr>
        <w:t>th</w:t>
      </w:r>
      <w:r>
        <w:rPr>
          <w:rFonts w:ascii="Arial" w:cs="Arial" w:eastAsia="Arial" w:hAnsi="Arial"/>
          <w:sz w:val="18"/>
          <w:szCs w:val="18"/>
          <w:color w:val="auto"/>
        </w:rPr>
        <w:t xml:space="preserve"> and 75</w:t>
      </w:r>
      <w:r>
        <w:rPr>
          <w:rFonts w:ascii="Arial" w:cs="Arial" w:eastAsia="Arial" w:hAnsi="Arial"/>
          <w:sz w:val="15"/>
          <w:szCs w:val="15"/>
          <w:color w:val="auto"/>
        </w:rPr>
        <w:t>th</w:t>
      </w:r>
      <w:r>
        <w:rPr>
          <w:rFonts w:ascii="Arial" w:cs="Arial" w:eastAsia="Arial" w:hAnsi="Arial"/>
          <w:sz w:val="18"/>
          <w:szCs w:val="18"/>
          <w:color w:val="auto"/>
        </w:rPr>
        <w:t xml:space="preserve"> percentiles will be determined on a linear basis with performance at the 50</w:t>
      </w:r>
      <w:r>
        <w:rPr>
          <w:rFonts w:ascii="Arial" w:cs="Arial" w:eastAsia="Arial" w:hAnsi="Arial"/>
          <w:sz w:val="15"/>
          <w:szCs w:val="15"/>
          <w:color w:val="auto"/>
        </w:rPr>
        <w:t>th</w:t>
      </w:r>
      <w:r>
        <w:rPr>
          <w:rFonts w:ascii="Arial" w:cs="Arial" w:eastAsia="Arial" w:hAnsi="Arial"/>
          <w:sz w:val="18"/>
          <w:szCs w:val="18"/>
          <w:color w:val="auto"/>
        </w:rPr>
        <w:t xml:space="preserve"> percentile equal to 100% of target.</w:t>
      </w:r>
    </w:p>
    <w:p>
      <w:pPr>
        <w:spacing w:after="0" w:line="170"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For MSU awards granted in fiscal 2021, the first tranche and the second tranche can payout up to 200%,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184"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For outstanding MSU awards granted prior to fiscal 2021, performance is measured based on our achievement of a specified level of TSR relative to the TSR of the S&amp;P Semiconductor Select Industry Index, or SPSISC Index. The potential payout ranges from 0% to 200% of the target grant quantity and is adjusted on a two-to-one ratio based on our TSR performance relative to SPSISC Index TSR.</w:t>
      </w:r>
    </w:p>
    <w:p>
      <w:pPr>
        <w:spacing w:after="0" w:line="18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For MSU awards granted prior to fiscal 2021 and vesting over three years, 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 For MSUs vesting over four years, the payout for the first tranche, the second tranche and the third tranche 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19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MSU award.</w:t>
      </w:r>
    </w:p>
    <w:p>
      <w:pPr>
        <w:spacing w:after="0" w:line="187"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MSU activity, including MSUs granted, delivered, and forfeited in fiscal 2021, and the balance and aggregate intrinsic value of MSUs as of the end of fiscal 2021 were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2"/>
              </w:rPr>
              <w:t>Aggregate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9"/>
              </w:rPr>
              <w:t>Intrinsic</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Average</w:t>
            </w:r>
          </w:p>
        </w:tc>
      </w:tr>
      <w:tr>
        <w:trPr>
          <w:trHeight w:val="162"/>
        </w:trPr>
        <w:tc>
          <w:tcPr>
            <w:tcW w:w="530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MSU Awards</w:t>
            </w:r>
          </w:p>
        </w:tc>
        <w:tc>
          <w:tcPr>
            <w:tcW w:w="14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color w:val="auto"/>
                <w:w w:val="94"/>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Grant Date</w:t>
            </w:r>
          </w:p>
        </w:tc>
      </w:tr>
      <w:tr>
        <w:trPr>
          <w:trHeight w:val="167"/>
        </w:trPr>
        <w:tc>
          <w:tcPr>
            <w:tcW w:w="530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Outstanding</w:t>
            </w:r>
          </w:p>
        </w:tc>
        <w:tc>
          <w:tcPr>
            <w:tcW w:w="14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color w:val="auto"/>
                <w:w w:val="98"/>
              </w:rPr>
              <w:t>(in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Fair Value</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391,532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101,009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105.83</w:t>
            </w:r>
          </w:p>
        </w:tc>
        <w:tc>
          <w:tcPr>
            <w:tcW w:w="80" w:type="dxa"/>
            <w:vAlign w:val="bottom"/>
          </w:tcPr>
          <w:p>
            <w:pPr>
              <w:spacing w:after="0"/>
              <w:rPr>
                <w:sz w:val="19"/>
                <w:szCs w:val="19"/>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77,534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(208,275)</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56.93</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(14,773)</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54.71</w:t>
            </w:r>
          </w:p>
        </w:tc>
        <w:tc>
          <w:tcPr>
            <w:tcW w:w="8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Balance at June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347,027</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82.18</w:t>
            </w: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As a result of the Synaptics TSR outperforming the Index TSR by 38.17 percentage points for the payout period ended in fiscal 2021, we delivered 176.34% of the targeted shares underlying the fiscal 2018 MSU grants. As a result of the Synaptics TSR outperforming the Index TSR by 35.61 percentage points for the payout period ended in fiscal 2021, we delivered the capped out amount of 100% of the targeted shares underlying the fiscal 2019 MSU grants as it was for tranche 2 which cannot exceed a 100% payout. As a result of the Synaptics TSR outperforming the Index TSR by 64.62 percentage points for the payout period ended in fiscal 2021, we delivered the capped out amount of 100% of the targeted shares underlying the fiscal 2020 MSU grants as it was for tranche 1 which cannot exceed a 100% payout. As a result of Synaptics’ TSR performing at the 76</w:t>
      </w:r>
      <w:r>
        <w:rPr>
          <w:rFonts w:ascii="Arial" w:cs="Arial" w:eastAsia="Arial" w:hAnsi="Arial"/>
          <w:sz w:val="15"/>
          <w:szCs w:val="15"/>
          <w:color w:val="auto"/>
        </w:rPr>
        <w:t>th</w:t>
      </w:r>
      <w:r>
        <w:rPr>
          <w:rFonts w:ascii="Arial" w:cs="Arial" w:eastAsia="Arial" w:hAnsi="Arial"/>
          <w:sz w:val="18"/>
          <w:szCs w:val="18"/>
          <w:color w:val="auto"/>
        </w:rPr>
        <w:t xml:space="preserve"> percentile relative to the constituents of the Russell 2000 Index for the payout period ended in fiscal 2021, we delivered 200% of the targeted shares underlying the fiscal 2021 MSU grants.</w:t>
      </w:r>
    </w:p>
    <w:p>
      <w:pPr>
        <w:spacing w:after="0" w:line="192"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Of the shares delivered, 91,956 shares valued at $7.5 million were withheld to meet statutory minimum tax withholding requirements. The aggregate intrinsic value assumes a 100% payout factor and was determined using the closing price of our common stock on the last trading day of fiscal 2021, or June 25, 2021, of $147.58.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jc w:val="both"/>
        <w:ind w:firstLine="546"/>
        <w:spacing w:after="0" w:line="277" w:lineRule="auto"/>
        <w:rPr>
          <w:sz w:val="20"/>
          <w:szCs w:val="20"/>
          <w:color w:val="auto"/>
        </w:rPr>
      </w:pPr>
      <w:r>
        <w:rPr>
          <w:rFonts w:ascii="Arial" w:cs="Arial" w:eastAsia="Arial" w:hAnsi="Arial"/>
          <w:sz w:val="18"/>
          <w:szCs w:val="18"/>
          <w:color w:val="auto"/>
        </w:rPr>
        <w:t>The fair value of each MSU granted from our plans for fiscal 2021, 2020, and 2019 was estimated at the date of grant using the Monte Carlo simulation model, assuming no expected dividends and the following assumptions:</w:t>
      </w:r>
    </w:p>
    <w:p>
      <w:pPr>
        <w:spacing w:after="0" w:line="247" w:lineRule="exact"/>
        <w:rPr>
          <w:sz w:val="20"/>
          <w:szCs w:val="20"/>
          <w:color w:val="auto"/>
        </w:rPr>
      </w:pPr>
    </w:p>
    <w:tbl>
      <w:tblPr>
        <w:tblLayout w:type="fixed"/>
        <w:tblInd w:w="860" w:type="dxa"/>
        <w:tblCellMar>
          <w:top w:w="0" w:type="dxa"/>
          <w:left w:w="0" w:type="dxa"/>
          <w:bottom w:w="0" w:type="dxa"/>
          <w:right w:w="0" w:type="dxa"/>
        </w:tblCellMar>
      </w:tblPr>
      <w:tr>
        <w:trPr>
          <w:trHeight w:val="167"/>
        </w:trPr>
        <w:tc>
          <w:tcPr>
            <w:tcW w:w="3620" w:type="dxa"/>
            <w:vAlign w:val="bottom"/>
            <w:tcBorders>
              <w:bottom w:val="single" w:sz="8" w:color="CFF0FC"/>
            </w:tcBorders>
          </w:tcPr>
          <w:p>
            <w:pPr>
              <w:spacing w:after="0"/>
              <w:rPr>
                <w:sz w:val="14"/>
                <w:szCs w:val="14"/>
                <w:color w:val="auto"/>
              </w:rPr>
            </w:pP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2020</w:t>
            </w:r>
          </w:p>
        </w:tc>
        <w:tc>
          <w:tcPr>
            <w:tcW w:w="140" w:type="dxa"/>
            <w:vAlign w:val="bottom"/>
            <w:tcBorders>
              <w:bottom w:val="single" w:sz="8" w:color="CFF0FC"/>
            </w:tcBorders>
          </w:tcPr>
          <w:p>
            <w:pPr>
              <w:spacing w:after="0"/>
              <w:rPr>
                <w:sz w:val="14"/>
                <w:szCs w:val="14"/>
                <w:color w:val="auto"/>
              </w:rPr>
            </w:pPr>
          </w:p>
        </w:tc>
        <w:tc>
          <w:tcPr>
            <w:tcW w:w="17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company</w:t>
            </w:r>
          </w:p>
        </w:tc>
        <w:tc>
          <w:tcPr>
            <w:tcW w:w="2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53.62%</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45.46% - 52.55%</w:t>
            </w: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50.58%</w:t>
            </w: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Expected volatility of Index</w:t>
            </w:r>
          </w:p>
        </w:tc>
        <w:tc>
          <w:tcPr>
            <w:tcW w:w="1760" w:type="dxa"/>
            <w:vAlign w:val="bottom"/>
          </w:tcPr>
          <w:p>
            <w:pPr>
              <w:jc w:val="right"/>
              <w:spacing w:after="0"/>
              <w:rPr>
                <w:sz w:val="20"/>
                <w:szCs w:val="20"/>
                <w:color w:val="auto"/>
              </w:rPr>
            </w:pPr>
            <w:r>
              <w:rPr>
                <w:rFonts w:ascii="Arial" w:cs="Arial" w:eastAsia="Arial" w:hAnsi="Arial"/>
                <w:sz w:val="18"/>
                <w:szCs w:val="18"/>
                <w:color w:val="auto"/>
              </w:rPr>
              <w:t>19.6% - 197.6%</w:t>
            </w: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24.64% - 33.44%</w:t>
            </w:r>
          </w:p>
        </w:tc>
        <w:tc>
          <w:tcPr>
            <w:tcW w:w="14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23.40%</w:t>
            </w: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Correlation coefficient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3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0.53 - 0.58</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8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760" w:type="dxa"/>
            <w:vAlign w:val="bottom"/>
          </w:tcPr>
          <w:p>
            <w:pPr>
              <w:jc w:val="right"/>
              <w:spacing w:after="0"/>
              <w:rPr>
                <w:sz w:val="20"/>
                <w:szCs w:val="20"/>
                <w:color w:val="auto"/>
              </w:rPr>
            </w:pPr>
            <w:r>
              <w:rPr>
                <w:rFonts w:ascii="Arial" w:cs="Arial" w:eastAsia="Arial" w:hAnsi="Arial"/>
                <w:sz w:val="18"/>
                <w:szCs w:val="18"/>
                <w:color w:val="auto"/>
              </w:rPr>
              <w:t>2.87</w:t>
            </w: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2.50 - 4.00</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9"/>
                <w:szCs w:val="19"/>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0.17%</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 - 1.52%</w:t>
            </w: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2.92%</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Fair value per award</w:t>
            </w:r>
          </w:p>
        </w:tc>
        <w:tc>
          <w:tcPr>
            <w:tcW w:w="1760" w:type="dxa"/>
            <w:vAlign w:val="bottom"/>
          </w:tcPr>
          <w:p>
            <w:pPr>
              <w:jc w:val="right"/>
              <w:spacing w:after="0"/>
              <w:rPr>
                <w:sz w:val="20"/>
                <w:szCs w:val="20"/>
                <w:color w:val="auto"/>
              </w:rPr>
            </w:pPr>
            <w:r>
              <w:rPr>
                <w:rFonts w:ascii="Arial" w:cs="Arial" w:eastAsia="Arial" w:hAnsi="Arial"/>
                <w:sz w:val="18"/>
                <w:szCs w:val="18"/>
                <w:color w:val="auto"/>
              </w:rPr>
              <w:t>$131.34 - $175.15</w:t>
            </w:r>
          </w:p>
        </w:tc>
        <w:tc>
          <w:tcPr>
            <w:tcW w:w="3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$55.52 - $100.38</w:t>
            </w: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$27.70 - $85.52</w:t>
            </w:r>
          </w:p>
        </w:tc>
        <w:tc>
          <w:tcPr>
            <w:tcW w:w="180" w:type="dxa"/>
            <w:vAlign w:val="bottom"/>
          </w:tcPr>
          <w:p>
            <w:pPr>
              <w:spacing w:after="0"/>
              <w:rPr>
                <w:sz w:val="20"/>
                <w:szCs w:val="20"/>
                <w:color w:val="auto"/>
              </w:rPr>
            </w:pPr>
          </w:p>
        </w:tc>
      </w:tr>
    </w:tbl>
    <w:p>
      <w:pPr>
        <w:spacing w:after="0" w:line="24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amortize the compensation expense over the three- or four-year performance and service period on a ratable basis. The unrecognized share-based compensation cost of our outstanding MSUs was approximately $16.6 million as of the end of fiscal 2021, which will be recognized over a weighted average period of approximately 1.02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2019 Incentive Plan and our 2010 Incentive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4"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We have granted PSUs to our executive officers and other management members under our 2010 Incentive Plan, our 2019 Incentive Plan and our 2019 Inducement Equity Plan, which are designed to vest in three tranches with the target quantity for each tranche equal to one-third of the total PSU grant. Generally, the grants have a specific one-year performance period and vesting occurs over three service periods with the final service period ending approximately three years from the grant date. Performance is measured based on the achievement of a specified level of certain performance criteria (for PSUs granted in fiscal 2021 it is based on a combination of our design win revenue, non-GAAP gross margin percentage and non-GAAP operating expenses and for the PSUs granted prior to fiscal 2021 it is based on non-GAAP earnings per share). The potential payout ranges from 0% to 200% of the target grant quantity and is adjusted on a linear basis with a payout triggering if our measurement results equals greater than 65% of the target with a maximum payout achieved at 135% of target.</w:t>
      </w:r>
    </w:p>
    <w:p>
      <w:pPr>
        <w:spacing w:after="0" w:line="17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PSU award.</w:t>
      </w:r>
    </w:p>
    <w:p>
      <w:pPr>
        <w:spacing w:after="0" w:line="187"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During the fiscal year ended June 26, 2021, PSU activity, including PSUs granted, delivered, and forfeited, and the balance and aggregate intrinsic value of PSUs as of June 26, 2021 was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2"/>
              </w:rPr>
              <w:t>Aggregate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9"/>
              </w:rPr>
              <w:t>Intrinsic</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Average</w:t>
            </w:r>
          </w:p>
        </w:tc>
      </w:tr>
      <w:tr>
        <w:trPr>
          <w:trHeight w:val="162"/>
        </w:trPr>
        <w:tc>
          <w:tcPr>
            <w:tcW w:w="53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PSU Awards</w:t>
            </w:r>
          </w:p>
        </w:tc>
        <w:tc>
          <w:tcPr>
            <w:tcW w:w="14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color w:val="auto"/>
                <w:w w:val="94"/>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Grant Date</w:t>
            </w:r>
          </w:p>
        </w:tc>
      </w:tr>
      <w:tr>
        <w:trPr>
          <w:trHeight w:val="167"/>
        </w:trPr>
        <w:tc>
          <w:tcPr>
            <w:tcW w:w="530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Outstanding</w:t>
            </w:r>
          </w:p>
        </w:tc>
        <w:tc>
          <w:tcPr>
            <w:tcW w:w="14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color w:val="auto"/>
                <w:w w:val="98"/>
              </w:rPr>
              <w:t>(in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Fair Value</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333,848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174,231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68.37</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(201,835)</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41.95</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(72,963)</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8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Balance at June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317,392</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62.41</w:t>
            </w: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46"/>
        <w:spacing w:after="0" w:line="313" w:lineRule="auto"/>
        <w:rPr>
          <w:sz w:val="20"/>
          <w:szCs w:val="20"/>
          <w:color w:val="auto"/>
        </w:rPr>
      </w:pPr>
      <w:r>
        <w:rPr>
          <w:rFonts w:ascii="Arial" w:cs="Arial" w:eastAsia="Arial" w:hAnsi="Arial"/>
          <w:sz w:val="16"/>
          <w:szCs w:val="16"/>
          <w:color w:val="auto"/>
        </w:rPr>
        <w:t>We value PSUs using the aggregate intrinsic value on the date of grant and amortize the compensation expense over the three-year service period on a ratable basis, dependent upon the probability of meeting the performance measures. Of the shares delivered, 82,240 shares valued at $6.3 million were withheld to meet statutory minimum tax withholding requirements. The unrecognized share-based compensation cost of our outstanding PSUs was approximately $13.4 million as of June 26, 2021, which will be recognized over a weighted average period of approximately 1.09 years.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Phantom Stock Units</w:t>
      </w:r>
    </w:p>
    <w:p>
      <w:pPr>
        <w:spacing w:after="0" w:line="11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The 2019 Incentive Plan authorizes the grant of phantom stock units to non-employee directors, officers and employees. We initially granted phantom stock units in October 2019. Phantom stock units are cash-settled and entitle the recipient to receive a cash payment equal to the value of a single share for each unit based on the average closing share price of our stock over the thirty calendar days prior to the vesting date. Grants of phantom stock units vest over three years, with an annual vesting date of October 31 each year subsequent to the grant date. We recognize compensation expense for phantom stock units on a straight-line basis for each tranche of each award based on the average closing price of our common stock over the thirty calendar days ended prior to each balance sheet date. The outstanding phantom stock units had a fair value of $140.17 per unit at June 26, 2021 and our accrued liability for such units was $18.4 million.</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Phantom stock activity was as follows: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Phantom</w:t>
            </w: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Stock Units</w:t>
            </w: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2020</w:t>
            </w: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789,113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Paid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(242,692)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(143,963)</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ind w:left="1140"/>
              <w:spacing w:after="0"/>
              <w:rPr>
                <w:sz w:val="20"/>
                <w:szCs w:val="20"/>
                <w:color w:val="auto"/>
              </w:rPr>
            </w:pPr>
            <w:r>
              <w:rPr>
                <w:rFonts w:ascii="Arial" w:cs="Arial" w:eastAsia="Arial" w:hAnsi="Arial"/>
                <w:sz w:val="18"/>
                <w:szCs w:val="18"/>
                <w:color w:val="auto"/>
              </w:rPr>
              <w:t>Balance as of June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402,458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Our 2019 ESPP became effective October 29, 2019 which replaced our 2010 ESPP. The 2019 ESPP, and previously the 2010 ESPP, allows employees to designate up to 15% of their base compensation, subject to legal restrictions and limitations, to purchase shares of common stock at 85% of the lesser of the FMV at the beginning of the offering period or the exercise date. Under the 2019 ESPP, the offering period extends for up to one year and includes two exercise dates occurring at six-month intervals. Under the 2010 ESPP, the offering period extended for up to two years and included four exercise dates occurring at six-month intervals. Under the terms of our 2019 ESPP, and previously under our 2010 ESPP, if the FMV at an exercise date is less than the FMV at the beginning of the offering period, the current offering period will terminate and a new offering period will commence.</w:t>
      </w:r>
    </w:p>
    <w:p>
      <w:pPr>
        <w:spacing w:after="0" w:line="164"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Shares purchased, weighted average purchase price, cash received, and the aggregate intrinsic value for employee stock purchase plan purchases in fiscal 2021, 2020, and 2019 were as follows (in millions, except shares purchased and weighted average purchase price):</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840" w:type="dxa"/>
            <w:vAlign w:val="bottom"/>
            <w:tcBorders>
              <w:bottom w:val="single" w:sz="8" w:color="CFF0FC"/>
            </w:tcBorders>
          </w:tcPr>
          <w:p>
            <w:pPr>
              <w:spacing w:after="0"/>
              <w:rPr>
                <w:sz w:val="14"/>
                <w:szCs w:val="14"/>
                <w:color w:val="auto"/>
              </w:rPr>
            </w:pPr>
          </w:p>
        </w:tc>
        <w:tc>
          <w:tcPr>
            <w:tcW w:w="14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220,389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346,502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544,886</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57.00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30.50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29.48</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r>
    </w:tbl>
    <w:p>
      <w:pPr>
        <w:spacing w:after="0" w:line="2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fair value of each award granted under our 2019 ESPP and our 2010 ESPP for fiscal 2021, 2020, and 2019 was estimated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assuming no expected dividends and the following range of assumptions:</w:t>
      </w:r>
    </w:p>
    <w:p>
      <w:pPr>
        <w:spacing w:after="0" w:line="28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88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89"/>
              </w:rPr>
              <w:t>2020</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96"/>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43.8%</w:t>
            </w:r>
          </w:p>
        </w:tc>
        <w:tc>
          <w:tcPr>
            <w:tcW w:w="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- 57.0%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center"/>
              <w:ind w:right="54"/>
              <w:spacing w:after="0"/>
              <w:rPr>
                <w:sz w:val="20"/>
                <w:szCs w:val="20"/>
                <w:color w:val="auto"/>
              </w:rPr>
            </w:pPr>
            <w:r>
              <w:rPr>
                <w:rFonts w:ascii="Arial" w:cs="Arial" w:eastAsia="Arial" w:hAnsi="Arial"/>
                <w:sz w:val="18"/>
                <w:szCs w:val="18"/>
                <w:color w:val="auto"/>
                <w:w w:val="92"/>
              </w:rPr>
              <w:t>43.8%-45.4%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94"/>
              <w:spacing w:after="0"/>
              <w:rPr>
                <w:sz w:val="20"/>
                <w:szCs w:val="20"/>
                <w:color w:val="auto"/>
              </w:rPr>
            </w:pPr>
            <w:r>
              <w:rPr>
                <w:rFonts w:ascii="Arial" w:cs="Arial" w:eastAsia="Arial" w:hAnsi="Arial"/>
                <w:sz w:val="18"/>
                <w:szCs w:val="18"/>
                <w:color w:val="auto"/>
                <w:w w:val="90"/>
              </w:rPr>
              <w:t>43.8%-44.2%</w:t>
            </w:r>
          </w:p>
        </w:tc>
        <w:tc>
          <w:tcPr>
            <w:tcW w:w="80" w:type="dxa"/>
            <w:vAlign w:val="bottom"/>
            <w:shd w:val="clear" w:color="auto" w:fill="CFF0FC"/>
          </w:tcPr>
          <w:p>
            <w:pPr>
              <w:spacing w:after="0"/>
              <w:rPr>
                <w:sz w:val="19"/>
                <w:szCs w:val="19"/>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800" w:type="dxa"/>
            <w:vAlign w:val="bottom"/>
          </w:tcPr>
          <w:p>
            <w:pPr>
              <w:ind w:left="40"/>
              <w:spacing w:after="0"/>
              <w:rPr>
                <w:sz w:val="20"/>
                <w:szCs w:val="20"/>
                <w:color w:val="auto"/>
              </w:rPr>
            </w:pPr>
            <w:r>
              <w:rPr>
                <w:rFonts w:ascii="Arial" w:cs="Arial" w:eastAsia="Arial" w:hAnsi="Arial"/>
                <w:sz w:val="18"/>
                <w:szCs w:val="18"/>
                <w:color w:val="auto"/>
              </w:rPr>
              <w:t>- 1.0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54"/>
              <w:spacing w:after="0"/>
              <w:rPr>
                <w:sz w:val="20"/>
                <w:szCs w:val="20"/>
                <w:color w:val="auto"/>
              </w:rPr>
            </w:pPr>
            <w:r>
              <w:rPr>
                <w:rFonts w:ascii="Arial" w:cs="Arial" w:eastAsia="Arial" w:hAnsi="Arial"/>
                <w:sz w:val="18"/>
                <w:szCs w:val="18"/>
                <w:color w:val="auto"/>
                <w:w w:val="89"/>
              </w:rPr>
              <w:t>0.25 - .75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0"/>
              </w:rPr>
              <w:t>0.5 - 1.5</w:t>
            </w:r>
          </w:p>
        </w:tc>
        <w:tc>
          <w:tcPr>
            <w:tcW w:w="80" w:type="dxa"/>
            <w:vAlign w:val="bottom"/>
          </w:tcPr>
          <w:p>
            <w:pPr>
              <w:spacing w:after="0"/>
              <w:rPr>
                <w:sz w:val="19"/>
                <w:szCs w:val="19"/>
                <w:color w:val="auto"/>
              </w:rPr>
            </w:pPr>
          </w:p>
        </w:tc>
      </w:tr>
      <w:tr>
        <w:trPr>
          <w:trHeight w:val="229"/>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0.12%</w:t>
            </w:r>
          </w:p>
        </w:tc>
        <w:tc>
          <w:tcPr>
            <w:tcW w:w="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- 1.63%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center"/>
              <w:ind w:right="54"/>
              <w:spacing w:after="0"/>
              <w:rPr>
                <w:sz w:val="20"/>
                <w:szCs w:val="20"/>
                <w:color w:val="auto"/>
              </w:rPr>
            </w:pPr>
            <w:r>
              <w:rPr>
                <w:rFonts w:ascii="Arial" w:cs="Arial" w:eastAsia="Arial" w:hAnsi="Arial"/>
                <w:sz w:val="18"/>
                <w:szCs w:val="18"/>
                <w:color w:val="auto"/>
                <w:w w:val="91"/>
              </w:rPr>
              <w:t>1.62% - 2.43%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94"/>
              <w:spacing w:after="0"/>
              <w:rPr>
                <w:sz w:val="20"/>
                <w:szCs w:val="20"/>
                <w:color w:val="auto"/>
              </w:rPr>
            </w:pPr>
            <w:r>
              <w:rPr>
                <w:rFonts w:ascii="Arial" w:cs="Arial" w:eastAsia="Arial" w:hAnsi="Arial"/>
                <w:sz w:val="18"/>
                <w:szCs w:val="18"/>
                <w:color w:val="auto"/>
                <w:w w:val="90"/>
              </w:rPr>
              <w:t>2.43%-2.68%</w:t>
            </w:r>
          </w:p>
        </w:tc>
        <w:tc>
          <w:tcPr>
            <w:tcW w:w="80" w:type="dxa"/>
            <w:vAlign w:val="bottom"/>
            <w:shd w:val="clear" w:color="auto" w:fill="CFF0FC"/>
          </w:tcPr>
          <w:p>
            <w:pPr>
              <w:spacing w:after="0"/>
              <w:rPr>
                <w:sz w:val="19"/>
                <w:szCs w:val="19"/>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Fair value per award</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rPr>
              <w:t>20.82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4"/>
              <w:spacing w:after="0"/>
              <w:rPr>
                <w:sz w:val="20"/>
                <w:szCs w:val="20"/>
                <w:color w:val="auto"/>
              </w:rPr>
            </w:pPr>
            <w:r>
              <w:rPr>
                <w:rFonts w:ascii="Arial" w:cs="Arial" w:eastAsia="Arial" w:hAnsi="Arial"/>
                <w:sz w:val="18"/>
                <w:szCs w:val="18"/>
                <w:color w:val="auto"/>
              </w:rPr>
              <w:t>15.48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4"/>
              <w:spacing w:after="0"/>
              <w:rPr>
                <w:sz w:val="20"/>
                <w:szCs w:val="20"/>
                <w:color w:val="auto"/>
              </w:rPr>
            </w:pPr>
            <w:r>
              <w:rPr>
                <w:rFonts w:ascii="Arial" w:cs="Arial" w:eastAsia="Arial" w:hAnsi="Arial"/>
                <w:sz w:val="18"/>
                <w:szCs w:val="18"/>
                <w:color w:val="auto"/>
              </w:rPr>
              <w:t>15.63</w:t>
            </w:r>
          </w:p>
        </w:tc>
        <w:tc>
          <w:tcPr>
            <w:tcW w:w="80" w:type="dxa"/>
            <w:vAlign w:val="bottom"/>
          </w:tcPr>
          <w:p>
            <w:pPr>
              <w:spacing w:after="0"/>
              <w:rPr>
                <w:sz w:val="20"/>
                <w:szCs w:val="20"/>
                <w:color w:val="auto"/>
              </w:rPr>
            </w:pPr>
          </w:p>
        </w:tc>
      </w:tr>
    </w:tbl>
    <w:p>
      <w:pPr>
        <w:spacing w:after="0" w:line="228"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The expected volatility is based on either implied volatility for the expected lives of 0.5 years or a weighting of implied and historical volatility for expected lives greater than 0.5 years. The expected life is the period starting at the enrollment date until each purchase date remaining in the offering period at the date of enrollment in the plan. The risk-free interest rate is based on U.S. Treasury yields or yield curve in effect for each expected life.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jc w:val="both"/>
        <w:ind w:firstLine="546"/>
        <w:spacing w:after="0" w:line="277" w:lineRule="auto"/>
        <w:rPr>
          <w:sz w:val="20"/>
          <w:szCs w:val="20"/>
          <w:color w:val="auto"/>
        </w:rPr>
      </w:pPr>
      <w:r>
        <w:rPr>
          <w:rFonts w:ascii="Arial" w:cs="Arial" w:eastAsia="Arial" w:hAnsi="Arial"/>
          <w:sz w:val="18"/>
          <w:szCs w:val="18"/>
          <w:color w:val="auto"/>
        </w:rPr>
        <w:t>Unrecognized share-based compensation costs for awards granted under our 2019 ESPP at the end of fiscal 2021 were approximately $1.1 million that will be amortized over the next 2 months.</w:t>
      </w:r>
    </w:p>
    <w:p>
      <w:pPr>
        <w:spacing w:after="0" w:line="3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have a 401(k) Retirement Savings Plan for full-time employees in the U.S. Under the plan, eligible employees may contribute a portion of their net compensation up to the annual limit of $19,500, or $26,000 for employees who are 50 years or older. In fiscal 2021, we provided matching funds of 25% of our employees’ contributions, excluding catch-up contributions. The employer matching funds vest immediately. We made matching contributions of $1.8 million, $2.1 million, and $2.4 million in fiscal 2021, 2020, and 2019, respectively.</w:t>
      </w:r>
    </w:p>
    <w:p>
      <w:pPr>
        <w:spacing w:after="0" w:line="37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On March 27, 2020, the Coronavirus Aid, Relief and Economic Security, or CARES, Act was enacted and signed into law. The CARES Act did not have a material impact on the income tax provision for the fiscal year ended June 26,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Income/(loss) before provision for income taxes for fiscal 2021, 2020, and 2019 consisted of the following (in millions):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2020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8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Income/(loss) before provision for income taxes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for income taxes for fiscal 2021, 2020, and 2019 consisted of the following (in 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360" w:type="dxa"/>
            <w:vAlign w:val="bottom"/>
            <w:tcBorders>
              <w:bottom w:val="single" w:sz="8" w:color="CFF0FC"/>
            </w:tcBorders>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2020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c>
          <w:tcPr>
            <w:tcW w:w="112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Current tax expense/(benefit)</w:t>
            </w:r>
          </w:p>
        </w:tc>
        <w:tc>
          <w:tcPr>
            <w:tcW w:w="1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Federal</w:t>
            </w:r>
          </w:p>
        </w:tc>
        <w:tc>
          <w:tcPr>
            <w:tcW w:w="21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3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4500" w:type="dxa"/>
            <w:vAlign w:val="bottom"/>
            <w:gridSpan w:val="2"/>
          </w:tcPr>
          <w:p>
            <w:pPr>
              <w:ind w:left="1140"/>
              <w:spacing w:after="0"/>
              <w:rPr>
                <w:sz w:val="20"/>
                <w:szCs w:val="20"/>
                <w:color w:val="auto"/>
              </w:rPr>
            </w:pPr>
            <w:r>
              <w:rPr>
                <w:rFonts w:ascii="Arial" w:cs="Arial" w:eastAsia="Arial" w:hAnsi="Arial"/>
                <w:sz w:val="18"/>
                <w:szCs w:val="18"/>
                <w:color w:val="auto"/>
              </w:rPr>
              <w:t>Deferred tax expense/(benefit)</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State</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360" w:type="dxa"/>
            <w:vAlign w:val="bottom"/>
            <w:tcBorders>
              <w:bottom w:val="single" w:sz="8" w:color="CFF0FC"/>
            </w:tcBorders>
          </w:tcPr>
          <w:p>
            <w:pPr>
              <w:spacing w:after="0"/>
              <w:rPr>
                <w:sz w:val="19"/>
                <w:szCs w:val="19"/>
                <w:color w:val="auto"/>
              </w:rPr>
            </w:pPr>
          </w:p>
        </w:tc>
        <w:tc>
          <w:tcPr>
            <w:tcW w:w="19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3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Provision for income taxes</w:t>
            </w:r>
          </w:p>
        </w:tc>
        <w:tc>
          <w:tcPr>
            <w:tcW w:w="19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56"/>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60" w:type="dxa"/>
            <w:vAlign w:val="bottom"/>
            <w:gridSpan w:val="2"/>
          </w:tcPr>
          <w:p>
            <w:pPr>
              <w:jc w:val="right"/>
              <w:ind w:right="787"/>
              <w:spacing w:after="0"/>
              <w:rPr>
                <w:sz w:val="20"/>
                <w:szCs w:val="20"/>
                <w:color w:val="auto"/>
              </w:rPr>
            </w:pPr>
            <w:r>
              <w:rPr>
                <w:rFonts w:ascii="Arial" w:cs="Arial" w:eastAsia="Arial" w:hAnsi="Arial"/>
                <w:sz w:val="18"/>
                <w:szCs w:val="18"/>
                <w:color w:val="auto"/>
              </w:rPr>
              <w:t>F-36</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ind w:left="560"/>
        <w:spacing w:after="0"/>
        <w:rPr>
          <w:sz w:val="20"/>
          <w:szCs w:val="20"/>
          <w:color w:val="auto"/>
        </w:rPr>
      </w:pPr>
      <w:r>
        <w:rPr>
          <w:rFonts w:ascii="Arial" w:cs="Arial" w:eastAsia="Arial" w:hAnsi="Arial"/>
          <w:sz w:val="18"/>
          <w:szCs w:val="18"/>
          <w:color w:val="auto"/>
        </w:rPr>
        <w:t>The provision for income taxes differs from the federal statutory rate for fiscal 2021, 2020, and 2019 as follows (in millions):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680" w:type="dxa"/>
            <w:vAlign w:val="bottom"/>
            <w:vMerge w:val="restart"/>
          </w:tcPr>
          <w:p>
            <w:pPr>
              <w:spacing w:after="0"/>
              <w:rPr>
                <w:sz w:val="20"/>
                <w:szCs w:val="20"/>
                <w:color w:val="auto"/>
              </w:rPr>
            </w:pPr>
            <w:r>
              <w:rPr>
                <w:rFonts w:ascii="Arial" w:cs="Arial" w:eastAsia="Arial" w:hAnsi="Arial"/>
                <w:sz w:val="18"/>
                <w:szCs w:val="18"/>
                <w:color w:val="auto"/>
              </w:rPr>
              <w:t>Provision at U.S. federal statutory tax rate</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Non-deductible share-based compensation</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(Windfall)/shortfall related to share-based compensation</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Non-deductible officer compensation</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Business credits</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Foreign tax differential</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Nondeductible amortization</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Foreign income inclusion</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Deferred taxes on unremitted foreign earnings</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Other differences</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Provision for income taxes</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Net deferred tax assets of $1.2 million and $28.7 million were non-current as of the end of fiscal 2021 and 2020, respectively, and were included in other assets in the accompanying consolidated balance sheets.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Significant components of our deferred tax assets (liabilities) as of the end of fiscal 2021 and 2020 consisted of the following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2021</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Capital loss carryforward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write downs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Deferred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Business credit carryforward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intangibles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operating loss carryforward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accruals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(33.3)</w:t>
            </w:r>
          </w:p>
        </w:tc>
      </w:tr>
      <w:tr>
        <w:trPr>
          <w:trHeight w:val="223"/>
        </w:trPr>
        <w:tc>
          <w:tcPr>
            <w:tcW w:w="77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Unremitted foreign earnings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intangibles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Realization of deferred tax assets depends on our generating sufficient U.S. and certain foreign taxable income in future years to obtain a benefit from the utilization of those deferred tax assets on our tax returns. Accordingly, the amount of deferred tax assets considered realizable may increase or decrease when we reevaluate the underlying basis for our estimates of future U.S. and foreign taxable income. As of the end of fiscal 2021, a valuation allowance of $32.6 million was maintained to reduce deferred tax assets to levels we believe are more likely than not to be realized through future taxable income. The net change in the valuation allowance during fiscal 2021 was a decrease of $0.7 million.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3" w:name="page94"/>
    <w:bookmarkEnd w:id="93"/>
    <w:p>
      <w:pPr>
        <w:jc w:val="both"/>
        <w:ind w:firstLine="546"/>
        <w:spacing w:after="0" w:line="263" w:lineRule="auto"/>
        <w:rPr>
          <w:sz w:val="20"/>
          <w:szCs w:val="20"/>
          <w:color w:val="auto"/>
        </w:rPr>
      </w:pPr>
      <w:r>
        <w:rPr>
          <w:rFonts w:ascii="Arial" w:cs="Arial" w:eastAsia="Arial" w:hAnsi="Arial"/>
          <w:sz w:val="18"/>
          <w:szCs w:val="18"/>
          <w:color w:val="auto"/>
        </w:rPr>
        <w:t>We assessed our current and future liquidity in the fourth quarter of fiscal 2021 and determined not to permanently reinvest earnings of certain foreign jurisdictions. As a result of our determination, we recorded $3.5 million of deferred tax liability. We continue to indefinitely reinvest $2.1 million of accumulated earnings.</w:t>
      </w:r>
    </w:p>
    <w:p>
      <w:pPr>
        <w:spacing w:after="0" w:line="18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As of the end of fiscal 2021, we had federal, California, and foreign net operating loss carryforwards of approximately $0.5 million, $4.8 million, and $30.6 million, respectively. The California net operating loss will begin to expire in fiscal 2033, if not utilized. Under current tax law, net operating loss and tax credit carryforwards available to offset future income or income taxes may be limited by statute or upon the occurrence of certain events, including significant changes in ownership.</w:t>
      </w:r>
    </w:p>
    <w:p>
      <w:pPr>
        <w:spacing w:after="0" w:line="187"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color w:val="auto"/>
        </w:rPr>
        <w:t>We had $16.2 million and $47.0 million of federal and state research tax credit carryforwards, respectively, as of the end of fiscal 2021. The federal research tax credit carryforward will begin to expire in 2038 and the state research tax credit can be carried forward indefinitely.</w:t>
      </w:r>
    </w:p>
    <w:p>
      <w:pPr>
        <w:spacing w:after="0" w:line="14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The total liability for gross unrecognized tax benefits related to uncertain tax positions, included in other liabilities in our consolidated balance sheets, increased by $2.5 million from $20.1 million in fiscal 2020 to $22.6 million in fiscal 2021. Of this amount, $14.3 million will reduce the effective tax rate on income from continuing operations, if recognized. A reconciliation of the beginning and ending balance of gross unrecognized tax benefits for fiscal 2021, 2020, and 2019 consisted of the following (in millions):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060" w:type="dxa"/>
            <w:vAlign w:val="bottom"/>
            <w:vMerge w:val="restart"/>
          </w:tcPr>
          <w:p>
            <w:pPr>
              <w:spacing w:after="0"/>
              <w:rPr>
                <w:sz w:val="20"/>
                <w:szCs w:val="20"/>
                <w:color w:val="auto"/>
              </w:rPr>
            </w:pPr>
            <w:r>
              <w:rPr>
                <w:rFonts w:ascii="Arial" w:cs="Arial" w:eastAsia="Arial" w:hAnsi="Arial"/>
                <w:sz w:val="18"/>
                <w:szCs w:val="18"/>
                <w:color w:val="auto"/>
              </w:rPr>
              <w:t>Beginning balance</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Increase in unrecognized tax benefits related to current year tax</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positions</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40"/>
              <w:spacing w:after="0"/>
              <w:rPr>
                <w:sz w:val="20"/>
                <w:szCs w:val="20"/>
                <w:color w:val="auto"/>
              </w:rPr>
            </w:pPr>
            <w:r>
              <w:rPr>
                <w:rFonts w:ascii="Arial" w:cs="Arial" w:eastAsia="Arial" w:hAnsi="Arial"/>
                <w:sz w:val="18"/>
                <w:szCs w:val="18"/>
                <w:color w:val="auto"/>
                <w:w w:val="98"/>
              </w:rPr>
              <w:t>Increase in unrecognized tax benefits related to prior year tax</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Arial" w:cs="Arial" w:eastAsia="Arial" w:hAnsi="Arial"/>
                <w:sz w:val="18"/>
                <w:szCs w:val="18"/>
                <w:color w:val="auto"/>
              </w:rPr>
              <w:t>positions</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 due to effective settlement with tax authorities</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060" w:type="dxa"/>
            <w:vAlign w:val="bottom"/>
          </w:tcPr>
          <w:p>
            <w:pPr>
              <w:ind w:left="240"/>
              <w:spacing w:after="0"/>
              <w:rPr>
                <w:sz w:val="20"/>
                <w:szCs w:val="20"/>
                <w:color w:val="auto"/>
              </w:rPr>
            </w:pPr>
            <w:r>
              <w:rPr>
                <w:rFonts w:ascii="Arial" w:cs="Arial" w:eastAsia="Arial" w:hAnsi="Arial"/>
                <w:sz w:val="18"/>
                <w:szCs w:val="18"/>
                <w:color w:val="auto"/>
              </w:rPr>
              <w:t>Remeasurement of unrecognized tax benefits</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 due to statute expiration</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Ending Balance</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20.1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Accrued interest and penalties decreased by $0.2 million in fiscal 2021 as compared to fiscal 2020 and increased by $0.7 million representing income tax expense in fiscal 2019 as compared to fiscal 2018. Accrued interest and penalties were $1.7 million and $1.9 million as of June 26, 2021 and June 27, 2020, respectively. Our policy is to classify interest and penalties, if any, as components of income tax expense.</w:t>
      </w:r>
    </w:p>
    <w:p>
      <w:pPr>
        <w:spacing w:after="0" w:line="165"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It is reasonably possible that the amount of liability for unrecognized tax benefits may change within the next 12 months; an estimate of the range of possible changes could result in a decrease of $3.4 million to an increase of $3.0 million.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187"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Our major tax jurisdictions are the U.S., Hong Kong SAR, Japan and the U.K. From fiscal 2014 onward, we remain subject to examination by one or more of these jurisdictions.</w:t>
      </w:r>
    </w:p>
    <w:p>
      <w:pPr>
        <w:spacing w:after="0" w:line="3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Segment, Customers, and Geographic Information</w:t>
      </w:r>
    </w:p>
    <w:p>
      <w:pPr>
        <w:spacing w:after="0" w:line="121" w:lineRule="exact"/>
        <w:rPr>
          <w:sz w:val="20"/>
          <w:szCs w:val="20"/>
          <w:color w:val="auto"/>
        </w:rPr>
      </w:pPr>
    </w:p>
    <w:p>
      <w:pPr>
        <w:jc w:val="both"/>
        <w:ind w:right="20" w:firstLine="546"/>
        <w:spacing w:after="0" w:line="263"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IoT product applications market, the personal computing, or PC, product applications market, and the mobile, product market.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4" w:name="page95"/>
    <w:bookmarkEnd w:id="94"/>
    <w:p>
      <w:pPr>
        <w:ind w:left="560"/>
        <w:spacing w:after="0"/>
        <w:rPr>
          <w:sz w:val="20"/>
          <w:szCs w:val="20"/>
          <w:color w:val="auto"/>
        </w:rPr>
      </w:pPr>
      <w:r>
        <w:rPr>
          <w:rFonts w:ascii="Arial" w:cs="Arial" w:eastAsia="Arial" w:hAnsi="Arial"/>
          <w:sz w:val="16"/>
          <w:szCs w:val="16"/>
          <w:color w:val="auto"/>
        </w:rPr>
        <w:t>Net revenue within geographic areas based on our customers’ locations for fiscal 2021, 2020, and 2019, consisted of the following (in millions):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120" w:type="dxa"/>
            <w:vAlign w:val="bottom"/>
            <w:tcBorders>
              <w:bottom w:val="single" w:sz="8" w:color="CFF0FC"/>
            </w:tcBorders>
          </w:tcPr>
          <w:p>
            <w:pPr>
              <w:spacing w:after="0"/>
              <w:rPr>
                <w:sz w:val="14"/>
                <w:szCs w:val="14"/>
                <w:color w:val="auto"/>
              </w:rPr>
            </w:pPr>
          </w:p>
        </w:tc>
        <w:tc>
          <w:tcPr>
            <w:tcW w:w="2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844.8</w:t>
            </w:r>
          </w:p>
        </w:tc>
        <w:tc>
          <w:tcPr>
            <w:tcW w:w="80" w:type="dxa"/>
            <w:vAlign w:val="bottom"/>
            <w:shd w:val="clear" w:color="auto" w:fill="CFF0FC"/>
          </w:tcPr>
          <w:p>
            <w:pPr>
              <w:spacing w:after="0"/>
              <w:rPr>
                <w:sz w:val="19"/>
                <w:szCs w:val="19"/>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rPr>
              <w:t>Taiwan</w:t>
            </w: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239.8</w:t>
            </w:r>
          </w:p>
        </w:tc>
        <w:tc>
          <w:tcPr>
            <w:tcW w:w="80" w:type="dxa"/>
            <w:vAlign w:val="bottom"/>
          </w:tcPr>
          <w:p>
            <w:pPr>
              <w:spacing w:after="0"/>
              <w:rPr>
                <w:sz w:val="19"/>
                <w:szCs w:val="19"/>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8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9"/>
                <w:szCs w:val="19"/>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FF0FC"/>
          </w:tcPr>
          <w:p>
            <w:pPr>
              <w:spacing w:after="0"/>
              <w:rPr>
                <w:sz w:val="19"/>
                <w:szCs w:val="19"/>
                <w:color w:val="auto"/>
              </w:rPr>
            </w:pPr>
          </w:p>
        </w:tc>
      </w:tr>
      <w:tr>
        <w:trPr>
          <w:trHeight w:val="230"/>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2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Borders>
              <w:bottom w:val="single" w:sz="8" w:color="CFF0FC"/>
            </w:tcBorders>
          </w:tcPr>
          <w:p>
            <w:pPr>
              <w:spacing w:after="0"/>
              <w:rPr>
                <w:sz w:val="19"/>
                <w:szCs w:val="19"/>
                <w:color w:val="auto"/>
              </w:rPr>
            </w:pPr>
          </w:p>
        </w:tc>
      </w:tr>
      <w:tr>
        <w:trPr>
          <w:trHeight w:val="223"/>
        </w:trPr>
        <w:tc>
          <w:tcPr>
            <w:tcW w:w="312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1,339.6</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revenue from external customers for each group of similar products for fiscal 2021, 2020, and 2019 consisted of the following (in millions):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66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313.2</w:t>
            </w:r>
          </w:p>
        </w:tc>
        <w:tc>
          <w:tcPr>
            <w:tcW w:w="80" w:type="dxa"/>
            <w:vAlign w:val="bottom"/>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258.9</w:t>
            </w:r>
          </w:p>
        </w:tc>
        <w:tc>
          <w:tcPr>
            <w:tcW w:w="8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404.0</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900.1</w:t>
            </w:r>
          </w:p>
        </w:tc>
        <w:tc>
          <w:tcPr>
            <w:tcW w:w="80" w:type="dxa"/>
            <w:vAlign w:val="bottom"/>
            <w:shd w:val="clear" w:color="auto" w:fill="CFF0FC"/>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1,339.6</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1,472.2</w:t>
            </w:r>
          </w:p>
        </w:tc>
        <w:tc>
          <w:tcPr>
            <w:tcW w:w="8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Long-lived assets within geographic areas as of the end of fiscal 2021 and 2020 consisted of the following (in millions):</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168.5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Asia/Pacific</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223.5</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602.3</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962.7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goodwill of $570.0 million has been allocated to two reporting units which include IoT and Mobile/PC.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Major customers’ revenue as a percentage of total net revenue for fiscal 2021, 2020, and 2019 were as follows: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3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2021</w:t>
            </w: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2020</w:t>
            </w:r>
          </w:p>
        </w:tc>
        <w:tc>
          <w:tcPr>
            <w:tcW w:w="2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18%</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Customer B</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13%</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12%</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Customer D</w:t>
            </w: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Customer E</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14%</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Customer F</w:t>
            </w: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80" w:type="dxa"/>
            <w:vAlign w:val="bottom"/>
          </w:tcPr>
          <w:p>
            <w:pPr>
              <w:spacing w:after="0"/>
              <w:rPr>
                <w:sz w:val="20"/>
                <w:szCs w:val="20"/>
                <w:color w:val="auto"/>
              </w:rPr>
            </w:pPr>
          </w:p>
        </w:tc>
      </w:tr>
    </w:tbl>
    <w:p>
      <w:pPr>
        <w:spacing w:after="0" w:line="24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626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557" w:right="639" w:bottom="1440" w:gutter="0" w:footer="0" w:header="0"/>
        </w:sectPr>
      </w:pPr>
    </w:p>
    <w:bookmarkStart w:id="95" w:name="page96"/>
    <w:bookmarkEnd w:id="95"/>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Restructuring Activities</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During fiscal 2021, we initiated restructuring activities, which included severance costs for activities intended to gain synergies from our recent acquisitions. The restructuring costs related to these activities were recorded to the restructuring costs line item within our consolidated statements of comprehensive income and are complete as of the end of fiscal 2021.</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restructuring liability activity for these restructuring activities during fiscal 2021 was as follows (in millions):</w:t>
      </w:r>
    </w:p>
    <w:p>
      <w:pPr>
        <w:spacing w:after="0" w:line="347"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Employee Severance</w:t>
            </w:r>
          </w:p>
        </w:tc>
      </w:tr>
      <w:tr>
        <w:trPr>
          <w:trHeight w:val="230"/>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2"/>
          </w:tcPr>
          <w:p>
            <w:pPr>
              <w:jc w:val="right"/>
              <w:ind w:right="840"/>
              <w:spacing w:after="0"/>
              <w:rPr>
                <w:sz w:val="20"/>
                <w:szCs w:val="20"/>
                <w:color w:val="auto"/>
              </w:rPr>
            </w:pPr>
            <w:r>
              <w:rPr>
                <w:rFonts w:ascii="Arial" w:cs="Arial" w:eastAsia="Arial" w:hAnsi="Arial"/>
                <w:sz w:val="18"/>
                <w:szCs w:val="18"/>
                <w:color w:val="auto"/>
              </w:rPr>
              <w:t>and Benefits</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Cash payments</w:t>
            </w:r>
          </w:p>
        </w:tc>
        <w:tc>
          <w:tcPr>
            <w:tcW w:w="260" w:type="dxa"/>
            <w:vAlign w:val="bottom"/>
          </w:tcPr>
          <w:p>
            <w:pPr>
              <w:spacing w:after="0"/>
              <w:rPr>
                <w:sz w:val="19"/>
                <w:szCs w:val="19"/>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23"/>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2021</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During fiscal 2020 we initiated restructuring activities, some of which included severance costs that were for activities intended to further improve efficiencies in our operational activities to align our cost structure consistent with our revenue levels and one was severance costs related to employees who transitioned with the sale of our assets of our TDDI product line for LCD mobile displays (See Note 4 Acquisitions, Divestiture and Investment included in the consolidated financial statements contained elsewhere in this Report). The restructuring costs related to these activities were recorded to the restructuring costs line item within our consolidated statements of comprehensive income and are complete as of the end of fiscal 2021.</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restructuring liability activity for these restructuring activities were as follows (in millions):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Employee Severance</w:t>
            </w:r>
          </w:p>
        </w:tc>
      </w:tr>
      <w:tr>
        <w:trPr>
          <w:trHeight w:val="230"/>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2"/>
          </w:tcPr>
          <w:p>
            <w:pPr>
              <w:jc w:val="right"/>
              <w:ind w:right="840"/>
              <w:spacing w:after="0"/>
              <w:rPr>
                <w:sz w:val="20"/>
                <w:szCs w:val="20"/>
                <w:color w:val="auto"/>
              </w:rPr>
            </w:pPr>
            <w:r>
              <w:rPr>
                <w:rFonts w:ascii="Arial" w:cs="Arial" w:eastAsia="Arial" w:hAnsi="Arial"/>
                <w:sz w:val="18"/>
                <w:szCs w:val="18"/>
                <w:color w:val="auto"/>
              </w:rPr>
              <w:t>and Benefits</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Cash payments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2020</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Accruals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as of June 2021</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715" w:right="339" w:bottom="1440" w:gutter="0" w:footer="0" w:header="0"/>
        </w:sectPr>
      </w:pPr>
    </w:p>
    <w:bookmarkStart w:id="96" w:name="page97"/>
    <w:bookmarkEnd w:id="96"/>
    <w:p>
      <w:pPr>
        <w:ind w:left="9000"/>
        <w:spacing w:after="0"/>
        <w:rPr>
          <w:sz w:val="20"/>
          <w:szCs w:val="20"/>
          <w:color w:val="auto"/>
        </w:rPr>
      </w:pPr>
      <w:r>
        <w:rPr>
          <w:rFonts w:ascii="Arial" w:cs="Arial" w:eastAsia="Arial" w:hAnsi="Arial"/>
          <w:sz w:val="18"/>
          <w:szCs w:val="18"/>
          <w:b w:val="1"/>
          <w:bCs w:val="1"/>
          <w:color w:val="auto"/>
        </w:rPr>
        <w:t>EXHIBIT 10.3(f)</w:t>
      </w:r>
    </w:p>
    <w:p>
      <w:pPr>
        <w:spacing w:after="0" w:line="59" w:lineRule="exact"/>
        <w:rPr>
          <w:sz w:val="20"/>
          <w:szCs w:val="20"/>
          <w:color w:val="auto"/>
        </w:rPr>
      </w:pPr>
    </w:p>
    <w:p>
      <w:pPr>
        <w:ind w:left="2400" w:right="2320" w:firstLine="739"/>
        <w:spacing w:after="0" w:line="267" w:lineRule="auto"/>
        <w:rPr>
          <w:sz w:val="20"/>
          <w:szCs w:val="20"/>
          <w:color w:val="auto"/>
        </w:rPr>
      </w:pPr>
      <w:r>
        <w:rPr>
          <w:rFonts w:ascii="Arial" w:cs="Arial" w:eastAsia="Arial" w:hAnsi="Arial"/>
          <w:sz w:val="20"/>
          <w:szCs w:val="20"/>
          <w:b w:val="1"/>
          <w:bCs w:val="1"/>
          <w:color w:val="auto"/>
        </w:rPr>
        <w:t>SYNAPTICS INCORPORATED RESTRICTED STOCK UNIT AWARD AGREEMENT</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This Restricted Stock Unit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as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t>
      </w:r>
    </w:p>
    <w:tbl>
      <w:tblPr>
        <w:tblLayout w:type="fixed"/>
        <w:tblInd w:w="0" w:type="dxa"/>
        <w:tblCellMar>
          <w:top w:w="0" w:type="dxa"/>
          <w:left w:w="0" w:type="dxa"/>
          <w:bottom w:w="0" w:type="dxa"/>
          <w:right w:w="0" w:type="dxa"/>
        </w:tblCellMar>
      </w:tblPr>
      <w:tr>
        <w:trPr>
          <w:trHeight w:val="214"/>
        </w:trPr>
        <w:tc>
          <w:tcPr>
            <w:tcW w:w="2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20" w:type="dxa"/>
            <w:vAlign w:val="bottom"/>
          </w:tcPr>
          <w:p>
            <w:pPr>
              <w:ind w:left="3900"/>
              <w:spacing w:after="0" w:line="213" w:lineRule="exact"/>
              <w:rPr>
                <w:sz w:val="20"/>
                <w:szCs w:val="20"/>
                <w:color w:val="auto"/>
              </w:rPr>
            </w:pPr>
            <w:r>
              <w:rPr>
                <w:rFonts w:ascii="Arial" w:cs="Arial" w:eastAsia="Arial" w:hAnsi="Arial"/>
                <w:sz w:val="20"/>
                <w:szCs w:val="20"/>
                <w:color w:val="auto"/>
              </w:rPr>
              <w:t>], by and between Synaptics</w:t>
            </w:r>
          </w:p>
        </w:tc>
      </w:tr>
      <w:tr>
        <w:trPr>
          <w:trHeight w:val="229"/>
        </w:trPr>
        <w:tc>
          <w:tcPr>
            <w:tcW w:w="10480" w:type="dxa"/>
            <w:vAlign w:val="bottom"/>
            <w:gridSpan w:val="4"/>
          </w:tcPr>
          <w:p>
            <w:pPr>
              <w:spacing w:after="0"/>
              <w:rPr>
                <w:sz w:val="20"/>
                <w:szCs w:val="20"/>
                <w:color w:val="auto"/>
              </w:rPr>
            </w:pPr>
            <w:r>
              <w:rPr>
                <w:rFonts w:ascii="Arial" w:cs="Arial" w:eastAsia="Arial" w:hAnsi="Arial"/>
                <w:sz w:val="20"/>
                <w:szCs w:val="20"/>
                <w:color w:val="auto"/>
              </w:rPr>
              <w:t>Incorporated.,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w:t>
            </w:r>
          </w:p>
        </w:tc>
      </w:tr>
      <w:tr>
        <w:trPr>
          <w:trHeight w:val="250"/>
        </w:trPr>
        <w:tc>
          <w:tcPr>
            <w:tcW w:w="2360" w:type="dxa"/>
            <w:vAlign w:val="bottom"/>
          </w:tcPr>
          <w:p>
            <w:pPr>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520" w:type="dxa"/>
            <w:vAlign w:val="bottom"/>
          </w:tcPr>
          <w:p>
            <w:pPr>
              <w:ind w:left="3720"/>
              <w:spacing w:after="0"/>
              <w:rPr>
                <w:sz w:val="20"/>
                <w:szCs w:val="20"/>
                <w:color w:val="auto"/>
              </w:rPr>
            </w:pPr>
            <w:r>
              <w:rPr>
                <w:rFonts w:ascii="Arial" w:cs="Arial" w:eastAsia="Arial" w:hAnsi="Arial"/>
                <w:sz w:val="20"/>
                <w:szCs w:val="20"/>
                <w:color w:val="auto"/>
              </w:rPr>
              <w:t>]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w:t>
            </w:r>
          </w:p>
        </w:tc>
      </w:tr>
      <w:tr>
        <w:trPr>
          <w:trHeight w:val="428"/>
        </w:trPr>
        <w:tc>
          <w:tcPr>
            <w:tcW w:w="2360" w:type="dxa"/>
            <w:vAlign w:val="bottom"/>
          </w:tcPr>
          <w:p>
            <w:pPr>
              <w:ind w:left="800"/>
              <w:spacing w:after="0"/>
              <w:rPr>
                <w:sz w:val="20"/>
                <w:szCs w:val="20"/>
                <w:color w:val="auto"/>
              </w:rPr>
            </w:pPr>
            <w:r>
              <w:rPr>
                <w:rFonts w:ascii="Arial" w:cs="Arial" w:eastAsia="Arial" w:hAnsi="Arial"/>
                <w:sz w:val="22"/>
                <w:szCs w:val="22"/>
                <w:color w:val="auto"/>
              </w:rPr>
              <w:t>1.</w:t>
            </w:r>
          </w:p>
        </w:tc>
        <w:tc>
          <w:tcPr>
            <w:tcW w:w="8120" w:type="dxa"/>
            <w:vAlign w:val="bottom"/>
            <w:gridSpan w:val="3"/>
          </w:tcPr>
          <w:p>
            <w:pPr>
              <w:spacing w:after="0"/>
              <w:rPr>
                <w:sz w:val="20"/>
                <w:szCs w:val="20"/>
                <w:color w:val="auto"/>
              </w:rPr>
            </w:pPr>
            <w:r>
              <w:rPr>
                <w:rFonts w:ascii="Arial" w:cs="Arial" w:eastAsia="Arial" w:hAnsi="Arial"/>
                <w:sz w:val="20"/>
                <w:szCs w:val="20"/>
                <w:b w:val="1"/>
                <w:bCs w:val="1"/>
                <w:color w:val="auto"/>
                <w:w w:val="92"/>
              </w:rPr>
              <w:t>Certain Definitions</w:t>
            </w:r>
            <w:r>
              <w:rPr>
                <w:rFonts w:ascii="Arial" w:cs="Arial" w:eastAsia="Arial" w:hAnsi="Arial"/>
                <w:sz w:val="20"/>
                <w:szCs w:val="20"/>
                <w:color w:val="auto"/>
                <w:w w:val="92"/>
              </w:rPr>
              <w:t>. Capitalized terms used, but not otherwise defined, in this Agreement will have</w:t>
            </w:r>
          </w:p>
        </w:tc>
      </w:tr>
      <w:tr>
        <w:trPr>
          <w:trHeight w:val="20"/>
        </w:trPr>
        <w:tc>
          <w:tcPr>
            <w:tcW w:w="236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254"/>
        </w:trPr>
        <w:tc>
          <w:tcPr>
            <w:tcW w:w="10480" w:type="dxa"/>
            <w:vAlign w:val="bottom"/>
            <w:gridSpan w:val="4"/>
          </w:tcPr>
          <w:p>
            <w:pPr>
              <w:spacing w:after="0"/>
              <w:rPr>
                <w:sz w:val="20"/>
                <w:szCs w:val="20"/>
                <w:color w:val="auto"/>
              </w:rPr>
            </w:pPr>
            <w:r>
              <w:rPr>
                <w:rFonts w:ascii="Arial" w:cs="Arial" w:eastAsia="Arial" w:hAnsi="Arial"/>
                <w:sz w:val="20"/>
                <w:szCs w:val="20"/>
                <w:color w:val="auto"/>
                <w:w w:val="95"/>
              </w:rPr>
              <w:t>the meanings given to such terms in the Synaptics Incorporated 2019 Equity and Incentive Compensation Plan (the “</w:t>
            </w:r>
            <w:r>
              <w:rPr>
                <w:rFonts w:ascii="Arial" w:cs="Arial" w:eastAsia="Arial" w:hAnsi="Arial"/>
                <w:sz w:val="20"/>
                <w:szCs w:val="20"/>
                <w:b w:val="1"/>
                <w:bCs w:val="1"/>
                <w:i w:val="1"/>
                <w:iCs w:val="1"/>
                <w:color w:val="auto"/>
                <w:w w:val="95"/>
              </w:rPr>
              <w:t>Plan</w:t>
            </w:r>
            <w:r>
              <w:rPr>
                <w:rFonts w:ascii="Arial" w:cs="Arial" w:eastAsia="Arial" w:hAnsi="Arial"/>
                <w:sz w:val="20"/>
                <w:szCs w:val="20"/>
                <w:color w:val="auto"/>
                <w:w w:val="95"/>
              </w:rPr>
              <w:t>”).</w:t>
            </w:r>
          </w:p>
        </w:tc>
      </w:tr>
      <w:tr>
        <w:trPr>
          <w:trHeight w:val="414"/>
        </w:trPr>
        <w:tc>
          <w:tcPr>
            <w:tcW w:w="2360" w:type="dxa"/>
            <w:vAlign w:val="bottom"/>
          </w:tcPr>
          <w:p>
            <w:pPr>
              <w:ind w:left="820"/>
              <w:spacing w:after="0"/>
              <w:rPr>
                <w:sz w:val="20"/>
                <w:szCs w:val="20"/>
                <w:color w:val="auto"/>
              </w:rPr>
            </w:pPr>
            <w:r>
              <w:rPr>
                <w:rFonts w:ascii="Arial" w:cs="Arial" w:eastAsia="Arial" w:hAnsi="Arial"/>
                <w:sz w:val="22"/>
                <w:szCs w:val="22"/>
                <w:color w:val="auto"/>
              </w:rPr>
              <w:t>2.</w:t>
            </w:r>
          </w:p>
        </w:tc>
        <w:tc>
          <w:tcPr>
            <w:tcW w:w="8120" w:type="dxa"/>
            <w:vAlign w:val="bottom"/>
            <w:gridSpan w:val="3"/>
          </w:tcPr>
          <w:p>
            <w:pPr>
              <w:spacing w:after="0"/>
              <w:rPr>
                <w:sz w:val="20"/>
                <w:szCs w:val="20"/>
                <w:color w:val="auto"/>
              </w:rPr>
            </w:pPr>
            <w:r>
              <w:rPr>
                <w:rFonts w:ascii="Arial" w:cs="Arial" w:eastAsia="Arial" w:hAnsi="Arial"/>
                <w:sz w:val="20"/>
                <w:szCs w:val="20"/>
                <w:b w:val="1"/>
                <w:bCs w:val="1"/>
                <w:color w:val="auto"/>
                <w:w w:val="89"/>
              </w:rPr>
              <w:t>Grant of RSUs</w:t>
            </w:r>
            <w:r>
              <w:rPr>
                <w:rFonts w:ascii="Arial" w:cs="Arial" w:eastAsia="Arial" w:hAnsi="Arial"/>
                <w:sz w:val="20"/>
                <w:szCs w:val="20"/>
                <w:color w:val="auto"/>
                <w:w w:val="89"/>
              </w:rPr>
              <w:t>. Subject to and upon the terms, conditions and restrictions set forth in this Agreement,</w:t>
            </w:r>
          </w:p>
        </w:tc>
      </w:tr>
      <w:tr>
        <w:trPr>
          <w:trHeight w:val="20"/>
        </w:trPr>
        <w:tc>
          <w:tcPr>
            <w:tcW w:w="23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right="360"/>
        <w:spacing w:after="0" w:line="275" w:lineRule="auto"/>
        <w:rPr>
          <w:sz w:val="20"/>
          <w:szCs w:val="20"/>
          <w:color w:val="auto"/>
        </w:rPr>
      </w:pPr>
      <w:r>
        <w:rPr>
          <w:rFonts w:ascii="Arial" w:cs="Arial" w:eastAsia="Arial" w:hAnsi="Arial"/>
          <w:sz w:val="18"/>
          <w:szCs w:val="18"/>
          <w:color w:val="auto"/>
        </w:rPr>
        <w:t>including any additional terms and conditions for the Grantee’s country (for Grantees outside the United States only) set forth in any attached Appendix that would form part of this Agreement, and in the Plan, pursuant to authorization under resolutions of the</w:t>
      </w:r>
    </w:p>
    <w:p>
      <w:pPr>
        <w:spacing w:after="0" w:line="1" w:lineRule="exact"/>
        <w:rPr>
          <w:sz w:val="20"/>
          <w:szCs w:val="20"/>
          <w:color w:val="auto"/>
        </w:rPr>
      </w:pPr>
    </w:p>
    <w:p>
      <w:pPr>
        <w:ind w:right="360"/>
        <w:spacing w:after="0" w:line="241" w:lineRule="auto"/>
        <w:rPr>
          <w:sz w:val="20"/>
          <w:szCs w:val="20"/>
          <w:color w:val="auto"/>
        </w:rPr>
      </w:pPr>
      <w:r>
        <w:rPr>
          <w:rFonts w:ascii="Arial" w:cs="Arial" w:eastAsia="Arial" w:hAnsi="Arial"/>
          <w:sz w:val="20"/>
          <w:szCs w:val="20"/>
          <w:color w:val="auto"/>
        </w:rPr>
        <w:t>Committee, the Company has granted to the Grantee as of [ ] (the “</w:t>
      </w:r>
      <w:r>
        <w:rPr>
          <w:rFonts w:ascii="Arial" w:cs="Arial" w:eastAsia="Arial" w:hAnsi="Arial"/>
          <w:sz w:val="20"/>
          <w:szCs w:val="20"/>
          <w:b w:val="1"/>
          <w:bCs w:val="1"/>
          <w:i w:val="1"/>
          <w:iCs w:val="1"/>
          <w:color w:val="auto"/>
        </w:rPr>
        <w:t>Date of Grant</w:t>
      </w:r>
      <w:r>
        <w:rPr>
          <w:rFonts w:ascii="Arial" w:cs="Arial" w:eastAsia="Arial" w:hAnsi="Arial"/>
          <w:sz w:val="20"/>
          <w:szCs w:val="20"/>
          <w:color w:val="auto"/>
        </w:rPr>
        <w:t>”) [ ]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Each RSU shall represent the right of the Grantee to receive one share of Common Stock subject to and upon the terms and conditions of this Agreement.</w:t>
      </w:r>
    </w:p>
    <w:p>
      <w:pPr>
        <w:spacing w:after="0" w:line="191" w:lineRule="exact"/>
        <w:rPr>
          <w:sz w:val="20"/>
          <w:szCs w:val="20"/>
          <w:color w:val="auto"/>
        </w:rPr>
      </w:pPr>
    </w:p>
    <w:p>
      <w:pPr>
        <w:jc w:val="both"/>
        <w:ind w:right="80" w:firstLine="818"/>
        <w:spacing w:after="0" w:line="259" w:lineRule="auto"/>
        <w:rPr>
          <w:sz w:val="20"/>
          <w:szCs w:val="20"/>
          <w:color w:val="auto"/>
        </w:rPr>
      </w:pPr>
      <w:r>
        <w:rPr>
          <w:rFonts w:ascii="Arial" w:cs="Arial" w:eastAsia="Arial" w:hAnsi="Arial"/>
          <w:sz w:val="22"/>
          <w:szCs w:val="22"/>
          <w:color w:val="auto"/>
        </w:rPr>
        <w:t xml:space="preserve">3. </w:t>
      </w:r>
      <w:r>
        <w:rPr>
          <w:rFonts w:ascii="Arial" w:cs="Arial" w:eastAsia="Arial" w:hAnsi="Arial"/>
          <w:sz w:val="19"/>
          <w:szCs w:val="19"/>
          <w:b w:val="1"/>
          <w:bCs w:val="1"/>
          <w:u w:val="single" w:color="auto"/>
          <w:color w:val="auto"/>
        </w:rPr>
        <w:t>Restrictions on Transfer of RSUs</w:t>
      </w:r>
      <w:r>
        <w:rPr>
          <w:rFonts w:ascii="Arial" w:cs="Arial" w:eastAsia="Arial" w:hAnsi="Arial"/>
          <w:sz w:val="19"/>
          <w:szCs w:val="19"/>
          <w:color w:val="auto"/>
        </w:rPr>
        <w:t>. Subject to Section 15 of the Plan, neither the RSUs evidenced hereby</w:t>
      </w:r>
      <w:r>
        <w:rPr>
          <w:rFonts w:ascii="Arial" w:cs="Arial" w:eastAsia="Arial" w:hAnsi="Arial"/>
          <w:sz w:val="22"/>
          <w:szCs w:val="22"/>
          <w:color w:val="auto"/>
        </w:rPr>
        <w:t xml:space="preserve"> </w:t>
      </w:r>
      <w:r>
        <w:rPr>
          <w:rFonts w:ascii="Arial" w:cs="Arial" w:eastAsia="Arial" w:hAnsi="Arial"/>
          <w:sz w:val="19"/>
          <w:szCs w:val="19"/>
          <w:color w:val="auto"/>
        </w:rPr>
        <w:t xml:space="preserve">nor any interest therein or in the Common Stock underlying such RSUs shall be transferable prior to payment to the Grantee pursuant to </w:t>
      </w:r>
      <w:r>
        <w:rPr>
          <w:rFonts w:ascii="Arial" w:cs="Arial" w:eastAsia="Arial" w:hAnsi="Arial"/>
          <w:sz w:val="19"/>
          <w:szCs w:val="19"/>
          <w:b w:val="1"/>
          <w:bCs w:val="1"/>
          <w:u w:val="single" w:color="auto"/>
          <w:color w:val="auto"/>
        </w:rPr>
        <w:t>Section 5</w:t>
      </w:r>
      <w:r>
        <w:rPr>
          <w:rFonts w:ascii="Arial" w:cs="Arial" w:eastAsia="Arial" w:hAnsi="Arial"/>
          <w:sz w:val="19"/>
          <w:szCs w:val="19"/>
          <w:b w:val="1"/>
          <w:bCs w:val="1"/>
          <w:color w:val="auto"/>
        </w:rPr>
        <w:t xml:space="preserve"> </w:t>
      </w:r>
      <w:r>
        <w:rPr>
          <w:rFonts w:ascii="Arial" w:cs="Arial" w:eastAsia="Arial" w:hAnsi="Arial"/>
          <w:sz w:val="19"/>
          <w:szCs w:val="19"/>
          <w:color w:val="auto"/>
        </w:rPr>
        <w:t>hereof other than by will or pursuant to the laws of descent and distribution.</w:t>
      </w:r>
    </w:p>
    <w:p>
      <w:pPr>
        <w:spacing w:after="0" w:line="172" w:lineRule="exact"/>
        <w:rPr>
          <w:sz w:val="20"/>
          <w:szCs w:val="20"/>
          <w:color w:val="auto"/>
        </w:rPr>
      </w:pPr>
    </w:p>
    <w:p>
      <w:pPr>
        <w:ind w:left="1680" w:hanging="840"/>
        <w:spacing w:after="0"/>
        <w:tabs>
          <w:tab w:leader="none" w:pos="1680" w:val="left"/>
        </w:tabs>
        <w:numPr>
          <w:ilvl w:val="0"/>
          <w:numId w:val="40"/>
        </w:numPr>
        <w:rPr>
          <w:rFonts w:ascii="Arial" w:cs="Arial" w:eastAsia="Arial" w:hAnsi="Arial"/>
          <w:sz w:val="22"/>
          <w:szCs w:val="22"/>
          <w:color w:val="auto"/>
        </w:rPr>
      </w:pPr>
      <w:r>
        <w:rPr>
          <w:rFonts w:ascii="Arial" w:cs="Arial" w:eastAsia="Arial" w:hAnsi="Arial"/>
          <w:sz w:val="20"/>
          <w:szCs w:val="20"/>
          <w:b w:val="1"/>
          <w:bCs w:val="1"/>
          <w:u w:val="single" w:color="auto"/>
          <w:color w:val="auto"/>
        </w:rPr>
        <w:t>Vesting of RSUs</w:t>
      </w:r>
      <w:r>
        <w:rPr>
          <w:rFonts w:ascii="Arial" w:cs="Arial" w:eastAsia="Arial" w:hAnsi="Arial"/>
          <w:sz w:val="20"/>
          <w:szCs w:val="20"/>
          <w:color w:val="auto"/>
        </w:rPr>
        <w:t>.</w:t>
      </w:r>
    </w:p>
    <w:p>
      <w:pPr>
        <w:spacing w:after="0" w:line="206" w:lineRule="exact"/>
        <w:rPr>
          <w:sz w:val="20"/>
          <w:szCs w:val="20"/>
          <w:color w:val="auto"/>
        </w:rPr>
      </w:pPr>
    </w:p>
    <w:p>
      <w:pPr>
        <w:ind w:left="1680" w:hanging="840"/>
        <w:spacing w:after="0" w:line="270" w:lineRule="auto"/>
        <w:tabs>
          <w:tab w:leader="none" w:pos="1680" w:val="left"/>
        </w:tabs>
        <w:numPr>
          <w:ilvl w:val="0"/>
          <w:numId w:val="41"/>
        </w:numPr>
        <w:rPr>
          <w:rFonts w:ascii="Arial" w:cs="Arial" w:eastAsia="Arial" w:hAnsi="Arial"/>
          <w:sz w:val="19"/>
          <w:szCs w:val="19"/>
          <w:color w:val="auto"/>
        </w:rPr>
      </w:pPr>
      <w:r>
        <w:rPr>
          <w:rFonts w:ascii="Arial" w:cs="Arial" w:eastAsia="Arial" w:hAnsi="Arial"/>
          <w:sz w:val="18"/>
          <w:szCs w:val="18"/>
          <w:color w:val="auto"/>
        </w:rPr>
        <w:t xml:space="preserve">The RSUs covered by this Agreement shall become nonforfeitable and payable to the Grantee pursuant to </w:t>
      </w:r>
      <w:r>
        <w:rPr>
          <w:rFonts w:ascii="Arial" w:cs="Arial" w:eastAsia="Arial" w:hAnsi="Arial"/>
          <w:sz w:val="18"/>
          <w:szCs w:val="18"/>
          <w:b w:val="1"/>
          <w:bCs w:val="1"/>
          <w:u w:val="single" w:color="auto"/>
          <w:color w:val="auto"/>
        </w:rPr>
        <w:t>Section 5</w:t>
      </w:r>
      <w:r>
        <w:rPr>
          <w:rFonts w:ascii="Arial" w:cs="Arial" w:eastAsia="Arial" w:hAnsi="Arial"/>
          <w:sz w:val="18"/>
          <w:szCs w:val="18"/>
          <w:color w:val="auto"/>
        </w:rPr>
        <w:t xml:space="preserve"> hereof </w:t>
      </w:r>
      <w:r>
        <w:rPr>
          <w:rFonts w:ascii="Arial" w:cs="Arial" w:eastAsia="Arial" w:hAnsi="Arial"/>
          <w:sz w:val="18"/>
          <w:szCs w:val="18"/>
          <w:b w:val="1"/>
          <w:bCs w:val="1"/>
          <w:color w:val="auto"/>
        </w:rPr>
        <w:t>per the schedule below</w:t>
      </w:r>
      <w:r>
        <w:rPr>
          <w:rFonts w:ascii="Arial" w:cs="Arial" w:eastAsia="Arial" w:hAnsi="Arial"/>
          <w:sz w:val="18"/>
          <w:szCs w:val="18"/>
          <w:color w:val="auto"/>
        </w:rPr>
        <w:t xml:space="preserve"> if the Grantee remains in the continuous employment of the Company or a Subsidiary until each such date (the period from the Date of Grant until the date that such RSU (or portion thereof) becomes nonforfeitable,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Subject to the terms of the Plan and except as otherwise determined by the Committee in its sole discretion, any RSUs (or portions thereof) that do not so become nonforfeitable will be forfeited, including if the Grantee ceases to be continuously employed by the Company or a Subsidiary prior to the Vesting Date applicable to such portion of the RSUs. For purposes of this Agreement, “continuously employed” (or substantially similar terms) means the absence of any interruption or termination of the Grantee’s employment with the Company or a Subsidiary. Continuous employment shall not be considered interrupted or terminated in the case of transfers between locations of the Company and its Subsidiaries.</w:t>
      </w:r>
    </w:p>
    <w:p>
      <w:pPr>
        <w:spacing w:after="0" w:line="175" w:lineRule="exact"/>
        <w:rPr>
          <w:rFonts w:ascii="Arial" w:cs="Arial" w:eastAsia="Arial" w:hAnsi="Arial"/>
          <w:sz w:val="19"/>
          <w:szCs w:val="19"/>
          <w:color w:val="auto"/>
        </w:rPr>
      </w:pPr>
    </w:p>
    <w:p>
      <w:pPr>
        <w:jc w:val="both"/>
        <w:ind w:left="1700" w:right="20"/>
        <w:spacing w:after="0" w:line="250" w:lineRule="auto"/>
        <w:rPr>
          <w:rFonts w:ascii="Arial" w:cs="Arial" w:eastAsia="Arial" w:hAnsi="Arial"/>
          <w:sz w:val="19"/>
          <w:szCs w:val="19"/>
          <w:color w:val="auto"/>
        </w:rPr>
      </w:pPr>
      <w:r>
        <w:rPr>
          <w:rFonts w:ascii="Arial" w:cs="Arial" w:eastAsia="Arial" w:hAnsi="Arial"/>
          <w:sz w:val="20"/>
          <w:szCs w:val="20"/>
          <w:color w:val="auto"/>
        </w:rPr>
        <w:t>One-third of the number of shares under this grant will vest on the first anniversary date following the date of grant and one-twelfth of the number of shares under this grant will vest each quarter thereafter until fully vested on the third anniversary date of the grant as reflected in the following vesting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420370</wp:posOffset>
            </wp:positionV>
            <wp:extent cx="4055110" cy="5740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405511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340" w:type="dxa"/>
        <w:tblCellMar>
          <w:top w:w="0" w:type="dxa"/>
          <w:left w:w="0" w:type="dxa"/>
          <w:bottom w:w="0" w:type="dxa"/>
          <w:right w:w="0" w:type="dxa"/>
        </w:tblCellMar>
      </w:tblPr>
      <w:tr>
        <w:trPr>
          <w:trHeight w:val="270"/>
        </w:trPr>
        <w:tc>
          <w:tcPr>
            <w:tcW w:w="3300" w:type="dxa"/>
            <w:vAlign w:val="bottom"/>
            <w:tcBorders>
              <w:top w:val="single" w:sz="8" w:color="auto"/>
            </w:tcBorders>
          </w:tcPr>
          <w:p>
            <w:pPr>
              <w:ind w:left="840"/>
              <w:spacing w:after="0"/>
              <w:rPr>
                <w:sz w:val="20"/>
                <w:szCs w:val="20"/>
                <w:color w:val="auto"/>
              </w:rPr>
            </w:pPr>
            <w:r>
              <w:rPr>
                <w:rFonts w:ascii="Arial" w:cs="Arial" w:eastAsia="Arial" w:hAnsi="Arial"/>
                <w:sz w:val="20"/>
                <w:szCs w:val="20"/>
                <w:b w:val="1"/>
                <w:bCs w:val="1"/>
                <w:color w:val="auto"/>
              </w:rPr>
              <w:t>Vesting Date</w:t>
            </w:r>
          </w:p>
        </w:tc>
        <w:tc>
          <w:tcPr>
            <w:tcW w:w="3080" w:type="dxa"/>
            <w:vAlign w:val="bottom"/>
            <w:tcBorders>
              <w:top w:val="single" w:sz="8" w:color="auto"/>
            </w:tcBorders>
          </w:tcPr>
          <w:p>
            <w:pPr>
              <w:ind w:left="1400"/>
              <w:spacing w:after="0"/>
              <w:rPr>
                <w:sz w:val="20"/>
                <w:szCs w:val="20"/>
                <w:color w:val="auto"/>
              </w:rPr>
            </w:pPr>
            <w:r>
              <w:rPr>
                <w:rFonts w:ascii="Arial" w:cs="Arial" w:eastAsia="Arial" w:hAnsi="Arial"/>
                <w:sz w:val="20"/>
                <w:szCs w:val="20"/>
                <w:b w:val="1"/>
                <w:bCs w:val="1"/>
                <w:color w:val="auto"/>
              </w:rPr>
              <w:t>Shares</w:t>
            </w:r>
          </w:p>
        </w:tc>
      </w:tr>
    </w:tbl>
    <w:p>
      <w:pPr>
        <w:spacing w:after="0" w:line="172" w:lineRule="exact"/>
        <w:rPr>
          <w:sz w:val="20"/>
          <w:szCs w:val="20"/>
          <w:color w:val="auto"/>
        </w:rPr>
      </w:pPr>
    </w:p>
    <w:p>
      <w:pPr>
        <w:ind w:left="2640"/>
        <w:spacing w:after="0"/>
        <w:tabs>
          <w:tab w:leader="none" w:pos="41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207645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460" w:top="121" w:right="579" w:bottom="1440" w:gutter="0" w:footer="0" w:header="0"/>
        </w:sectPr>
      </w:pPr>
    </w:p>
    <w:bookmarkStart w:id="97" w:name="page98"/>
    <w:bookmarkEnd w:id="97"/>
    <w:p>
      <w:pPr>
        <w:jc w:val="both"/>
        <w:ind w:left="840" w:right="20" w:hanging="840"/>
        <w:spacing w:after="0" w:line="255" w:lineRule="auto"/>
        <w:tabs>
          <w:tab w:leader="none" w:pos="840" w:val="left"/>
        </w:tabs>
        <w:numPr>
          <w:ilvl w:val="0"/>
          <w:numId w:val="42"/>
        </w:numPr>
        <w:rPr>
          <w:rFonts w:ascii="Arial" w:cs="Arial" w:eastAsia="Arial" w:hAnsi="Arial"/>
          <w:sz w:val="21"/>
          <w:szCs w:val="21"/>
          <w:color w:val="auto"/>
        </w:rPr>
      </w:pPr>
      <w:r>
        <w:rPr>
          <w:rFonts w:ascii="Arial" w:cs="Arial" w:eastAsia="Arial" w:hAnsi="Arial"/>
          <w:sz w:val="19"/>
          <w:szCs w:val="19"/>
          <w:color w:val="auto"/>
        </w:rPr>
        <w:t xml:space="preserve">Notwithstanding </w:t>
      </w:r>
      <w:r>
        <w:rPr>
          <w:rFonts w:ascii="Arial" w:cs="Arial" w:eastAsia="Arial" w:hAnsi="Arial"/>
          <w:sz w:val="19"/>
          <w:szCs w:val="19"/>
          <w:b w:val="1"/>
          <w:bCs w:val="1"/>
          <w:u w:val="single" w:color="auto"/>
          <w:color w:val="auto"/>
        </w:rPr>
        <w:t>Section 4(a)</w:t>
      </w:r>
      <w:r>
        <w:rPr>
          <w:rFonts w:ascii="Arial" w:cs="Arial" w:eastAsia="Arial" w:hAnsi="Arial"/>
          <w:sz w:val="19"/>
          <w:szCs w:val="19"/>
          <w:color w:val="auto"/>
        </w:rPr>
        <w:t xml:space="preserve"> above, if at any time before a Vesting Date or forfeiture of the RSUs, and while the Grantee is continuously employed by the Company or a Subsidiary, a Change in Control occurs, then the Change in Control will constitute a Vesting Date for the RSUs and they will become nonforfeitable and payable to the Grantee in accordance with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hereof, except to the extent that a Replacement Award is provided to the Grantee to continue, replace or assume the RSUs covered by this Agreement.</w:t>
      </w:r>
    </w:p>
    <w:p>
      <w:pPr>
        <w:spacing w:after="0" w:line="184" w:lineRule="exact"/>
        <w:rPr>
          <w:rFonts w:ascii="Arial" w:cs="Arial" w:eastAsia="Arial" w:hAnsi="Arial"/>
          <w:sz w:val="21"/>
          <w:szCs w:val="21"/>
          <w:color w:val="auto"/>
        </w:rPr>
      </w:pPr>
    </w:p>
    <w:p>
      <w:pPr>
        <w:jc w:val="both"/>
        <w:ind w:left="840" w:hanging="840"/>
        <w:spacing w:after="0" w:line="274" w:lineRule="auto"/>
        <w:tabs>
          <w:tab w:leader="none" w:pos="840" w:val="left"/>
        </w:tabs>
        <w:numPr>
          <w:ilvl w:val="0"/>
          <w:numId w:val="42"/>
        </w:numPr>
        <w:rPr>
          <w:rFonts w:ascii="Arial" w:cs="Arial" w:eastAsia="Arial" w:hAnsi="Arial"/>
          <w:sz w:val="19"/>
          <w:szCs w:val="19"/>
          <w:color w:val="auto"/>
        </w:rPr>
      </w:pPr>
      <w:r>
        <w:rPr>
          <w:rFonts w:ascii="Arial" w:cs="Arial" w:eastAsia="Arial" w:hAnsi="Arial"/>
          <w:sz w:val="18"/>
          <w:szCs w:val="18"/>
          <w:color w:val="auto"/>
        </w:rPr>
        <w:t>If the Grantee is subject to the Company’s Change of Control Severance Policy for Principal Executive Officers (the “</w:t>
      </w:r>
      <w:r>
        <w:rPr>
          <w:rFonts w:ascii="Arial" w:cs="Arial" w:eastAsia="Arial" w:hAnsi="Arial"/>
          <w:sz w:val="18"/>
          <w:szCs w:val="18"/>
          <w:b w:val="1"/>
          <w:bCs w:val="1"/>
          <w:i w:val="1"/>
          <w:iCs w:val="1"/>
          <w:color w:val="auto"/>
        </w:rPr>
        <w:t>CiC Severance Policy</w:t>
      </w:r>
      <w:r>
        <w:rPr>
          <w:rFonts w:ascii="Arial" w:cs="Arial" w:eastAsia="Arial" w:hAnsi="Arial"/>
          <w:sz w:val="18"/>
          <w:szCs w:val="18"/>
          <w:color w:val="auto"/>
        </w:rPr>
        <w:t>”) and experiences a qualifying termination that provides for accelerated vesting under the CiC Severance Policy during the “Change of Control Period” (as defined in the CiC Severance Policy), then notwithstanding anything in this Agreement to the contrary, the Vesting Date for the RSUs shall be the later of (i) the date of such qualifying termination and (ii) the “Effective Date” (as defined in the CiC Severance Policy).</w:t>
      </w:r>
    </w:p>
    <w:p>
      <w:pPr>
        <w:spacing w:after="0" w:line="163" w:lineRule="exact"/>
        <w:rPr>
          <w:sz w:val="20"/>
          <w:szCs w:val="20"/>
          <w:color w:val="auto"/>
        </w:rPr>
      </w:pPr>
    </w:p>
    <w:p>
      <w:pPr>
        <w:ind w:left="840" w:hanging="840"/>
        <w:spacing w:after="0"/>
        <w:tabs>
          <w:tab w:leader="none" w:pos="840" w:val="left"/>
        </w:tabs>
        <w:numPr>
          <w:ilvl w:val="0"/>
          <w:numId w:val="43"/>
        </w:numPr>
        <w:rPr>
          <w:rFonts w:ascii="Arial" w:cs="Arial" w:eastAsia="Arial" w:hAnsi="Arial"/>
          <w:sz w:val="22"/>
          <w:szCs w:val="22"/>
          <w:color w:val="auto"/>
        </w:rPr>
      </w:pPr>
      <w:r>
        <w:rPr>
          <w:rFonts w:ascii="Arial" w:cs="Arial" w:eastAsia="Arial" w:hAnsi="Arial"/>
          <w:sz w:val="20"/>
          <w:szCs w:val="20"/>
          <w:b w:val="1"/>
          <w:bCs w:val="1"/>
          <w:u w:val="single" w:color="auto"/>
          <w:color w:val="auto"/>
        </w:rPr>
        <w:t>Form and Time of Payment of RSUs</w:t>
      </w:r>
      <w:r>
        <w:rPr>
          <w:rFonts w:ascii="Arial" w:cs="Arial" w:eastAsia="Arial" w:hAnsi="Arial"/>
          <w:sz w:val="20"/>
          <w:szCs w:val="20"/>
          <w:color w:val="auto"/>
        </w:rPr>
        <w:t>.</w:t>
      </w:r>
    </w:p>
    <w:p>
      <w:pPr>
        <w:spacing w:after="0" w:line="212" w:lineRule="exact"/>
        <w:rPr>
          <w:sz w:val="20"/>
          <w:szCs w:val="20"/>
          <w:color w:val="auto"/>
        </w:rPr>
      </w:pPr>
    </w:p>
    <w:p>
      <w:pPr>
        <w:ind w:left="840" w:right="500" w:hanging="840"/>
        <w:spacing w:after="0" w:line="256" w:lineRule="auto"/>
        <w:tabs>
          <w:tab w:leader="none" w:pos="840" w:val="left"/>
        </w:tabs>
        <w:numPr>
          <w:ilvl w:val="0"/>
          <w:numId w:val="44"/>
        </w:numPr>
        <w:rPr>
          <w:rFonts w:ascii="Arial" w:cs="Arial" w:eastAsia="Arial" w:hAnsi="Arial"/>
          <w:sz w:val="21"/>
          <w:szCs w:val="21"/>
          <w:color w:val="auto"/>
        </w:rPr>
      </w:pPr>
      <w:r>
        <w:rPr>
          <w:rFonts w:ascii="Arial" w:cs="Arial" w:eastAsia="Arial" w:hAnsi="Arial"/>
          <w:sz w:val="19"/>
          <w:szCs w:val="19"/>
          <w:color w:val="auto"/>
        </w:rPr>
        <w:t>Payment for the RSUs, after and to the extent they have become nonforfeitable, shall be made in the form of Common Stock. Payment shall be made as soon as administratively practicable following (but no later than thirty (30) days following) the Vesting Date applicable to such portion of the RSUs.</w:t>
      </w:r>
    </w:p>
    <w:p>
      <w:pPr>
        <w:spacing w:after="0" w:line="180" w:lineRule="exact"/>
        <w:rPr>
          <w:rFonts w:ascii="Arial" w:cs="Arial" w:eastAsia="Arial" w:hAnsi="Arial"/>
          <w:sz w:val="21"/>
          <w:szCs w:val="21"/>
          <w:color w:val="auto"/>
        </w:rPr>
      </w:pPr>
    </w:p>
    <w:p>
      <w:pPr>
        <w:ind w:left="840" w:right="600" w:hanging="840"/>
        <w:spacing w:after="0" w:line="238" w:lineRule="auto"/>
        <w:tabs>
          <w:tab w:leader="none" w:pos="840" w:val="left"/>
        </w:tabs>
        <w:numPr>
          <w:ilvl w:val="0"/>
          <w:numId w:val="44"/>
        </w:numPr>
        <w:rPr>
          <w:rFonts w:ascii="Arial" w:cs="Arial" w:eastAsia="Arial" w:hAnsi="Arial"/>
          <w:sz w:val="22"/>
          <w:szCs w:val="22"/>
          <w:color w:val="auto"/>
        </w:rPr>
      </w:pPr>
      <w:r>
        <w:rPr>
          <w:rFonts w:ascii="Arial" w:cs="Arial" w:eastAsia="Arial" w:hAnsi="Arial"/>
          <w:sz w:val="20"/>
          <w:szCs w:val="20"/>
          <w:color w:val="auto"/>
        </w:rPr>
        <w:t>The Company’s obligations to the Grantee with respect to the RSUs will be satisfied in full upon the issuance of Common Stock corresponding to such RSUs.</w:t>
      </w:r>
    </w:p>
    <w:p>
      <w:pPr>
        <w:spacing w:after="0" w:line="190" w:lineRule="exact"/>
        <w:rPr>
          <w:sz w:val="20"/>
          <w:szCs w:val="20"/>
          <w:color w:val="auto"/>
        </w:rPr>
      </w:pPr>
    </w:p>
    <w:p>
      <w:pPr>
        <w:ind w:left="840" w:hanging="840"/>
        <w:spacing w:after="0"/>
        <w:tabs>
          <w:tab w:leader="none" w:pos="840" w:val="left"/>
        </w:tabs>
        <w:numPr>
          <w:ilvl w:val="0"/>
          <w:numId w:val="45"/>
        </w:numPr>
        <w:rPr>
          <w:rFonts w:ascii="Arial" w:cs="Arial" w:eastAsia="Arial" w:hAnsi="Arial"/>
          <w:sz w:val="22"/>
          <w:szCs w:val="22"/>
          <w:color w:val="auto"/>
        </w:rPr>
      </w:pPr>
      <w:r>
        <w:rPr>
          <w:rFonts w:ascii="Arial" w:cs="Arial" w:eastAsia="Arial" w:hAnsi="Arial"/>
          <w:sz w:val="20"/>
          <w:szCs w:val="20"/>
          <w:b w:val="1"/>
          <w:bCs w:val="1"/>
          <w:u w:val="single" w:color="auto"/>
          <w:color w:val="auto"/>
        </w:rPr>
        <w:t>Dividend Equivalents; Voting and Other Rights</w:t>
      </w:r>
      <w:r>
        <w:rPr>
          <w:rFonts w:ascii="Arial" w:cs="Arial" w:eastAsia="Arial" w:hAnsi="Arial"/>
          <w:sz w:val="20"/>
          <w:szCs w:val="20"/>
          <w:color w:val="auto"/>
        </w:rPr>
        <w:t>.</w:t>
      </w:r>
    </w:p>
    <w:p>
      <w:pPr>
        <w:spacing w:after="0" w:line="212" w:lineRule="exact"/>
        <w:rPr>
          <w:sz w:val="20"/>
          <w:szCs w:val="20"/>
          <w:color w:val="auto"/>
        </w:rPr>
      </w:pPr>
    </w:p>
    <w:p>
      <w:pPr>
        <w:ind w:left="840" w:right="660" w:hanging="840"/>
        <w:spacing w:after="0" w:line="238" w:lineRule="auto"/>
        <w:tabs>
          <w:tab w:leader="none" w:pos="840" w:val="left"/>
        </w:tabs>
        <w:numPr>
          <w:ilvl w:val="0"/>
          <w:numId w:val="46"/>
        </w:numPr>
        <w:rPr>
          <w:rFonts w:ascii="Arial" w:cs="Arial" w:eastAsia="Arial" w:hAnsi="Arial"/>
          <w:sz w:val="22"/>
          <w:szCs w:val="22"/>
          <w:color w:val="auto"/>
        </w:rPr>
      </w:pPr>
      <w:r>
        <w:rPr>
          <w:rFonts w:ascii="Arial" w:cs="Arial" w:eastAsia="Arial" w:hAnsi="Arial"/>
          <w:sz w:val="20"/>
          <w:szCs w:val="20"/>
          <w:color w:val="auto"/>
        </w:rPr>
        <w:t xml:space="preserve">The Grantee shall have no rights of ownership in the Common Stock underlying the RSUs and no right to vote the Common Stock underlying the RSUs until the date on which the Common Stock underlying the RSUs is issued or transferred to the Grantee pursuant to </w:t>
      </w:r>
      <w:r>
        <w:rPr>
          <w:rFonts w:ascii="Arial" w:cs="Arial" w:eastAsia="Arial" w:hAnsi="Arial"/>
          <w:sz w:val="20"/>
          <w:szCs w:val="20"/>
          <w:b w:val="1"/>
          <w:bCs w:val="1"/>
          <w:u w:val="single" w:color="auto"/>
          <w:color w:val="auto"/>
        </w:rPr>
        <w:t>Section 5</w:t>
      </w:r>
      <w:r>
        <w:rPr>
          <w:rFonts w:ascii="Arial" w:cs="Arial" w:eastAsia="Arial" w:hAnsi="Arial"/>
          <w:sz w:val="20"/>
          <w:szCs w:val="20"/>
          <w:color w:val="auto"/>
        </w:rPr>
        <w:t xml:space="preserve"> above.</w:t>
      </w:r>
    </w:p>
    <w:p>
      <w:pPr>
        <w:spacing w:after="0" w:line="197" w:lineRule="exact"/>
        <w:rPr>
          <w:rFonts w:ascii="Arial" w:cs="Arial" w:eastAsia="Arial" w:hAnsi="Arial"/>
          <w:sz w:val="22"/>
          <w:szCs w:val="22"/>
          <w:color w:val="auto"/>
        </w:rPr>
      </w:pPr>
    </w:p>
    <w:p>
      <w:pPr>
        <w:ind w:left="840" w:right="180" w:hanging="840"/>
        <w:spacing w:after="0" w:line="253" w:lineRule="auto"/>
        <w:tabs>
          <w:tab w:leader="none" w:pos="840" w:val="left"/>
        </w:tabs>
        <w:numPr>
          <w:ilvl w:val="0"/>
          <w:numId w:val="46"/>
        </w:numPr>
        <w:rPr>
          <w:rFonts w:ascii="Arial" w:cs="Arial" w:eastAsia="Arial" w:hAnsi="Arial"/>
          <w:sz w:val="21"/>
          <w:szCs w:val="21"/>
          <w:color w:val="auto"/>
        </w:rPr>
      </w:pPr>
      <w:r>
        <w:rPr>
          <w:rFonts w:ascii="Arial" w:cs="Arial" w:eastAsia="Arial" w:hAnsi="Arial"/>
          <w:sz w:val="19"/>
          <w:szCs w:val="19"/>
          <w:color w:val="auto"/>
        </w:rPr>
        <w:t xml:space="preserve">From and after the Date of Grant and until the date on which the Common Stock underlying the RSUs is issued or transferred to the Grantee pursuant to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above, on the date that the Company pays a cash dividend (if any) to holders of Common Stock generally, the Grantee shall be entitled to a number of additional RSUs determined by dividing (i) the product of (x) the dollar amount of the cash dividend paid per share of Common Stock on such date and (y) the total number of RSUs (including dividend equivalents paid thereon) previously credited to the Grantee as of such date, by (ii) the Market Value per Share of the Common Stock on such date. Such dividend equivalents (if any) shall be subject to the same terms and conditions and shall be paid, in the aggregate rounded down to the nearest whole number, or forfeited in the same manner and at the same time as the RSUs to which the dividend equivalents were credited.</w:t>
      </w:r>
    </w:p>
    <w:p>
      <w:pPr>
        <w:spacing w:after="0" w:line="184" w:lineRule="exact"/>
        <w:rPr>
          <w:rFonts w:ascii="Arial" w:cs="Arial" w:eastAsia="Arial" w:hAnsi="Arial"/>
          <w:sz w:val="21"/>
          <w:szCs w:val="21"/>
          <w:color w:val="auto"/>
        </w:rPr>
      </w:pPr>
    </w:p>
    <w:p>
      <w:pPr>
        <w:jc w:val="both"/>
        <w:ind w:left="840" w:right="280" w:hanging="840"/>
        <w:spacing w:after="0" w:line="238" w:lineRule="auto"/>
        <w:tabs>
          <w:tab w:leader="none" w:pos="840" w:val="left"/>
        </w:tabs>
        <w:numPr>
          <w:ilvl w:val="0"/>
          <w:numId w:val="46"/>
        </w:numPr>
        <w:rPr>
          <w:rFonts w:ascii="Arial" w:cs="Arial" w:eastAsia="Arial" w:hAnsi="Arial"/>
          <w:sz w:val="22"/>
          <w:szCs w:val="22"/>
          <w:color w:val="auto"/>
        </w:rPr>
      </w:pPr>
      <w:r>
        <w:rPr>
          <w:rFonts w:ascii="Arial" w:cs="Arial" w:eastAsia="Arial" w:hAnsi="Arial"/>
          <w:sz w:val="20"/>
          <w:szCs w:val="20"/>
          <w:color w:val="auto"/>
        </w:rPr>
        <w:t>The obligations of the Company under this Agreement will be merely that of an unfunded and unsecured promise of the Company to deliver Common Stock in the future, and the rights of the Grantee will be no greater than that of an unsecured general creditor.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200660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60"/>
          </w:cols>
          <w:pgMar w:left="1300" w:top="697" w:right="439" w:bottom="1440" w:gutter="0" w:footer="0" w:header="0"/>
        </w:sectPr>
      </w:pPr>
    </w:p>
    <w:bookmarkStart w:id="98" w:name="page99"/>
    <w:bookmarkEnd w:id="98"/>
    <w:p>
      <w:pPr>
        <w:ind w:left="1700" w:right="1000"/>
        <w:spacing w:after="0" w:line="260" w:lineRule="auto"/>
        <w:rPr>
          <w:sz w:val="20"/>
          <w:szCs w:val="20"/>
          <w:color w:val="auto"/>
        </w:rPr>
      </w:pPr>
      <w:r>
        <w:rPr>
          <w:rFonts w:ascii="Arial" w:cs="Arial" w:eastAsia="Arial" w:hAnsi="Arial"/>
          <w:sz w:val="20"/>
          <w:szCs w:val="20"/>
          <w:color w:val="auto"/>
        </w:rPr>
        <w:t>assets of the Company will be held or set aside as security for the obligations of the Company under this Agreement.</w:t>
      </w:r>
    </w:p>
    <w:p>
      <w:pPr>
        <w:spacing w:after="0" w:line="172" w:lineRule="exact"/>
        <w:rPr>
          <w:sz w:val="20"/>
          <w:szCs w:val="20"/>
          <w:color w:val="auto"/>
        </w:rPr>
      </w:pPr>
    </w:p>
    <w:p>
      <w:pPr>
        <w:jc w:val="both"/>
        <w:ind w:right="480" w:firstLine="807"/>
        <w:spacing w:after="0" w:line="259" w:lineRule="auto"/>
        <w:rPr>
          <w:sz w:val="20"/>
          <w:szCs w:val="20"/>
          <w:color w:val="auto"/>
        </w:rPr>
      </w:pPr>
      <w:r>
        <w:rPr>
          <w:rFonts w:ascii="Arial" w:cs="Arial" w:eastAsia="Arial" w:hAnsi="Arial"/>
          <w:sz w:val="22"/>
          <w:szCs w:val="22"/>
          <w:color w:val="auto"/>
        </w:rPr>
        <w:t xml:space="preserve">7. </w:t>
      </w:r>
      <w:r>
        <w:rPr>
          <w:rFonts w:ascii="Arial" w:cs="Arial" w:eastAsia="Arial" w:hAnsi="Arial"/>
          <w:sz w:val="19"/>
          <w:szCs w:val="19"/>
          <w:b w:val="1"/>
          <w:bCs w:val="1"/>
          <w:u w:val="single" w:color="auto"/>
          <w:color w:val="auto"/>
        </w:rPr>
        <w:t>Adjustments</w:t>
      </w:r>
      <w:r>
        <w:rPr>
          <w:rFonts w:ascii="Arial" w:cs="Arial" w:eastAsia="Arial" w:hAnsi="Arial"/>
          <w:sz w:val="19"/>
          <w:szCs w:val="19"/>
          <w:color w:val="auto"/>
        </w:rPr>
        <w:t>. The RSUs and the number of shares of Common Stock issuable for each RSU, and the</w:t>
      </w:r>
      <w:r>
        <w:rPr>
          <w:rFonts w:ascii="Arial" w:cs="Arial" w:eastAsia="Arial" w:hAnsi="Arial"/>
          <w:sz w:val="22"/>
          <w:szCs w:val="22"/>
          <w:color w:val="auto"/>
        </w:rPr>
        <w:t xml:space="preserve"> </w:t>
      </w:r>
      <w:r>
        <w:rPr>
          <w:rFonts w:ascii="Arial" w:cs="Arial" w:eastAsia="Arial" w:hAnsi="Arial"/>
          <w:sz w:val="19"/>
          <w:szCs w:val="19"/>
          <w:color w:val="auto"/>
        </w:rPr>
        <w:t>other terms and conditions of the grant evidenced by this Agreement, are subject to mandatory adjustment, including as provided in Section 11 of the Plan.</w:t>
      </w:r>
    </w:p>
    <w:p>
      <w:pPr>
        <w:spacing w:after="0" w:line="173" w:lineRule="exact"/>
        <w:rPr>
          <w:sz w:val="20"/>
          <w:szCs w:val="20"/>
          <w:color w:val="auto"/>
        </w:rPr>
      </w:pPr>
    </w:p>
    <w:p>
      <w:pPr>
        <w:ind w:right="20" w:firstLine="816"/>
        <w:spacing w:after="0" w:line="253" w:lineRule="auto"/>
        <w:rPr>
          <w:sz w:val="20"/>
          <w:szCs w:val="20"/>
          <w:color w:val="auto"/>
        </w:rPr>
      </w:pPr>
      <w:r>
        <w:rPr>
          <w:rFonts w:ascii="Arial" w:cs="Arial" w:eastAsia="Arial" w:hAnsi="Arial"/>
          <w:sz w:val="22"/>
          <w:szCs w:val="22"/>
          <w:color w:val="auto"/>
        </w:rPr>
        <w:t xml:space="preserve">8. </w:t>
      </w:r>
      <w:r>
        <w:rPr>
          <w:rFonts w:ascii="Arial" w:cs="Arial" w:eastAsia="Arial" w:hAnsi="Arial"/>
          <w:sz w:val="19"/>
          <w:szCs w:val="19"/>
          <w:b w:val="1"/>
          <w:bCs w:val="1"/>
          <w:u w:val="single" w:color="auto"/>
          <w:color w:val="auto"/>
        </w:rPr>
        <w:t>Withholding Taxes</w:t>
      </w:r>
      <w:r>
        <w:rPr>
          <w:rFonts w:ascii="Arial" w:cs="Arial" w:eastAsia="Arial" w:hAnsi="Arial"/>
          <w:sz w:val="19"/>
          <w:szCs w:val="19"/>
          <w:color w:val="auto"/>
        </w:rPr>
        <w:t>. To the extent that the Company is required to withhold federal, state, local or foreign</w:t>
      </w:r>
      <w:r>
        <w:rPr>
          <w:rFonts w:ascii="Arial" w:cs="Arial" w:eastAsia="Arial" w:hAnsi="Arial"/>
          <w:sz w:val="22"/>
          <w:szCs w:val="22"/>
          <w:color w:val="auto"/>
        </w:rPr>
        <w:t xml:space="preserve"> </w:t>
      </w:r>
      <w:r>
        <w:rPr>
          <w:rFonts w:ascii="Arial" w:cs="Arial" w:eastAsia="Arial" w:hAnsi="Arial"/>
          <w:sz w:val="19"/>
          <w:szCs w:val="19"/>
          <w:color w:val="auto"/>
        </w:rPr>
        <w:t xml:space="preserve">taxes or other amounts in connection with the delivery to the Grantee of Common Stock or any other payment to the Grantee or any other payment or vesting event under this Agreement, the Grantee agrees that the Company will withhold from the shares of Common Stock required to be delivered to the Grantee under this Agreement, shares of Common Stock having a value equal to the amount required to be withheld under applicable income and employment tax laws. The shares so retained shall be credited against any such withholding requirement at the market value of such Common Stock on the date of such delivery. To the extent that the amounts available to the Company for such withholding are insufficient, it shall be a condition to the obligation of the Company to make any such delivery or payment that the Grantee make arrangements satisfactory to the Company for payment of the balance of such taxes or other amounts required to be withheld. In no event will the market value of the shares of Common Stock to be withheld and/or delivered pursuant to this </w:t>
      </w:r>
      <w:r>
        <w:rPr>
          <w:rFonts w:ascii="Arial" w:cs="Arial" w:eastAsia="Arial" w:hAnsi="Arial"/>
          <w:sz w:val="19"/>
          <w:szCs w:val="19"/>
          <w:b w:val="1"/>
          <w:bCs w:val="1"/>
          <w:u w:val="single" w:color="auto"/>
          <w:color w:val="auto"/>
        </w:rPr>
        <w:t>Section 8</w:t>
      </w:r>
      <w:r>
        <w:rPr>
          <w:rFonts w:ascii="Arial" w:cs="Arial" w:eastAsia="Arial" w:hAnsi="Arial"/>
          <w:sz w:val="19"/>
          <w:szCs w:val="19"/>
          <w:color w:val="auto"/>
        </w:rPr>
        <w:t xml:space="preserve"> to satisfy applicable withholding taxes exceed the minimum amount required to be withheld, unless (i) an additional amount can be withheld and not result in adverse accounting consequences, (ii) such additional withholding amount is authorized by the Committee, and (iii) the total amount withheld does not exceed the Grantee’s estimated tax obligations attributable to the applicable transaction.</w:t>
      </w:r>
    </w:p>
    <w:p>
      <w:pPr>
        <w:spacing w:after="0" w:line="182" w:lineRule="exact"/>
        <w:rPr>
          <w:sz w:val="20"/>
          <w:szCs w:val="20"/>
          <w:color w:val="auto"/>
        </w:rPr>
      </w:pPr>
    </w:p>
    <w:p>
      <w:pPr>
        <w:jc w:val="both"/>
        <w:ind w:right="40" w:firstLine="816"/>
        <w:spacing w:after="0" w:line="278" w:lineRule="auto"/>
        <w:rPr>
          <w:sz w:val="20"/>
          <w:szCs w:val="20"/>
          <w:color w:val="auto"/>
        </w:rPr>
      </w:pPr>
      <w:r>
        <w:rPr>
          <w:rFonts w:ascii="Arial" w:cs="Arial" w:eastAsia="Arial" w:hAnsi="Arial"/>
          <w:sz w:val="21"/>
          <w:szCs w:val="21"/>
          <w:color w:val="auto"/>
        </w:rPr>
        <w:t xml:space="preserve">9. </w:t>
      </w: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 The Company shall make reasonable efforts to comply with all applicable federal</w:t>
      </w:r>
      <w:r>
        <w:rPr>
          <w:rFonts w:ascii="Arial" w:cs="Arial" w:eastAsia="Arial" w:hAnsi="Arial"/>
          <w:sz w:val="21"/>
          <w:szCs w:val="21"/>
          <w:color w:val="auto"/>
        </w:rPr>
        <w:t xml:space="preserve"> </w:t>
      </w:r>
      <w:r>
        <w:rPr>
          <w:rFonts w:ascii="Arial" w:cs="Arial" w:eastAsia="Arial" w:hAnsi="Arial"/>
          <w:sz w:val="18"/>
          <w:szCs w:val="18"/>
          <w:color w:val="auto"/>
        </w:rPr>
        <w:t xml:space="preserve">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59" w:lineRule="exact"/>
        <w:rPr>
          <w:sz w:val="20"/>
          <w:szCs w:val="20"/>
          <w:color w:val="auto"/>
        </w:rPr>
      </w:pPr>
    </w:p>
    <w:p>
      <w:pPr>
        <w:ind w:left="820"/>
        <w:spacing w:after="0"/>
        <w:tabs>
          <w:tab w:leader="none" w:pos="24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19"/>
          <w:szCs w:val="19"/>
          <w:b w:val="1"/>
          <w:bCs w:val="1"/>
          <w:u w:val="single" w:color="auto"/>
          <w:color w:val="auto"/>
        </w:rPr>
        <w:t>Compliance With or Exemption From Section 409A of the Code</w:t>
      </w:r>
      <w:r>
        <w:rPr>
          <w:rFonts w:ascii="Arial" w:cs="Arial" w:eastAsia="Arial" w:hAnsi="Arial"/>
          <w:sz w:val="19"/>
          <w:szCs w:val="19"/>
          <w:color w:val="auto"/>
        </w:rPr>
        <w:t>. To the extent applicable, it is</w:t>
      </w:r>
    </w:p>
    <w:p>
      <w:pPr>
        <w:spacing w:after="0" w:line="22" w:lineRule="exact"/>
        <w:rPr>
          <w:sz w:val="20"/>
          <w:szCs w:val="20"/>
          <w:color w:val="auto"/>
        </w:rPr>
      </w:pPr>
    </w:p>
    <w:p>
      <w:pPr>
        <w:ind w:left="120"/>
        <w:spacing w:after="0" w:line="272" w:lineRule="auto"/>
        <w:rPr>
          <w:sz w:val="20"/>
          <w:szCs w:val="20"/>
          <w:color w:val="auto"/>
        </w:rPr>
      </w:pPr>
      <w:r>
        <w:rPr>
          <w:rFonts w:ascii="Arial" w:cs="Arial" w:eastAsia="Arial" w:hAnsi="Arial"/>
          <w:sz w:val="18"/>
          <w:szCs w:val="18"/>
          <w:color w:val="auto"/>
        </w:rPr>
        <w:t>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Notwithstanding the foregoing, the Company is not guaranteeing any particular tax outcome, and the Grantee shall remain solely liable for any and all tax consequences associated with the RSUs.</w:t>
      </w:r>
    </w:p>
    <w:p>
      <w:pPr>
        <w:spacing w:after="0" w:line="165" w:lineRule="exact"/>
        <w:rPr>
          <w:sz w:val="20"/>
          <w:szCs w:val="20"/>
          <w:color w:val="auto"/>
        </w:rPr>
      </w:pPr>
    </w:p>
    <w:p>
      <w:pPr>
        <w:ind w:left="120" w:right="40" w:firstLine="706"/>
        <w:spacing w:after="0" w:line="259" w:lineRule="auto"/>
        <w:rPr>
          <w:sz w:val="20"/>
          <w:szCs w:val="20"/>
          <w:color w:val="auto"/>
        </w:rPr>
      </w:pPr>
      <w:r>
        <w:rPr>
          <w:rFonts w:ascii="Arial" w:cs="Arial" w:eastAsia="Arial" w:hAnsi="Arial"/>
          <w:sz w:val="22"/>
          <w:szCs w:val="22"/>
          <w:color w:val="auto"/>
        </w:rPr>
        <w:t xml:space="preserve">11. </w:t>
      </w: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Any reference in this Agreement to Section 409A of the Code will also include any</w:t>
      </w:r>
      <w:r>
        <w:rPr>
          <w:rFonts w:ascii="Arial" w:cs="Arial" w:eastAsia="Arial" w:hAnsi="Arial"/>
          <w:sz w:val="22"/>
          <w:szCs w:val="22"/>
          <w:color w:val="auto"/>
        </w:rPr>
        <w:t xml:space="preserve"> </w:t>
      </w:r>
      <w:r>
        <w:rPr>
          <w:rFonts w:ascii="Arial" w:cs="Arial" w:eastAsia="Arial" w:hAnsi="Arial"/>
          <w:sz w:val="19"/>
          <w:szCs w:val="19"/>
          <w:color w:val="auto"/>
        </w:rPr>
        <w:t>proposed, temporary or final regulations, or any other guidance, promulgated with respect to such Section by the U.S. Department of the Treasury or the Internal Revenue Service.</w:t>
      </w:r>
    </w:p>
    <w:p>
      <w:pPr>
        <w:spacing w:after="0" w:line="173" w:lineRule="exact"/>
        <w:rPr>
          <w:sz w:val="20"/>
          <w:szCs w:val="20"/>
          <w:color w:val="auto"/>
        </w:rPr>
      </w:pPr>
    </w:p>
    <w:p>
      <w:pPr>
        <w:ind w:right="140" w:firstLine="821"/>
        <w:spacing w:after="0" w:line="271" w:lineRule="auto"/>
        <w:rPr>
          <w:sz w:val="20"/>
          <w:szCs w:val="20"/>
          <w:color w:val="auto"/>
        </w:rPr>
      </w:pPr>
      <w:r>
        <w:rPr>
          <w:rFonts w:ascii="Arial" w:cs="Arial" w:eastAsia="Arial" w:hAnsi="Arial"/>
          <w:sz w:val="21"/>
          <w:szCs w:val="21"/>
          <w:color w:val="auto"/>
        </w:rPr>
        <w:t xml:space="preserve">12. </w:t>
      </w:r>
      <w:r>
        <w:rPr>
          <w:rFonts w:ascii="Arial" w:cs="Arial" w:eastAsia="Arial" w:hAnsi="Arial"/>
          <w:sz w:val="18"/>
          <w:szCs w:val="18"/>
          <w:b w:val="1"/>
          <w:bCs w:val="1"/>
          <w:u w:val="single" w:color="auto"/>
          <w:color w:val="auto"/>
        </w:rPr>
        <w:t>No Right to Future Awards or Employment</w:t>
      </w:r>
      <w:r>
        <w:rPr>
          <w:rFonts w:ascii="Arial" w:cs="Arial" w:eastAsia="Arial" w:hAnsi="Arial"/>
          <w:sz w:val="18"/>
          <w:szCs w:val="18"/>
          <w:color w:val="auto"/>
        </w:rPr>
        <w:t>. The grant of the RSUs under this Agreement to the</w:t>
      </w:r>
      <w:r>
        <w:rPr>
          <w:rFonts w:ascii="Arial" w:cs="Arial" w:eastAsia="Arial" w:hAnsi="Arial"/>
          <w:sz w:val="21"/>
          <w:szCs w:val="21"/>
          <w:color w:val="auto"/>
        </w:rPr>
        <w:t xml:space="preserve"> </w:t>
      </w:r>
      <w:r>
        <w:rPr>
          <w:rFonts w:ascii="Arial" w:cs="Arial" w:eastAsia="Arial" w:hAnsi="Arial"/>
          <w:sz w:val="18"/>
          <w:szCs w:val="18"/>
          <w:color w:val="auto"/>
        </w:rPr>
        <w:t>Grantee is a voluntary, 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182880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460" w:top="406" w:right="539" w:bottom="1440" w:gutter="0" w:footer="0" w:header="0"/>
        </w:sectPr>
      </w:pPr>
    </w:p>
    <w:bookmarkStart w:id="99" w:name="page100"/>
    <w:bookmarkEnd w:id="99"/>
    <w:p>
      <w:pPr>
        <w:ind w:right="100" w:firstLine="811"/>
        <w:spacing w:after="0" w:line="255" w:lineRule="auto"/>
        <w:rPr>
          <w:sz w:val="20"/>
          <w:szCs w:val="20"/>
          <w:color w:val="auto"/>
        </w:rPr>
      </w:pPr>
      <w:r>
        <w:rPr>
          <w:rFonts w:ascii="Arial" w:cs="Arial" w:eastAsia="Arial" w:hAnsi="Arial"/>
          <w:sz w:val="22"/>
          <w:szCs w:val="22"/>
          <w:color w:val="auto"/>
        </w:rPr>
        <w:t xml:space="preserve">13. </w:t>
      </w:r>
      <w:r>
        <w:rPr>
          <w:rFonts w:ascii="Arial" w:cs="Arial" w:eastAsia="Arial" w:hAnsi="Arial"/>
          <w:sz w:val="19"/>
          <w:szCs w:val="19"/>
          <w:b w:val="1"/>
          <w:bCs w:val="1"/>
          <w:u w:val="single" w:color="auto"/>
          <w:color w:val="auto"/>
        </w:rPr>
        <w:t>Relation to Other Benefits</w:t>
      </w:r>
      <w:r>
        <w:rPr>
          <w:rFonts w:ascii="Arial" w:cs="Arial" w:eastAsia="Arial" w:hAnsi="Arial"/>
          <w:sz w:val="19"/>
          <w:szCs w:val="19"/>
          <w:color w:val="auto"/>
        </w:rPr>
        <w:t>. Any economic or other benefit to the Grantee under this Agreement or the</w:t>
      </w:r>
      <w:r>
        <w:rPr>
          <w:rFonts w:ascii="Arial" w:cs="Arial" w:eastAsia="Arial" w:hAnsi="Arial"/>
          <w:sz w:val="22"/>
          <w:szCs w:val="22"/>
          <w:color w:val="auto"/>
        </w:rPr>
        <w:t xml:space="preserve"> </w:t>
      </w:r>
      <w:r>
        <w:rPr>
          <w:rFonts w:ascii="Arial" w:cs="Arial" w:eastAsia="Arial" w:hAnsi="Arial"/>
          <w:sz w:val="19"/>
          <w:szCs w:val="19"/>
          <w:color w:val="auto"/>
        </w:rPr>
        <w:t>Plan 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80" w:lineRule="exact"/>
        <w:rPr>
          <w:sz w:val="20"/>
          <w:szCs w:val="20"/>
          <w:color w:val="auto"/>
        </w:rPr>
      </w:pPr>
    </w:p>
    <w:p>
      <w:pPr>
        <w:ind w:right="120" w:firstLine="809"/>
        <w:spacing w:after="0" w:line="255" w:lineRule="auto"/>
        <w:rPr>
          <w:sz w:val="20"/>
          <w:szCs w:val="20"/>
          <w:color w:val="auto"/>
        </w:rPr>
      </w:pPr>
      <w:r>
        <w:rPr>
          <w:rFonts w:ascii="Arial" w:cs="Arial" w:eastAsia="Arial" w:hAnsi="Arial"/>
          <w:sz w:val="22"/>
          <w:szCs w:val="22"/>
          <w:color w:val="auto"/>
        </w:rPr>
        <w:t xml:space="preserve">14. </w:t>
      </w: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 Any amendment to the Plan shall be deemed to be an amendment to this Agreement to the</w:t>
      </w:r>
      <w:r>
        <w:rPr>
          <w:rFonts w:ascii="Arial" w:cs="Arial" w:eastAsia="Arial" w:hAnsi="Arial"/>
          <w:sz w:val="22"/>
          <w:szCs w:val="22"/>
          <w:color w:val="auto"/>
        </w:rPr>
        <w:t xml:space="preserve"> </w:t>
      </w:r>
      <w:r>
        <w:rPr>
          <w:rFonts w:ascii="Arial" w:cs="Arial" w:eastAsia="Arial" w:hAnsi="Arial"/>
          <w:sz w:val="19"/>
          <w:szCs w:val="19"/>
          <w:color w:val="auto"/>
        </w:rPr>
        <w:t xml:space="preserve">extent that the amendment is applicable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no amendment shall adversely affect the rights of the Grantee under this Agreement without the Grantee’s written consent, and (b) the Grantee’s consent shall not be required to an amendment that is deemed necessary by the Company to ensure compliance with Section 409A of the Code or Section 10D of the Exchange Act.</w:t>
      </w:r>
    </w:p>
    <w:p>
      <w:pPr>
        <w:spacing w:after="0" w:line="180" w:lineRule="exact"/>
        <w:rPr>
          <w:sz w:val="20"/>
          <w:szCs w:val="20"/>
          <w:color w:val="auto"/>
        </w:rPr>
      </w:pPr>
    </w:p>
    <w:p>
      <w:pPr>
        <w:ind w:right="200" w:firstLine="807"/>
        <w:spacing w:after="0" w:line="259" w:lineRule="auto"/>
        <w:rPr>
          <w:sz w:val="20"/>
          <w:szCs w:val="20"/>
          <w:color w:val="auto"/>
        </w:rPr>
      </w:pPr>
      <w:r>
        <w:rPr>
          <w:rFonts w:ascii="Arial" w:cs="Arial" w:eastAsia="Arial" w:hAnsi="Arial"/>
          <w:sz w:val="22"/>
          <w:szCs w:val="22"/>
          <w:color w:val="auto"/>
        </w:rPr>
        <w:t xml:space="preserve">15. </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In the event that one or more of the provisions of this Agreement shall be invalidated for</w:t>
      </w:r>
      <w:r>
        <w:rPr>
          <w:rFonts w:ascii="Arial" w:cs="Arial" w:eastAsia="Arial" w:hAnsi="Arial"/>
          <w:sz w:val="22"/>
          <w:szCs w:val="22"/>
          <w:color w:val="auto"/>
        </w:rPr>
        <w:t xml:space="preserve"> </w:t>
      </w:r>
      <w:r>
        <w:rPr>
          <w:rFonts w:ascii="Arial" w:cs="Arial" w:eastAsia="Arial" w:hAnsi="Arial"/>
          <w:sz w:val="19"/>
          <w:szCs w:val="19"/>
          <w:color w:val="auto"/>
        </w:rPr>
        <w:t>any reason by a court of competent jurisdiction, any provision so invalidated shall be deemed to be separable from the other provisions hereof, and the remaining provisions hereof shall continue to be valid and fully enforceable.</w:t>
      </w:r>
    </w:p>
    <w:p>
      <w:pPr>
        <w:spacing w:after="0" w:line="173" w:lineRule="exact"/>
        <w:rPr>
          <w:sz w:val="20"/>
          <w:szCs w:val="20"/>
          <w:color w:val="auto"/>
        </w:rPr>
      </w:pPr>
    </w:p>
    <w:p>
      <w:pPr>
        <w:ind w:left="840"/>
        <w:spacing w:after="0"/>
        <w:tabs>
          <w:tab w:leader="none" w:pos="246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b w:val="1"/>
          <w:bCs w:val="1"/>
          <w:u w:val="single" w:color="auto"/>
          <w:color w:val="auto"/>
        </w:rPr>
        <w:t>Relation to Plan and Compensation Recovery Policy</w:t>
      </w:r>
      <w:r>
        <w:rPr>
          <w:rFonts w:ascii="Arial" w:cs="Arial" w:eastAsia="Arial" w:hAnsi="Arial"/>
          <w:sz w:val="18"/>
          <w:szCs w:val="18"/>
          <w:color w:val="auto"/>
        </w:rPr>
        <w:t>. This Agreement is subject to the terms and</w:t>
      </w:r>
    </w:p>
    <w:p>
      <w:pPr>
        <w:spacing w:after="0" w:line="4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(if any) as may be in effect from time to time specifically to implement Section 10D of the Exchange Act and any applicable rules or regulations promulgated thereunder (including applicable rules and regulations of any national securities exchange on which the Common Stock may be traded) (the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Recovery Policy</w:t>
      </w:r>
      <w:r>
        <w:rPr>
          <w:rFonts w:ascii="Arial" w:cs="Arial" w:eastAsia="Arial" w:hAnsi="Arial"/>
          <w:sz w:val="18"/>
          <w:szCs w:val="18"/>
          <w:color w:val="auto"/>
        </w:rPr>
        <w:t>”), and that relevant sections of this Agreement shall be deemed superseded by and subject to the applicable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the Compensation Recovery Policy from and after the effective date thereof.</w:t>
      </w:r>
    </w:p>
    <w:p>
      <w:pPr>
        <w:spacing w:after="0" w:line="165" w:lineRule="exact"/>
        <w:rPr>
          <w:sz w:val="20"/>
          <w:szCs w:val="20"/>
          <w:color w:val="auto"/>
        </w:rPr>
      </w:pPr>
    </w:p>
    <w:p>
      <w:pPr>
        <w:ind w:right="160" w:firstLine="807"/>
        <w:spacing w:after="0" w:line="255" w:lineRule="auto"/>
        <w:rPr>
          <w:sz w:val="20"/>
          <w:szCs w:val="20"/>
          <w:color w:val="auto"/>
        </w:rPr>
      </w:pPr>
      <w:r>
        <w:rPr>
          <w:rFonts w:ascii="Arial" w:cs="Arial" w:eastAsia="Arial" w:hAnsi="Arial"/>
          <w:sz w:val="22"/>
          <w:szCs w:val="22"/>
          <w:color w:val="auto"/>
        </w:rPr>
        <w:t xml:space="preserve">17. </w:t>
      </w:r>
      <w:r>
        <w:rPr>
          <w:rFonts w:ascii="Arial" w:cs="Arial" w:eastAsia="Arial" w:hAnsi="Arial"/>
          <w:sz w:val="19"/>
          <w:szCs w:val="19"/>
          <w:b w:val="1"/>
          <w:bCs w:val="1"/>
          <w:u w:val="single" w:color="auto"/>
          <w:color w:val="auto"/>
        </w:rPr>
        <w:t>Electronic Delivery</w:t>
      </w:r>
      <w:r>
        <w:rPr>
          <w:rFonts w:ascii="Arial" w:cs="Arial" w:eastAsia="Arial" w:hAnsi="Arial"/>
          <w:sz w:val="19"/>
          <w:szCs w:val="19"/>
          <w:color w:val="auto"/>
        </w:rPr>
        <w:t>. The Company may, in its sole discretion, deliver any documents related to the</w:t>
      </w:r>
      <w:r>
        <w:rPr>
          <w:rFonts w:ascii="Arial" w:cs="Arial" w:eastAsia="Arial" w:hAnsi="Arial"/>
          <w:sz w:val="22"/>
          <w:szCs w:val="22"/>
          <w:color w:val="auto"/>
        </w:rPr>
        <w:t xml:space="preserve"> </w:t>
      </w:r>
      <w:r>
        <w:rPr>
          <w:rFonts w:ascii="Arial" w:cs="Arial" w:eastAsia="Arial" w:hAnsi="Arial"/>
          <w:sz w:val="19"/>
          <w:szCs w:val="19"/>
          <w:color w:val="auto"/>
        </w:rPr>
        <w:t>RSUs and 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80" w:lineRule="exact"/>
        <w:rPr>
          <w:sz w:val="20"/>
          <w:szCs w:val="20"/>
          <w:color w:val="auto"/>
        </w:rPr>
      </w:pPr>
    </w:p>
    <w:p>
      <w:pPr>
        <w:jc w:val="both"/>
        <w:ind w:right="120" w:firstLine="807"/>
        <w:spacing w:after="0" w:line="259" w:lineRule="auto"/>
        <w:rPr>
          <w:sz w:val="20"/>
          <w:szCs w:val="20"/>
          <w:color w:val="auto"/>
        </w:rPr>
      </w:pPr>
      <w:r>
        <w:rPr>
          <w:rFonts w:ascii="Arial" w:cs="Arial" w:eastAsia="Arial" w:hAnsi="Arial"/>
          <w:sz w:val="22"/>
          <w:szCs w:val="22"/>
          <w:color w:val="auto"/>
        </w:rPr>
        <w:t xml:space="preserve">18. </w:t>
      </w: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This Agreement shall be governed by and construed with the internal substantive laws</w:t>
      </w:r>
      <w:r>
        <w:rPr>
          <w:rFonts w:ascii="Arial" w:cs="Arial" w:eastAsia="Arial" w:hAnsi="Arial"/>
          <w:sz w:val="22"/>
          <w:szCs w:val="22"/>
          <w:color w:val="auto"/>
        </w:rPr>
        <w:t xml:space="preserve"> </w:t>
      </w:r>
      <w:r>
        <w:rPr>
          <w:rFonts w:ascii="Arial" w:cs="Arial" w:eastAsia="Arial" w:hAnsi="Arial"/>
          <w:sz w:val="19"/>
          <w:szCs w:val="19"/>
          <w:color w:val="auto"/>
        </w:rPr>
        <w:t>of the State of Delaware, without giving effect to any principle of law that would result in the application of the law of any other jurisdiction.</w:t>
      </w:r>
    </w:p>
    <w:p>
      <w:pPr>
        <w:spacing w:after="0" w:line="173" w:lineRule="exact"/>
        <w:rPr>
          <w:sz w:val="20"/>
          <w:szCs w:val="20"/>
          <w:color w:val="auto"/>
        </w:rPr>
      </w:pPr>
    </w:p>
    <w:p>
      <w:pPr>
        <w:ind w:right="340" w:firstLine="802"/>
        <w:spacing w:after="0" w:line="259" w:lineRule="auto"/>
        <w:rPr>
          <w:sz w:val="20"/>
          <w:szCs w:val="20"/>
          <w:color w:val="auto"/>
        </w:rPr>
      </w:pPr>
      <w:r>
        <w:rPr>
          <w:rFonts w:ascii="Arial" w:cs="Arial" w:eastAsia="Arial" w:hAnsi="Arial"/>
          <w:sz w:val="22"/>
          <w:szCs w:val="22"/>
          <w:color w:val="auto"/>
        </w:rPr>
        <w:t xml:space="preserve">19. </w:t>
      </w: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Without limiting</w:t>
      </w:r>
      <w:r>
        <w:rPr>
          <w:rFonts w:ascii="Arial" w:cs="Arial" w:eastAsia="Arial" w:hAnsi="Arial"/>
          <w:sz w:val="22"/>
          <w:szCs w:val="22"/>
          <w:color w:val="auto"/>
        </w:rPr>
        <w:t xml:space="preserve"> </w:t>
      </w:r>
      <w:r>
        <w:rPr>
          <w:rFonts w:ascii="Arial" w:cs="Arial" w:eastAsia="Arial" w:hAnsi="Arial"/>
          <w:sz w:val="19"/>
          <w:szCs w:val="19"/>
          <w:b w:val="1"/>
          <w:bCs w:val="1"/>
          <w:u w:val="single" w:color="auto"/>
          <w:color w:val="auto"/>
        </w:rPr>
        <w:t>Section 3</w:t>
      </w:r>
      <w:r>
        <w:rPr>
          <w:rFonts w:ascii="Arial" w:cs="Arial" w:eastAsia="Arial" w:hAnsi="Arial"/>
          <w:sz w:val="22"/>
          <w:szCs w:val="22"/>
          <w:color w:val="auto"/>
        </w:rPr>
        <w:t xml:space="preserve"> </w:t>
      </w:r>
      <w:r>
        <w:rPr>
          <w:rFonts w:ascii="Arial" w:cs="Arial" w:eastAsia="Arial" w:hAnsi="Arial"/>
          <w:sz w:val="19"/>
          <w:szCs w:val="19"/>
          <w:color w:val="auto"/>
        </w:rPr>
        <w:t>hereof, the provisions of this Agreement shall</w:t>
      </w:r>
      <w:r>
        <w:rPr>
          <w:rFonts w:ascii="Arial" w:cs="Arial" w:eastAsia="Arial" w:hAnsi="Arial"/>
          <w:sz w:val="22"/>
          <w:szCs w:val="22"/>
          <w:color w:val="auto"/>
        </w:rPr>
        <w:t xml:space="preserve"> </w:t>
      </w:r>
      <w:r>
        <w:rPr>
          <w:rFonts w:ascii="Arial" w:cs="Arial" w:eastAsia="Arial" w:hAnsi="Arial"/>
          <w:sz w:val="19"/>
          <w:szCs w:val="19"/>
          <w:color w:val="auto"/>
        </w:rPr>
        <w:t>inure to the benefit of, and be binding upon, the successors, administrators, heirs, legal representatives and assigns of the Grantee, and the successors and assigns of the Company.</w:t>
      </w:r>
    </w:p>
    <w:p>
      <w:pPr>
        <w:spacing w:after="0" w:line="173" w:lineRule="exact"/>
        <w:rPr>
          <w:sz w:val="20"/>
          <w:szCs w:val="20"/>
          <w:color w:val="auto"/>
        </w:rPr>
      </w:pPr>
    </w:p>
    <w:p>
      <w:pPr>
        <w:ind w:left="820"/>
        <w:spacing w:after="0"/>
        <w:tabs>
          <w:tab w:leader="none" w:pos="2480" w:val="left"/>
        </w:tabs>
        <w:rPr>
          <w:sz w:val="20"/>
          <w:szCs w:val="20"/>
          <w:color w:val="auto"/>
        </w:rPr>
      </w:pPr>
      <w:r>
        <w:rPr>
          <w:rFonts w:ascii="Arial" w:cs="Arial" w:eastAsia="Arial" w:hAnsi="Arial"/>
          <w:sz w:val="19"/>
          <w:szCs w:val="19"/>
          <w:color w:val="auto"/>
        </w:rPr>
        <w:t>20.</w:t>
      </w:r>
      <w:r>
        <w:rPr>
          <w:sz w:val="20"/>
          <w:szCs w:val="20"/>
          <w:color w:val="auto"/>
        </w:rPr>
        <w:tab/>
      </w:r>
      <w:r>
        <w:rPr>
          <w:rFonts w:ascii="Arial" w:cs="Arial" w:eastAsia="Arial" w:hAnsi="Arial"/>
          <w:sz w:val="18"/>
          <w:szCs w:val="18"/>
          <w:b w:val="1"/>
          <w:bCs w:val="1"/>
          <w:u w:val="single" w:color="auto"/>
          <w:color w:val="auto"/>
        </w:rPr>
        <w:t>Acknowledgement</w:t>
      </w:r>
      <w:r>
        <w:rPr>
          <w:rFonts w:ascii="Arial" w:cs="Arial" w:eastAsia="Arial" w:hAnsi="Arial"/>
          <w:sz w:val="18"/>
          <w:szCs w:val="18"/>
          <w:color w:val="auto"/>
        </w:rPr>
        <w:t>. The Grantee acknowledges that the Grantee (a) has received a copy of the Plan, (b)</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has had an opportunity to review the terms of this Agreement and the Plan,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201930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460" w:top="402" w:right="5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color w:val="auto"/>
        </w:rPr>
        <w:t>understands the terms and conditions of this Agreement and the Plan and (d) agrees to such terms and conditions.</w:t>
      </w:r>
    </w:p>
    <w:p>
      <w:pPr>
        <w:spacing w:after="0" w:line="211" w:lineRule="exact"/>
        <w:rPr>
          <w:sz w:val="20"/>
          <w:szCs w:val="20"/>
          <w:color w:val="auto"/>
        </w:rPr>
      </w:pPr>
    </w:p>
    <w:p>
      <w:pPr>
        <w:ind w:firstLine="797"/>
        <w:spacing w:after="0" w:line="269" w:lineRule="auto"/>
        <w:rPr>
          <w:sz w:val="20"/>
          <w:szCs w:val="20"/>
          <w:color w:val="auto"/>
        </w:rPr>
      </w:pPr>
      <w:r>
        <w:rPr>
          <w:rFonts w:ascii="Arial" w:cs="Arial" w:eastAsia="Arial" w:hAnsi="Arial"/>
          <w:sz w:val="22"/>
          <w:szCs w:val="22"/>
          <w:color w:val="auto"/>
        </w:rPr>
        <w:t xml:space="preserve">21. </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one or more counterparts, each of which shall be</w:t>
      </w:r>
      <w:r>
        <w:rPr>
          <w:rFonts w:ascii="Arial" w:cs="Arial" w:eastAsia="Arial" w:hAnsi="Arial"/>
          <w:sz w:val="22"/>
          <w:szCs w:val="22"/>
          <w:color w:val="auto"/>
        </w:rPr>
        <w:t xml:space="preserve"> </w:t>
      </w:r>
      <w:r>
        <w:rPr>
          <w:rFonts w:ascii="Arial" w:cs="Arial" w:eastAsia="Arial" w:hAnsi="Arial"/>
          <w:sz w:val="19"/>
          <w:szCs w:val="19"/>
          <w:color w:val="auto"/>
        </w:rPr>
        <w:t>deemed to be an original but all of which together will constitute one and the same agreement.</w:t>
      </w:r>
    </w:p>
    <w:p>
      <w:pPr>
        <w:spacing w:after="0" w:line="159"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215900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40"/>
          </w:cols>
          <w:pgMar w:left="460" w:top="406" w:right="999" w:bottom="1440" w:gutter="0" w:footer="0" w:header="0"/>
        </w:sectPr>
      </w:pPr>
    </w:p>
    <w:bookmarkStart w:id="101" w:name="page102"/>
    <w:bookmarkEnd w:id="101"/>
    <w:p>
      <w:pPr>
        <w:ind w:left="4500"/>
        <w:spacing w:after="0"/>
        <w:rPr>
          <w:sz w:val="20"/>
          <w:szCs w:val="20"/>
          <w:color w:val="auto"/>
        </w:rPr>
      </w:pPr>
      <w:r>
        <w:rPr>
          <w:rFonts w:ascii="Arial" w:cs="Arial" w:eastAsia="Arial" w:hAnsi="Arial"/>
          <w:sz w:val="20"/>
          <w:szCs w:val="20"/>
          <w:b w:val="1"/>
          <w:bCs w:val="1"/>
          <w:color w:val="auto"/>
        </w:rPr>
        <w:t>SYNAPTICS INCORPORATED</w:t>
      </w:r>
    </w:p>
    <w:p>
      <w:pPr>
        <w:spacing w:after="0" w:line="23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w:t>
      </w:r>
    </w:p>
    <w:p>
      <w:pPr>
        <w:spacing w:after="0" w:line="20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Title:</w:t>
      </w:r>
    </w:p>
    <w:p>
      <w:pPr>
        <w:spacing w:after="0" w:line="194"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Grantee Acknowledgment and Acceptance</w:t>
      </w:r>
    </w:p>
    <w:p>
      <w:pPr>
        <w:spacing w:after="0" w:line="281"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By:</w:t>
      </w:r>
    </w:p>
    <w:p>
      <w:pPr>
        <w:spacing w:after="0" w:line="216"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Name:</w:t>
      </w:r>
    </w:p>
    <w:p>
      <w:pPr>
        <w:sectPr>
          <w:pgSz w:w="11900" w:h="16838" w:orient="portrait"/>
          <w:cols w:equalWidth="0" w:num="1">
            <w:col w:w="9019"/>
          </w:cols>
          <w:pgMar w:left="1440" w:top="400" w:right="1440" w:bottom="1440" w:gutter="0" w:footer="0" w:header="0"/>
        </w:sectPr>
      </w:pPr>
    </w:p>
    <w:bookmarkStart w:id="102" w:name="page103"/>
    <w:bookmarkEnd w:id="102"/>
    <w:p>
      <w:pPr>
        <w:ind w:left="9320"/>
        <w:spacing w:after="0"/>
        <w:rPr>
          <w:sz w:val="20"/>
          <w:szCs w:val="20"/>
          <w:color w:val="auto"/>
        </w:rPr>
      </w:pPr>
      <w:r>
        <w:rPr>
          <w:rFonts w:ascii="Arial" w:cs="Arial" w:eastAsia="Arial" w:hAnsi="Arial"/>
          <w:sz w:val="18"/>
          <w:szCs w:val="18"/>
          <w:b w:val="1"/>
          <w:bCs w:val="1"/>
          <w:color w:val="auto"/>
        </w:rPr>
        <w:t>EXHIBIT 10.3(g)</w:t>
      </w:r>
    </w:p>
    <w:p>
      <w:pPr>
        <w:spacing w:after="0" w:line="194" w:lineRule="exact"/>
        <w:rPr>
          <w:sz w:val="20"/>
          <w:szCs w:val="20"/>
          <w:color w:val="auto"/>
        </w:rPr>
      </w:pPr>
    </w:p>
    <w:p>
      <w:pPr>
        <w:ind w:left="2280" w:right="2120" w:firstLine="912"/>
        <w:spacing w:after="0" w:line="267" w:lineRule="auto"/>
        <w:rPr>
          <w:sz w:val="20"/>
          <w:szCs w:val="20"/>
          <w:color w:val="auto"/>
        </w:rPr>
      </w:pPr>
      <w:r>
        <w:rPr>
          <w:rFonts w:ascii="Arial" w:cs="Arial" w:eastAsia="Arial" w:hAnsi="Arial"/>
          <w:sz w:val="20"/>
          <w:szCs w:val="20"/>
          <w:b w:val="1"/>
          <w:bCs w:val="1"/>
          <w:color w:val="auto"/>
        </w:rPr>
        <w:t>SYNAPTICS INCORPORATED PERFORMANCE STOCK UNIT AWARD AGREEMENT</w:t>
      </w:r>
    </w:p>
    <w:p>
      <w:pPr>
        <w:spacing w:after="0" w:line="169" w:lineRule="exact"/>
        <w:rPr>
          <w:sz w:val="20"/>
          <w:szCs w:val="20"/>
          <w:color w:val="auto"/>
        </w:rPr>
      </w:pPr>
    </w:p>
    <w:p>
      <w:pPr>
        <w:ind w:left="60" w:right="80" w:firstLine="821"/>
        <w:spacing w:after="0" w:line="260" w:lineRule="auto"/>
        <w:rPr>
          <w:sz w:val="20"/>
          <w:szCs w:val="20"/>
          <w:color w:val="auto"/>
        </w:rPr>
      </w:pPr>
      <w:r>
        <w:rPr>
          <w:rFonts w:ascii="Arial" w:cs="Arial" w:eastAsia="Arial" w:hAnsi="Arial"/>
          <w:sz w:val="20"/>
          <w:szCs w:val="20"/>
          <w:color w:val="auto"/>
        </w:rPr>
        <w:t>This Performance Stock Unit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as of August 17, 2021, by and between Synaptics Incorporated.,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[name]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w:t>
      </w:r>
    </w:p>
    <w:p>
      <w:pPr>
        <w:spacing w:after="0" w:line="186" w:lineRule="exact"/>
        <w:rPr>
          <w:sz w:val="20"/>
          <w:szCs w:val="20"/>
          <w:color w:val="auto"/>
        </w:rPr>
      </w:pPr>
    </w:p>
    <w:p>
      <w:pPr>
        <w:jc w:val="both"/>
        <w:ind w:left="60" w:right="640" w:firstLine="790"/>
        <w:spacing w:after="0" w:line="259" w:lineRule="auto"/>
        <w:rPr>
          <w:sz w:val="20"/>
          <w:szCs w:val="20"/>
          <w:color w:val="auto"/>
        </w:rPr>
      </w:pPr>
      <w:r>
        <w:rPr>
          <w:rFonts w:ascii="Arial" w:cs="Arial" w:eastAsia="Arial" w:hAnsi="Arial"/>
          <w:sz w:val="22"/>
          <w:szCs w:val="22"/>
          <w:color w:val="auto"/>
        </w:rPr>
        <w:t xml:space="preserve">1. </w:t>
      </w: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Capitalized terms used, but not otherwise defined, in this Agreement will have</w:t>
      </w:r>
      <w:r>
        <w:rPr>
          <w:rFonts w:ascii="Arial" w:cs="Arial" w:eastAsia="Arial" w:hAnsi="Arial"/>
          <w:sz w:val="22"/>
          <w:szCs w:val="22"/>
          <w:color w:val="auto"/>
        </w:rPr>
        <w:t xml:space="preserve"> </w:t>
      </w:r>
      <w:r>
        <w:rPr>
          <w:rFonts w:ascii="Arial" w:cs="Arial" w:eastAsia="Arial" w:hAnsi="Arial"/>
          <w:sz w:val="19"/>
          <w:szCs w:val="19"/>
          <w:color w:val="auto"/>
        </w:rPr>
        <w:t>the meanings given to such terms in the Synaptics Incorporated 2019 Equity and Incentive Compensation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xml:space="preserve">”) and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w:t>
      </w:r>
    </w:p>
    <w:p>
      <w:pPr>
        <w:spacing w:after="0" w:line="173" w:lineRule="exact"/>
        <w:rPr>
          <w:sz w:val="20"/>
          <w:szCs w:val="20"/>
          <w:color w:val="auto"/>
        </w:rPr>
      </w:pPr>
    </w:p>
    <w:p>
      <w:pPr>
        <w:ind w:left="60" w:firstLine="821"/>
        <w:spacing w:after="0" w:line="254" w:lineRule="auto"/>
        <w:rPr>
          <w:sz w:val="20"/>
          <w:szCs w:val="20"/>
          <w:color w:val="auto"/>
        </w:rPr>
      </w:pPr>
      <w:r>
        <w:rPr>
          <w:rFonts w:ascii="Arial" w:cs="Arial" w:eastAsia="Arial" w:hAnsi="Arial"/>
          <w:sz w:val="22"/>
          <w:szCs w:val="22"/>
          <w:color w:val="auto"/>
        </w:rPr>
        <w:t xml:space="preserve">2. </w:t>
      </w:r>
      <w:r>
        <w:rPr>
          <w:rFonts w:ascii="Arial" w:cs="Arial" w:eastAsia="Arial" w:hAnsi="Arial"/>
          <w:sz w:val="19"/>
          <w:szCs w:val="19"/>
          <w:b w:val="1"/>
          <w:bCs w:val="1"/>
          <w:u w:val="single" w:color="auto"/>
          <w:color w:val="auto"/>
        </w:rPr>
        <w:t>Grant of PSUs</w:t>
      </w:r>
      <w:r>
        <w:rPr>
          <w:rFonts w:ascii="Arial" w:cs="Arial" w:eastAsia="Arial" w:hAnsi="Arial"/>
          <w:sz w:val="19"/>
          <w:szCs w:val="19"/>
          <w:color w:val="auto"/>
        </w:rPr>
        <w:t>. Subject to and upon the terms, conditions and restrictions set forth in this Agreement,</w:t>
      </w:r>
      <w:r>
        <w:rPr>
          <w:rFonts w:ascii="Arial" w:cs="Arial" w:eastAsia="Arial" w:hAnsi="Arial"/>
          <w:sz w:val="22"/>
          <w:szCs w:val="22"/>
          <w:color w:val="auto"/>
        </w:rPr>
        <w:t xml:space="preserve"> </w:t>
      </w:r>
      <w:r>
        <w:rPr>
          <w:rFonts w:ascii="Arial" w:cs="Arial" w:eastAsia="Arial" w:hAnsi="Arial"/>
          <w:sz w:val="19"/>
          <w:szCs w:val="19"/>
          <w:color w:val="auto"/>
        </w:rPr>
        <w:t>including any additional terms and conditions for the Grantee’s country (for Grantees outside the United States only) set forth in any attached Appendix that would form part of this Agreement, and in the Plan, pursuant to authorization under resolutions of the Committee, the Company has granted to the Grantee as of August 17, 2021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an award of performance-based Restricted Stock Units (“</w:t>
      </w:r>
      <w:r>
        <w:rPr>
          <w:rFonts w:ascii="Arial" w:cs="Arial" w:eastAsia="Arial" w:hAnsi="Arial"/>
          <w:sz w:val="19"/>
          <w:szCs w:val="19"/>
          <w:b w:val="1"/>
          <w:bCs w:val="1"/>
          <w:i w:val="1"/>
          <w:iCs w:val="1"/>
          <w:color w:val="auto"/>
        </w:rPr>
        <w:t>PSUs</w:t>
      </w:r>
      <w:r>
        <w:rPr>
          <w:rFonts w:ascii="Arial" w:cs="Arial" w:eastAsia="Arial" w:hAnsi="Arial"/>
          <w:sz w:val="19"/>
          <w:szCs w:val="19"/>
          <w:color w:val="auto"/>
        </w:rPr>
        <w:t>”). The “</w:t>
      </w:r>
      <w:r>
        <w:rPr>
          <w:rFonts w:ascii="Arial" w:cs="Arial" w:eastAsia="Arial" w:hAnsi="Arial"/>
          <w:sz w:val="19"/>
          <w:szCs w:val="19"/>
          <w:b w:val="1"/>
          <w:bCs w:val="1"/>
          <w:i w:val="1"/>
          <w:iCs w:val="1"/>
          <w:color w:val="auto"/>
        </w:rPr>
        <w:t>target number of PSUs</w:t>
      </w:r>
      <w:r>
        <w:rPr>
          <w:rFonts w:ascii="Arial" w:cs="Arial" w:eastAsia="Arial" w:hAnsi="Arial"/>
          <w:sz w:val="19"/>
          <w:szCs w:val="19"/>
          <w:color w:val="auto"/>
        </w:rPr>
        <w:t>” subject to the award evidenced hereby is [number] PSUs. Subject to the degree of attainment of the performance goals established for these PSUs as described in this Agreement (the “</w:t>
      </w:r>
      <w:r>
        <w:rPr>
          <w:rFonts w:ascii="Arial" w:cs="Arial" w:eastAsia="Arial" w:hAnsi="Arial"/>
          <w:sz w:val="19"/>
          <w:szCs w:val="19"/>
          <w:b w:val="1"/>
          <w:bCs w:val="1"/>
          <w:i w:val="1"/>
          <w:iCs w:val="1"/>
          <w:color w:val="auto"/>
        </w:rPr>
        <w:t>Performance Condition</w:t>
      </w:r>
      <w:r>
        <w:rPr>
          <w:rFonts w:ascii="Arial" w:cs="Arial" w:eastAsia="Arial" w:hAnsi="Arial"/>
          <w:sz w:val="19"/>
          <w:szCs w:val="19"/>
          <w:color w:val="auto"/>
        </w:rPr>
        <w:t>”), the Grantee may earn from 0% to 200% of the PSUs. Each PSU shall then represent the right of the Grantee to receive one share of Common Stock or its cash equivalent subject to and upon the terms and conditions of this Agreement.</w:t>
      </w:r>
    </w:p>
    <w:p>
      <w:pPr>
        <w:spacing w:after="0" w:line="179" w:lineRule="exact"/>
        <w:rPr>
          <w:sz w:val="20"/>
          <w:szCs w:val="20"/>
          <w:color w:val="auto"/>
        </w:rPr>
      </w:pPr>
    </w:p>
    <w:p>
      <w:pPr>
        <w:jc w:val="both"/>
        <w:ind w:left="60" w:right="160" w:firstLine="818"/>
        <w:spacing w:after="0" w:line="259" w:lineRule="auto"/>
        <w:rPr>
          <w:sz w:val="20"/>
          <w:szCs w:val="20"/>
          <w:color w:val="auto"/>
        </w:rPr>
      </w:pPr>
      <w:r>
        <w:rPr>
          <w:rFonts w:ascii="Arial" w:cs="Arial" w:eastAsia="Arial" w:hAnsi="Arial"/>
          <w:sz w:val="22"/>
          <w:szCs w:val="22"/>
          <w:color w:val="auto"/>
        </w:rPr>
        <w:t xml:space="preserve">3. </w:t>
      </w:r>
      <w:r>
        <w:rPr>
          <w:rFonts w:ascii="Arial" w:cs="Arial" w:eastAsia="Arial" w:hAnsi="Arial"/>
          <w:sz w:val="19"/>
          <w:szCs w:val="19"/>
          <w:b w:val="1"/>
          <w:bCs w:val="1"/>
          <w:u w:val="single" w:color="auto"/>
          <w:color w:val="auto"/>
        </w:rPr>
        <w:t>Restrictions on Transfer of PSUs</w:t>
      </w:r>
      <w:r>
        <w:rPr>
          <w:rFonts w:ascii="Arial" w:cs="Arial" w:eastAsia="Arial" w:hAnsi="Arial"/>
          <w:sz w:val="19"/>
          <w:szCs w:val="19"/>
          <w:color w:val="auto"/>
        </w:rPr>
        <w:t>. Subject to Section 15 of the Plan, neither the PSUs evidenced hereby</w:t>
      </w:r>
      <w:r>
        <w:rPr>
          <w:rFonts w:ascii="Arial" w:cs="Arial" w:eastAsia="Arial" w:hAnsi="Arial"/>
          <w:sz w:val="22"/>
          <w:szCs w:val="22"/>
          <w:color w:val="auto"/>
        </w:rPr>
        <w:t xml:space="preserve"> </w:t>
      </w:r>
      <w:r>
        <w:rPr>
          <w:rFonts w:ascii="Arial" w:cs="Arial" w:eastAsia="Arial" w:hAnsi="Arial"/>
          <w:sz w:val="19"/>
          <w:szCs w:val="19"/>
          <w:color w:val="auto"/>
        </w:rPr>
        <w:t xml:space="preserve">nor any interest therein or in the Common Stock underlying such PSUs shall be transferable prior to payment to the Grantee pursuant to </w:t>
      </w:r>
      <w:r>
        <w:rPr>
          <w:rFonts w:ascii="Arial" w:cs="Arial" w:eastAsia="Arial" w:hAnsi="Arial"/>
          <w:sz w:val="19"/>
          <w:szCs w:val="19"/>
          <w:b w:val="1"/>
          <w:bCs w:val="1"/>
          <w:u w:val="single" w:color="auto"/>
          <w:color w:val="auto"/>
        </w:rPr>
        <w:t>Section 5</w:t>
      </w:r>
      <w:r>
        <w:rPr>
          <w:rFonts w:ascii="Arial" w:cs="Arial" w:eastAsia="Arial" w:hAnsi="Arial"/>
          <w:sz w:val="19"/>
          <w:szCs w:val="19"/>
          <w:b w:val="1"/>
          <w:bCs w:val="1"/>
          <w:color w:val="auto"/>
        </w:rPr>
        <w:t xml:space="preserve"> </w:t>
      </w:r>
      <w:r>
        <w:rPr>
          <w:rFonts w:ascii="Arial" w:cs="Arial" w:eastAsia="Arial" w:hAnsi="Arial"/>
          <w:sz w:val="19"/>
          <w:szCs w:val="19"/>
          <w:color w:val="auto"/>
        </w:rPr>
        <w:t>hereof other than by will or pursuant to the laws of descent and distribution.</w:t>
      </w:r>
    </w:p>
    <w:p>
      <w:pPr>
        <w:spacing w:after="0" w:line="172" w:lineRule="exact"/>
        <w:rPr>
          <w:sz w:val="20"/>
          <w:szCs w:val="20"/>
          <w:color w:val="auto"/>
        </w:rPr>
      </w:pPr>
    </w:p>
    <w:p>
      <w:pPr>
        <w:ind w:left="1740" w:hanging="840"/>
        <w:spacing w:after="0"/>
        <w:tabs>
          <w:tab w:leader="none" w:pos="1740" w:val="left"/>
        </w:tabs>
        <w:numPr>
          <w:ilvl w:val="0"/>
          <w:numId w:val="47"/>
        </w:numPr>
        <w:rPr>
          <w:rFonts w:ascii="Arial" w:cs="Arial" w:eastAsia="Arial" w:hAnsi="Arial"/>
          <w:sz w:val="22"/>
          <w:szCs w:val="22"/>
          <w:color w:val="auto"/>
        </w:rPr>
      </w:pPr>
      <w:r>
        <w:rPr>
          <w:rFonts w:ascii="Arial" w:cs="Arial" w:eastAsia="Arial" w:hAnsi="Arial"/>
          <w:sz w:val="20"/>
          <w:szCs w:val="20"/>
          <w:b w:val="1"/>
          <w:bCs w:val="1"/>
          <w:u w:val="single" w:color="auto"/>
          <w:color w:val="auto"/>
        </w:rPr>
        <w:t>Vesting of PSUs</w:t>
      </w:r>
      <w:r>
        <w:rPr>
          <w:rFonts w:ascii="Arial" w:cs="Arial" w:eastAsia="Arial" w:hAnsi="Arial"/>
          <w:sz w:val="20"/>
          <w:szCs w:val="20"/>
          <w:color w:val="auto"/>
        </w:rPr>
        <w:t>.</w:t>
      </w:r>
    </w:p>
    <w:p>
      <w:pPr>
        <w:spacing w:after="0" w:line="212" w:lineRule="exact"/>
        <w:rPr>
          <w:sz w:val="20"/>
          <w:szCs w:val="20"/>
          <w:color w:val="auto"/>
        </w:rPr>
      </w:pPr>
    </w:p>
    <w:p>
      <w:pPr>
        <w:ind w:left="1740" w:right="1440" w:hanging="840"/>
        <w:spacing w:after="0" w:line="238" w:lineRule="auto"/>
        <w:tabs>
          <w:tab w:leader="none" w:pos="1740" w:val="left"/>
        </w:tabs>
        <w:numPr>
          <w:ilvl w:val="0"/>
          <w:numId w:val="48"/>
        </w:numPr>
        <w:rPr>
          <w:rFonts w:ascii="Arial" w:cs="Arial" w:eastAsia="Arial" w:hAnsi="Arial"/>
          <w:sz w:val="22"/>
          <w:szCs w:val="22"/>
          <w:color w:val="auto"/>
        </w:rPr>
      </w:pPr>
      <w:r>
        <w:rPr>
          <w:rFonts w:ascii="Arial" w:cs="Arial" w:eastAsia="Arial" w:hAnsi="Arial"/>
          <w:sz w:val="20"/>
          <w:szCs w:val="20"/>
          <w:color w:val="auto"/>
        </w:rPr>
        <w:t>Subject to the terms and conditions of this Agreement, the PSUs covered by this Agreement shall be subject to performance and service based vesting conditions.</w:t>
      </w:r>
    </w:p>
    <w:p>
      <w:pPr>
        <w:spacing w:after="0" w:line="196" w:lineRule="exact"/>
        <w:rPr>
          <w:rFonts w:ascii="Arial" w:cs="Arial" w:eastAsia="Arial" w:hAnsi="Arial"/>
          <w:sz w:val="22"/>
          <w:szCs w:val="22"/>
          <w:color w:val="auto"/>
        </w:rPr>
      </w:pPr>
    </w:p>
    <w:p>
      <w:pPr>
        <w:ind w:left="2580" w:hanging="830"/>
        <w:spacing w:after="0"/>
        <w:tabs>
          <w:tab w:leader="none" w:pos="2580" w:val="left"/>
        </w:tabs>
        <w:numPr>
          <w:ilvl w:val="1"/>
          <w:numId w:val="48"/>
        </w:numPr>
        <w:rPr>
          <w:rFonts w:ascii="Arial" w:cs="Arial" w:eastAsia="Arial" w:hAnsi="Arial"/>
          <w:sz w:val="21"/>
          <w:szCs w:val="21"/>
          <w:color w:val="auto"/>
        </w:rPr>
      </w:pPr>
      <w:r>
        <w:rPr>
          <w:rFonts w:ascii="Arial" w:cs="Arial" w:eastAsia="Arial" w:hAnsi="Arial"/>
          <w:sz w:val="19"/>
          <w:szCs w:val="19"/>
          <w:u w:val="single" w:color="auto"/>
          <w:color w:val="auto"/>
        </w:rPr>
        <w:t>Performance Condition</w:t>
      </w:r>
      <w:r>
        <w:rPr>
          <w:rFonts w:ascii="Arial" w:cs="Arial" w:eastAsia="Arial" w:hAnsi="Arial"/>
          <w:sz w:val="19"/>
          <w:szCs w:val="19"/>
          <w:color w:val="auto"/>
        </w:rPr>
        <w:t>. The number of PSUs that satisfy the Performance Condition (the “</w:t>
      </w:r>
      <w:r>
        <w:rPr>
          <w:rFonts w:ascii="Arial" w:cs="Arial" w:eastAsia="Arial" w:hAnsi="Arial"/>
          <w:sz w:val="19"/>
          <w:szCs w:val="19"/>
          <w:b w:val="1"/>
          <w:bCs w:val="1"/>
          <w:i w:val="1"/>
          <w:iCs w:val="1"/>
          <w:color w:val="auto"/>
        </w:rPr>
        <w:t>Earned</w:t>
      </w:r>
    </w:p>
    <w:p>
      <w:pPr>
        <w:spacing w:after="0" w:line="4" w:lineRule="exact"/>
        <w:rPr>
          <w:rFonts w:ascii="Arial" w:cs="Arial" w:eastAsia="Arial" w:hAnsi="Arial"/>
          <w:sz w:val="21"/>
          <w:szCs w:val="21"/>
          <w:color w:val="auto"/>
        </w:rPr>
      </w:pPr>
    </w:p>
    <w:p>
      <w:pPr>
        <w:jc w:val="both"/>
        <w:ind w:left="2580" w:right="60"/>
        <w:spacing w:after="0" w:line="241" w:lineRule="auto"/>
        <w:rPr>
          <w:rFonts w:ascii="Arial" w:cs="Arial" w:eastAsia="Arial" w:hAnsi="Arial"/>
          <w:sz w:val="21"/>
          <w:szCs w:val="21"/>
          <w:color w:val="auto"/>
        </w:rPr>
      </w:pPr>
      <w:r>
        <w:rPr>
          <w:rFonts w:ascii="Arial" w:cs="Arial" w:eastAsia="Arial" w:hAnsi="Arial"/>
          <w:sz w:val="20"/>
          <w:szCs w:val="20"/>
          <w:b w:val="1"/>
          <w:bCs w:val="1"/>
          <w:i w:val="1"/>
          <w:iCs w:val="1"/>
          <w:color w:val="auto"/>
        </w:rPr>
        <w:t>PSUs</w:t>
      </w:r>
      <w:r>
        <w:rPr>
          <w:rFonts w:ascii="Arial" w:cs="Arial" w:eastAsia="Arial" w:hAnsi="Arial"/>
          <w:sz w:val="20"/>
          <w:szCs w:val="20"/>
          <w:color w:val="auto"/>
        </w:rPr>
        <w:t>”) will be based on the Company’s achievement of certain performance goals during the Performance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Period, as described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may range between 0% and 200% of the target number of PSUs set forth in this Agreement and in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95" w:lineRule="exact"/>
        <w:rPr>
          <w:rFonts w:ascii="Arial" w:cs="Arial" w:eastAsia="Arial" w:hAnsi="Arial"/>
          <w:sz w:val="21"/>
          <w:szCs w:val="21"/>
          <w:color w:val="auto"/>
        </w:rPr>
      </w:pPr>
    </w:p>
    <w:p>
      <w:pPr>
        <w:ind w:left="2580" w:right="260" w:hanging="830"/>
        <w:spacing w:after="0" w:line="238" w:lineRule="auto"/>
        <w:tabs>
          <w:tab w:leader="none" w:pos="2580" w:val="left"/>
        </w:tabs>
        <w:numPr>
          <w:ilvl w:val="1"/>
          <w:numId w:val="48"/>
        </w:numPr>
        <w:rPr>
          <w:rFonts w:ascii="Arial" w:cs="Arial" w:eastAsia="Arial" w:hAnsi="Arial"/>
          <w:sz w:val="22"/>
          <w:szCs w:val="22"/>
          <w:color w:val="auto"/>
        </w:rPr>
      </w:pPr>
      <w:r>
        <w:rPr>
          <w:rFonts w:ascii="Arial" w:cs="Arial" w:eastAsia="Arial" w:hAnsi="Arial"/>
          <w:sz w:val="20"/>
          <w:szCs w:val="20"/>
          <w:u w:val="single" w:color="auto"/>
          <w:color w:val="auto"/>
        </w:rPr>
        <w:t>Service Condition</w:t>
      </w:r>
      <w:r>
        <w:rPr>
          <w:rFonts w:ascii="Arial" w:cs="Arial" w:eastAsia="Arial" w:hAnsi="Arial"/>
          <w:sz w:val="20"/>
          <w:szCs w:val="20"/>
          <w:color w:val="auto"/>
        </w:rPr>
        <w:t>. A portion of the Earned PSUs will vest on each of the following dates, subject to the Grantee’s continuous employment through each such date:</w:t>
      </w:r>
    </w:p>
    <w:p>
      <w:pPr>
        <w:spacing w:after="0" w:line="193" w:lineRule="exact"/>
        <w:rPr>
          <w:sz w:val="20"/>
          <w:szCs w:val="20"/>
          <w:color w:val="auto"/>
        </w:rPr>
      </w:pPr>
    </w:p>
    <w:tbl>
      <w:tblPr>
        <w:tblLayout w:type="fixed"/>
        <w:tblInd w:w="2610" w:type="dxa"/>
        <w:tblCellMar>
          <w:top w:w="0" w:type="dxa"/>
          <w:left w:w="0" w:type="dxa"/>
          <w:bottom w:w="0" w:type="dxa"/>
          <w:right w:w="0" w:type="dxa"/>
        </w:tblCellMar>
      </w:tblPr>
      <w:tr>
        <w:trPr>
          <w:trHeight w:val="248"/>
        </w:trPr>
        <w:tc>
          <w:tcPr>
            <w:tcW w:w="2860" w:type="dxa"/>
            <w:vAlign w:val="bottom"/>
            <w:tcBorders>
              <w:top w:val="single" w:sz="8" w:color="auto"/>
              <w:left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Vesting Date</w:t>
            </w:r>
          </w:p>
        </w:tc>
        <w:tc>
          <w:tcPr>
            <w:tcW w:w="3320" w:type="dxa"/>
            <w:vAlign w:val="bottom"/>
            <w:tcBorders>
              <w:top w:val="single" w:sz="8" w:color="auto"/>
              <w:right w:val="single" w:sz="8" w:color="auto"/>
            </w:tcBorders>
          </w:tcPr>
          <w:p>
            <w:pPr>
              <w:ind w:left="1740"/>
              <w:spacing w:after="0"/>
              <w:rPr>
                <w:sz w:val="20"/>
                <w:szCs w:val="20"/>
                <w:color w:val="auto"/>
              </w:rPr>
            </w:pPr>
            <w:r>
              <w:rPr>
                <w:rFonts w:ascii="Arial" w:cs="Arial" w:eastAsia="Arial" w:hAnsi="Arial"/>
                <w:sz w:val="18"/>
                <w:szCs w:val="18"/>
                <w:b w:val="1"/>
                <w:bCs w:val="1"/>
                <w:color w:val="auto"/>
              </w:rPr>
              <w:t>Amount</w:t>
            </w:r>
          </w:p>
        </w:tc>
      </w:tr>
      <w:tr>
        <w:trPr>
          <w:trHeight w:val="171"/>
        </w:trPr>
        <w:tc>
          <w:tcPr>
            <w:tcW w:w="2860" w:type="dxa"/>
            <w:vAlign w:val="bottom"/>
            <w:tcBorders>
              <w:left w:val="single" w:sz="8" w:color="auto"/>
              <w:bottom w:val="single" w:sz="8" w:color="auto"/>
              <w:right w:val="single" w:sz="8" w:color="auto"/>
            </w:tcBorders>
          </w:tcPr>
          <w:p>
            <w:pPr>
              <w:spacing w:after="0"/>
              <w:rPr>
                <w:sz w:val="14"/>
                <w:szCs w:val="14"/>
                <w:color w:val="auto"/>
              </w:rPr>
            </w:pPr>
          </w:p>
        </w:tc>
        <w:tc>
          <w:tcPr>
            <w:tcW w:w="3320" w:type="dxa"/>
            <w:vAlign w:val="bottom"/>
            <w:tcBorders>
              <w:bottom w:val="single" w:sz="8" w:color="auto"/>
              <w:right w:val="single" w:sz="8" w:color="auto"/>
            </w:tcBorders>
          </w:tcPr>
          <w:p>
            <w:pPr>
              <w:spacing w:after="0"/>
              <w:rPr>
                <w:sz w:val="14"/>
                <w:szCs w:val="14"/>
                <w:color w:val="auto"/>
              </w:rPr>
            </w:pPr>
          </w:p>
        </w:tc>
      </w:tr>
      <w:tr>
        <w:trPr>
          <w:trHeight w:val="195"/>
        </w:trPr>
        <w:tc>
          <w:tcPr>
            <w:tcW w:w="28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6"/>
              </w:rPr>
              <w:t>August 17 of the first year following</w:t>
            </w:r>
          </w:p>
        </w:tc>
        <w:tc>
          <w:tcPr>
            <w:tcW w:w="33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One-third of the Earned PSUs</w:t>
            </w:r>
          </w:p>
        </w:tc>
      </w:tr>
      <w:tr>
        <w:trPr>
          <w:trHeight w:val="230"/>
        </w:trPr>
        <w:tc>
          <w:tcPr>
            <w:tcW w:w="2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Date of Grant</w:t>
            </w:r>
          </w:p>
        </w:tc>
        <w:tc>
          <w:tcPr>
            <w:tcW w:w="3320" w:type="dxa"/>
            <w:vAlign w:val="bottom"/>
            <w:tcBorders>
              <w:right w:val="single" w:sz="8" w:color="auto"/>
            </w:tcBorders>
          </w:tcPr>
          <w:p>
            <w:pPr>
              <w:spacing w:after="0"/>
              <w:rPr>
                <w:sz w:val="20"/>
                <w:szCs w:val="20"/>
                <w:color w:val="auto"/>
              </w:rPr>
            </w:pPr>
          </w:p>
        </w:tc>
      </w:tr>
      <w:tr>
        <w:trPr>
          <w:trHeight w:val="189"/>
        </w:trPr>
        <w:tc>
          <w:tcPr>
            <w:tcW w:w="2860" w:type="dxa"/>
            <w:vAlign w:val="bottom"/>
            <w:tcBorders>
              <w:left w:val="single" w:sz="8" w:color="auto"/>
              <w:bottom w:val="single" w:sz="8" w:color="auto"/>
              <w:right w:val="single" w:sz="8" w:color="auto"/>
            </w:tcBorders>
          </w:tcPr>
          <w:p>
            <w:pPr>
              <w:spacing w:after="0"/>
              <w:rPr>
                <w:sz w:val="16"/>
                <w:szCs w:val="16"/>
                <w:color w:val="auto"/>
              </w:rPr>
            </w:pPr>
          </w:p>
        </w:tc>
        <w:tc>
          <w:tcPr>
            <w:tcW w:w="3320" w:type="dxa"/>
            <w:vAlign w:val="bottom"/>
            <w:tcBorders>
              <w:bottom w:val="single" w:sz="8" w:color="auto"/>
              <w:right w:val="single" w:sz="8" w:color="auto"/>
            </w:tcBorders>
          </w:tcPr>
          <w:p>
            <w:pPr>
              <w:spacing w:after="0"/>
              <w:rPr>
                <w:sz w:val="16"/>
                <w:szCs w:val="16"/>
                <w:color w:val="auto"/>
              </w:rPr>
            </w:pPr>
          </w:p>
        </w:tc>
      </w:tr>
      <w:tr>
        <w:trPr>
          <w:trHeight w:val="155"/>
        </w:trPr>
        <w:tc>
          <w:tcPr>
            <w:tcW w:w="286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w w:val="94"/>
              </w:rPr>
              <w:t>Each of November 17, February 17,</w:t>
            </w:r>
          </w:p>
        </w:tc>
        <w:tc>
          <w:tcPr>
            <w:tcW w:w="33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One-twelfth of the Earned PSUs</w:t>
            </w:r>
          </w:p>
        </w:tc>
      </w:tr>
      <w:tr>
        <w:trPr>
          <w:trHeight w:val="237"/>
        </w:trPr>
        <w:tc>
          <w:tcPr>
            <w:tcW w:w="28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May 17, and August 17 in the</w:t>
            </w:r>
          </w:p>
        </w:tc>
        <w:tc>
          <w:tcPr>
            <w:tcW w:w="33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293370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00" w:top="729" w:right="519" w:bottom="1440" w:gutter="0" w:footer="0" w:header="0"/>
        </w:sectPr>
      </w:pPr>
    </w:p>
    <w:bookmarkStart w:id="103" w:name="page104"/>
    <w:bookmarkEnd w:id="103"/>
    <w:tbl>
      <w:tblPr>
        <w:tblLayout w:type="fixed"/>
        <w:tblInd w:w="2610" w:type="dxa"/>
        <w:tblCellMar>
          <w:top w:w="0" w:type="dxa"/>
          <w:left w:w="0" w:type="dxa"/>
          <w:bottom w:w="0" w:type="dxa"/>
          <w:right w:w="0" w:type="dxa"/>
        </w:tblCellMar>
      </w:tblPr>
      <w:tr>
        <w:trPr>
          <w:trHeight w:val="215"/>
        </w:trPr>
        <w:tc>
          <w:tcPr>
            <w:tcW w:w="28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7"/>
              </w:rPr>
              <w:t>second annual period following the</w:t>
            </w:r>
          </w:p>
        </w:tc>
        <w:tc>
          <w:tcPr>
            <w:tcW w:w="3320" w:type="dxa"/>
            <w:vAlign w:val="bottom"/>
            <w:tcBorders>
              <w:top w:val="single" w:sz="8" w:color="auto"/>
              <w:right w:val="single" w:sz="8" w:color="auto"/>
            </w:tcBorders>
          </w:tcPr>
          <w:p>
            <w:pPr>
              <w:spacing w:after="0"/>
              <w:rPr>
                <w:sz w:val="18"/>
                <w:szCs w:val="18"/>
                <w:color w:val="auto"/>
              </w:rPr>
            </w:pPr>
          </w:p>
        </w:tc>
      </w:tr>
      <w:tr>
        <w:trPr>
          <w:trHeight w:val="230"/>
        </w:trPr>
        <w:tc>
          <w:tcPr>
            <w:tcW w:w="2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Date of Grant</w:t>
            </w:r>
          </w:p>
        </w:tc>
        <w:tc>
          <w:tcPr>
            <w:tcW w:w="3320" w:type="dxa"/>
            <w:vAlign w:val="bottom"/>
            <w:tcBorders>
              <w:right w:val="single" w:sz="8" w:color="auto"/>
            </w:tcBorders>
          </w:tcPr>
          <w:p>
            <w:pPr>
              <w:spacing w:after="0"/>
              <w:rPr>
                <w:sz w:val="20"/>
                <w:szCs w:val="20"/>
                <w:color w:val="auto"/>
              </w:rPr>
            </w:pPr>
          </w:p>
        </w:tc>
      </w:tr>
      <w:tr>
        <w:trPr>
          <w:trHeight w:val="189"/>
        </w:trPr>
        <w:tc>
          <w:tcPr>
            <w:tcW w:w="2860" w:type="dxa"/>
            <w:vAlign w:val="bottom"/>
            <w:tcBorders>
              <w:left w:val="single" w:sz="8" w:color="auto"/>
              <w:bottom w:val="single" w:sz="8" w:color="auto"/>
              <w:right w:val="single" w:sz="8" w:color="auto"/>
            </w:tcBorders>
          </w:tcPr>
          <w:p>
            <w:pPr>
              <w:spacing w:after="0"/>
              <w:rPr>
                <w:sz w:val="16"/>
                <w:szCs w:val="16"/>
                <w:color w:val="auto"/>
              </w:rPr>
            </w:pPr>
          </w:p>
        </w:tc>
        <w:tc>
          <w:tcPr>
            <w:tcW w:w="3320" w:type="dxa"/>
            <w:vAlign w:val="bottom"/>
            <w:tcBorders>
              <w:bottom w:val="single" w:sz="8" w:color="auto"/>
              <w:right w:val="single" w:sz="8" w:color="auto"/>
            </w:tcBorders>
          </w:tcPr>
          <w:p>
            <w:pPr>
              <w:spacing w:after="0"/>
              <w:rPr>
                <w:sz w:val="16"/>
                <w:szCs w:val="16"/>
                <w:color w:val="auto"/>
              </w:rPr>
            </w:pPr>
          </w:p>
        </w:tc>
      </w:tr>
      <w:tr>
        <w:trPr>
          <w:trHeight w:val="195"/>
        </w:trPr>
        <w:tc>
          <w:tcPr>
            <w:tcW w:w="28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4"/>
              </w:rPr>
              <w:t>Each of November 17, February 17,</w:t>
            </w:r>
          </w:p>
        </w:tc>
        <w:tc>
          <w:tcPr>
            <w:tcW w:w="33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One-twelfth of the Earned PSUs</w:t>
            </w:r>
          </w:p>
        </w:tc>
      </w:tr>
      <w:tr>
        <w:trPr>
          <w:trHeight w:val="216"/>
        </w:trPr>
        <w:tc>
          <w:tcPr>
            <w:tcW w:w="2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and May 17 in the third annual</w:t>
            </w:r>
          </w:p>
        </w:tc>
        <w:tc>
          <w:tcPr>
            <w:tcW w:w="3320" w:type="dxa"/>
            <w:vAlign w:val="bottom"/>
            <w:tcBorders>
              <w:right w:val="single" w:sz="8" w:color="auto"/>
            </w:tcBorders>
          </w:tcPr>
          <w:p>
            <w:pPr>
              <w:spacing w:after="0"/>
              <w:rPr>
                <w:sz w:val="18"/>
                <w:szCs w:val="18"/>
                <w:color w:val="auto"/>
              </w:rPr>
            </w:pPr>
          </w:p>
        </w:tc>
      </w:tr>
      <w:tr>
        <w:trPr>
          <w:trHeight w:val="230"/>
        </w:trPr>
        <w:tc>
          <w:tcPr>
            <w:tcW w:w="2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period following the Date of Grant</w:t>
            </w:r>
          </w:p>
        </w:tc>
        <w:tc>
          <w:tcPr>
            <w:tcW w:w="3320" w:type="dxa"/>
            <w:vAlign w:val="bottom"/>
            <w:tcBorders>
              <w:right w:val="single" w:sz="8" w:color="auto"/>
            </w:tcBorders>
          </w:tcPr>
          <w:p>
            <w:pPr>
              <w:spacing w:after="0"/>
              <w:rPr>
                <w:sz w:val="20"/>
                <w:szCs w:val="20"/>
                <w:color w:val="auto"/>
              </w:rPr>
            </w:pPr>
          </w:p>
        </w:tc>
      </w:tr>
      <w:tr>
        <w:trPr>
          <w:trHeight w:val="176"/>
        </w:trPr>
        <w:tc>
          <w:tcPr>
            <w:tcW w:w="2860" w:type="dxa"/>
            <w:vAlign w:val="bottom"/>
            <w:tcBorders>
              <w:left w:val="single" w:sz="8" w:color="auto"/>
              <w:bottom w:val="single" w:sz="8" w:color="auto"/>
              <w:right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spacing w:after="0"/>
              <w:rPr>
                <w:sz w:val="15"/>
                <w:szCs w:val="15"/>
                <w:color w:val="auto"/>
              </w:rPr>
            </w:pPr>
          </w:p>
        </w:tc>
      </w:tr>
      <w:tr>
        <w:trPr>
          <w:trHeight w:val="195"/>
        </w:trPr>
        <w:tc>
          <w:tcPr>
            <w:tcW w:w="28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1"/>
              </w:rPr>
              <w:t>August 17 on the third anniversary of</w:t>
            </w:r>
          </w:p>
        </w:tc>
        <w:tc>
          <w:tcPr>
            <w:tcW w:w="33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The remaining Earned PSUs</w:t>
            </w:r>
          </w:p>
        </w:tc>
      </w:tr>
      <w:tr>
        <w:trPr>
          <w:trHeight w:val="230"/>
        </w:trPr>
        <w:tc>
          <w:tcPr>
            <w:tcW w:w="2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Date of Grant</w:t>
            </w:r>
          </w:p>
        </w:tc>
        <w:tc>
          <w:tcPr>
            <w:tcW w:w="3320" w:type="dxa"/>
            <w:vAlign w:val="bottom"/>
            <w:tcBorders>
              <w:right w:val="single" w:sz="8" w:color="auto"/>
            </w:tcBorders>
          </w:tcPr>
          <w:p>
            <w:pPr>
              <w:spacing w:after="0"/>
              <w:rPr>
                <w:sz w:val="20"/>
                <w:szCs w:val="20"/>
                <w:color w:val="auto"/>
              </w:rPr>
            </w:pPr>
          </w:p>
        </w:tc>
      </w:tr>
      <w:tr>
        <w:trPr>
          <w:trHeight w:val="189"/>
        </w:trPr>
        <w:tc>
          <w:tcPr>
            <w:tcW w:w="2860" w:type="dxa"/>
            <w:vAlign w:val="bottom"/>
            <w:tcBorders>
              <w:left w:val="single" w:sz="8" w:color="auto"/>
              <w:bottom w:val="single" w:sz="8" w:color="auto"/>
              <w:right w:val="single" w:sz="8" w:color="auto"/>
            </w:tcBorders>
          </w:tcPr>
          <w:p>
            <w:pPr>
              <w:spacing w:after="0"/>
              <w:rPr>
                <w:sz w:val="16"/>
                <w:szCs w:val="16"/>
                <w:color w:val="auto"/>
              </w:rPr>
            </w:pPr>
          </w:p>
        </w:tc>
        <w:tc>
          <w:tcPr>
            <w:tcW w:w="332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9" w:lineRule="exact"/>
        <w:rPr>
          <w:sz w:val="20"/>
          <w:szCs w:val="20"/>
          <w:color w:val="auto"/>
        </w:rPr>
      </w:pPr>
    </w:p>
    <w:p>
      <w:pPr>
        <w:ind w:left="3440" w:right="20"/>
        <w:spacing w:after="0" w:line="273" w:lineRule="auto"/>
        <w:rPr>
          <w:sz w:val="20"/>
          <w:szCs w:val="20"/>
          <w:color w:val="auto"/>
        </w:rPr>
      </w:pPr>
      <w:r>
        <w:rPr>
          <w:rFonts w:ascii="Arial" w:cs="Arial" w:eastAsia="Arial" w:hAnsi="Arial"/>
          <w:sz w:val="18"/>
          <w:szCs w:val="18"/>
          <w:color w:val="auto"/>
        </w:rPr>
        <w:t xml:space="preserve">Any PSUs that do not vest in accordance with this </w:t>
      </w: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xml:space="preserve"> will be forfeited (i) upon the termination of the Grantee’s employment if the Grantee ceases to be continuously employed by the Company or a Subsidiary prior to the applicable service based vesting date provided above, and (ii) as of the last day of the Performance Period to the extent the Performance Condition has not been met (and such PSUs have not previously been forfeited). For purposes of this Agreement, “continuously employed” (or substantially similar terms) means the absence of any interruption or termination of the Grantee’s employment with the Company or a Subsidiary. Continuous employment shall not be considered interrupted or terminated in the case of transfers between locations of the Company and its Subsidiaries.</w:t>
      </w:r>
    </w:p>
    <w:p>
      <w:pPr>
        <w:spacing w:after="0" w:line="166" w:lineRule="exact"/>
        <w:rPr>
          <w:sz w:val="20"/>
          <w:szCs w:val="20"/>
          <w:color w:val="auto"/>
        </w:rPr>
      </w:pPr>
    </w:p>
    <w:p>
      <w:pPr>
        <w:ind w:left="1740" w:hanging="840"/>
        <w:spacing w:after="0"/>
        <w:tabs>
          <w:tab w:leader="none" w:pos="1740" w:val="left"/>
        </w:tabs>
        <w:numPr>
          <w:ilvl w:val="0"/>
          <w:numId w:val="49"/>
        </w:numPr>
        <w:rPr>
          <w:rFonts w:ascii="Arial" w:cs="Arial" w:eastAsia="Arial" w:hAnsi="Arial"/>
          <w:sz w:val="22"/>
          <w:szCs w:val="22"/>
          <w:color w:val="auto"/>
        </w:rPr>
      </w:pPr>
      <w:r>
        <w:rPr>
          <w:rFonts w:ascii="Arial" w:cs="Arial" w:eastAsia="Arial" w:hAnsi="Arial"/>
          <w:sz w:val="20"/>
          <w:szCs w:val="20"/>
          <w:u w:val="single" w:color="auto"/>
          <w:color w:val="auto"/>
        </w:rPr>
        <w:t>Treatment of PSUs Upon a Change in Control.</w:t>
      </w:r>
    </w:p>
    <w:p>
      <w:pPr>
        <w:spacing w:after="0" w:line="202" w:lineRule="exact"/>
        <w:rPr>
          <w:rFonts w:ascii="Arial" w:cs="Arial" w:eastAsia="Arial" w:hAnsi="Arial"/>
          <w:sz w:val="22"/>
          <w:szCs w:val="22"/>
          <w:color w:val="auto"/>
        </w:rPr>
      </w:pPr>
    </w:p>
    <w:p>
      <w:pPr>
        <w:ind w:left="2580" w:right="200" w:hanging="830"/>
        <w:spacing w:after="0" w:line="276" w:lineRule="auto"/>
        <w:tabs>
          <w:tab w:leader="none" w:pos="2580" w:val="left"/>
        </w:tabs>
        <w:numPr>
          <w:ilvl w:val="1"/>
          <w:numId w:val="49"/>
        </w:numPr>
        <w:rPr>
          <w:rFonts w:ascii="Arial" w:cs="Arial" w:eastAsia="Arial" w:hAnsi="Arial"/>
          <w:sz w:val="19"/>
          <w:szCs w:val="19"/>
          <w:color w:val="auto"/>
        </w:rPr>
      </w:pPr>
      <w:r>
        <w:rPr>
          <w:rFonts w:ascii="Arial" w:cs="Arial" w:eastAsia="Arial" w:hAnsi="Arial"/>
          <w:sz w:val="18"/>
          <w:szCs w:val="18"/>
          <w:color w:val="auto"/>
        </w:rPr>
        <w:t xml:space="preserve">Notwithstanding </w:t>
      </w:r>
      <w:r>
        <w:rPr>
          <w:rFonts w:ascii="Arial" w:cs="Arial" w:eastAsia="Arial" w:hAnsi="Arial"/>
          <w:sz w:val="18"/>
          <w:szCs w:val="18"/>
          <w:b w:val="1"/>
          <w:bCs w:val="1"/>
          <w:u w:val="single" w:color="auto"/>
          <w:color w:val="auto"/>
        </w:rPr>
        <w:t>Section 4(a)</w:t>
      </w:r>
      <w:r>
        <w:rPr>
          <w:rFonts w:ascii="Arial" w:cs="Arial" w:eastAsia="Arial" w:hAnsi="Arial"/>
          <w:sz w:val="18"/>
          <w:szCs w:val="18"/>
          <w:color w:val="auto"/>
        </w:rPr>
        <w:t xml:space="preserve"> above, if at any time before the end of the Performance Period and while the Grantee is continuously employed by the Company or a Subsidiary, a Change in Control occurs, then the target number of PSUs shall be deemed to have satisfied the Performance Condition and shall be considered “Earned PSUs” for purposes of this Agreement, and the Performance Period shall be deemed completed as of immediately prior to the closing of the Change in Control.</w:t>
      </w:r>
    </w:p>
    <w:p>
      <w:pPr>
        <w:spacing w:after="0" w:line="166" w:lineRule="exact"/>
        <w:rPr>
          <w:rFonts w:ascii="Arial" w:cs="Arial" w:eastAsia="Arial" w:hAnsi="Arial"/>
          <w:sz w:val="19"/>
          <w:szCs w:val="19"/>
          <w:color w:val="auto"/>
        </w:rPr>
      </w:pPr>
    </w:p>
    <w:p>
      <w:pPr>
        <w:ind w:left="2580" w:right="20" w:hanging="830"/>
        <w:spacing w:after="0" w:line="274" w:lineRule="auto"/>
        <w:tabs>
          <w:tab w:leader="none" w:pos="2580" w:val="left"/>
        </w:tabs>
        <w:numPr>
          <w:ilvl w:val="1"/>
          <w:numId w:val="49"/>
        </w:numPr>
        <w:rPr>
          <w:rFonts w:ascii="Arial" w:cs="Arial" w:eastAsia="Arial" w:hAnsi="Arial"/>
          <w:sz w:val="19"/>
          <w:szCs w:val="19"/>
          <w:color w:val="auto"/>
        </w:rPr>
      </w:pPr>
      <w:r>
        <w:rPr>
          <w:rFonts w:ascii="Arial" w:cs="Arial" w:eastAsia="Arial" w:hAnsi="Arial"/>
          <w:sz w:val="18"/>
          <w:szCs w:val="18"/>
          <w:color w:val="auto"/>
        </w:rPr>
        <w:t xml:space="preserve">If, in connection with a Change in Control, a Replacement Award is provided to the Grantee to continue, replace or assume any Earned PSUs, such Replacement Award shall remain outstanding and will vest thereafter pursuant to the service based vesting schedule in </w:t>
      </w:r>
      <w:r>
        <w:rPr>
          <w:rFonts w:ascii="Arial" w:cs="Arial" w:eastAsia="Arial" w:hAnsi="Arial"/>
          <w:sz w:val="18"/>
          <w:szCs w:val="18"/>
          <w:b w:val="1"/>
          <w:bCs w:val="1"/>
          <w:u w:val="single" w:color="auto"/>
          <w:color w:val="auto"/>
        </w:rPr>
        <w:t>Section 4(a)</w:t>
      </w:r>
      <w:r>
        <w:rPr>
          <w:rFonts w:ascii="Arial" w:cs="Arial" w:eastAsia="Arial" w:hAnsi="Arial"/>
          <w:sz w:val="18"/>
          <w:szCs w:val="18"/>
          <w:color w:val="auto"/>
        </w:rPr>
        <w:t>. If, however, a Replacement Award is not provided in respect of such Earned PSUs, then the Earned PSUs shall become fully vested and nonforfeitable immediately prior to and contingent upon the consummation of the Change in Control.</w:t>
      </w:r>
    </w:p>
    <w:p>
      <w:pPr>
        <w:spacing w:after="0" w:line="168" w:lineRule="exact"/>
        <w:rPr>
          <w:rFonts w:ascii="Arial" w:cs="Arial" w:eastAsia="Arial" w:hAnsi="Arial"/>
          <w:sz w:val="19"/>
          <w:szCs w:val="19"/>
          <w:color w:val="auto"/>
        </w:rPr>
      </w:pPr>
    </w:p>
    <w:p>
      <w:pPr>
        <w:ind w:left="1740" w:hanging="840"/>
        <w:spacing w:after="0" w:line="239" w:lineRule="auto"/>
        <w:tabs>
          <w:tab w:leader="none" w:pos="1740" w:val="left"/>
        </w:tabs>
        <w:numPr>
          <w:ilvl w:val="0"/>
          <w:numId w:val="49"/>
        </w:numPr>
        <w:rPr>
          <w:rFonts w:ascii="Arial" w:cs="Arial" w:eastAsia="Arial" w:hAnsi="Arial"/>
          <w:sz w:val="22"/>
          <w:szCs w:val="22"/>
          <w:color w:val="auto"/>
        </w:rPr>
      </w:pPr>
      <w:r>
        <w:rPr>
          <w:rFonts w:ascii="Arial" w:cs="Arial" w:eastAsia="Arial" w:hAnsi="Arial"/>
          <w:sz w:val="20"/>
          <w:szCs w:val="20"/>
          <w:color w:val="auto"/>
        </w:rPr>
        <w:t>If the Grantee is subject to the Company’s Change of Control Severance Policy for Principal Executive Officers (the “</w:t>
      </w:r>
      <w:r>
        <w:rPr>
          <w:rFonts w:ascii="Arial" w:cs="Arial" w:eastAsia="Arial" w:hAnsi="Arial"/>
          <w:sz w:val="20"/>
          <w:szCs w:val="20"/>
          <w:b w:val="1"/>
          <w:bCs w:val="1"/>
          <w:i w:val="1"/>
          <w:iCs w:val="1"/>
          <w:color w:val="auto"/>
        </w:rPr>
        <w:t>CiC Severance Policy</w:t>
      </w:r>
      <w:r>
        <w:rPr>
          <w:rFonts w:ascii="Arial" w:cs="Arial" w:eastAsia="Arial" w:hAnsi="Arial"/>
          <w:sz w:val="20"/>
          <w:szCs w:val="20"/>
          <w:color w:val="auto"/>
        </w:rPr>
        <w:t>”) and experiences a qualifying termination that provides for accelerated vesting under the CiC Severance Policy during the “Change of Control Period” (as defined in the CiC Severance Policy), then notwithstanding anything in this Agreement to the contrary and subject to the Grantee’s satisfying the release requirement set forth in the CiC Severance Policy, (i) the Vesting Date (as defined below) for the PSUs shall be the later of (A) the date of such qualifying termination and (B) the “Effective Date” (as defined in the CiC Severance Policy) and (ii)</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293370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00" w:top="983" w:right="499" w:bottom="1440" w:gutter="0" w:footer="0" w:header="0"/>
        </w:sectPr>
      </w:pPr>
    </w:p>
    <w:bookmarkStart w:id="104" w:name="page105"/>
    <w:bookmarkEnd w:id="104"/>
    <w:p>
      <w:pPr>
        <w:ind w:left="1760" w:right="420"/>
        <w:spacing w:after="0" w:line="260" w:lineRule="auto"/>
        <w:rPr>
          <w:sz w:val="20"/>
          <w:szCs w:val="20"/>
          <w:color w:val="auto"/>
        </w:rPr>
      </w:pPr>
      <w:r>
        <w:rPr>
          <w:rFonts w:ascii="Arial" w:cs="Arial" w:eastAsia="Arial" w:hAnsi="Arial"/>
          <w:sz w:val="20"/>
          <w:szCs w:val="20"/>
          <w:color w:val="auto"/>
        </w:rPr>
        <w:t>if the Change in Control occurs during the Performance Period, the target number of PSUs will be deemed to have satisfied the Performance Condition as of such Vesting Date.</w:t>
      </w:r>
    </w:p>
    <w:p>
      <w:pPr>
        <w:spacing w:after="0" w:line="171" w:lineRule="exact"/>
        <w:rPr>
          <w:sz w:val="20"/>
          <w:szCs w:val="20"/>
          <w:color w:val="auto"/>
        </w:rPr>
      </w:pPr>
    </w:p>
    <w:p>
      <w:pPr>
        <w:ind w:left="1740" w:hanging="840"/>
        <w:spacing w:after="0"/>
        <w:tabs>
          <w:tab w:leader="none" w:pos="1740" w:val="left"/>
        </w:tabs>
        <w:numPr>
          <w:ilvl w:val="0"/>
          <w:numId w:val="50"/>
        </w:numPr>
        <w:rPr>
          <w:rFonts w:ascii="Arial" w:cs="Arial" w:eastAsia="Arial" w:hAnsi="Arial"/>
          <w:sz w:val="22"/>
          <w:szCs w:val="22"/>
          <w:color w:val="auto"/>
        </w:rPr>
      </w:pPr>
      <w:r>
        <w:rPr>
          <w:rFonts w:ascii="Arial" w:cs="Arial" w:eastAsia="Arial" w:hAnsi="Arial"/>
          <w:sz w:val="20"/>
          <w:szCs w:val="20"/>
          <w:b w:val="1"/>
          <w:bCs w:val="1"/>
          <w:u w:val="single" w:color="auto"/>
          <w:color w:val="auto"/>
        </w:rPr>
        <w:t>Form and Time of Payment of PSUs</w:t>
      </w:r>
      <w:r>
        <w:rPr>
          <w:rFonts w:ascii="Arial" w:cs="Arial" w:eastAsia="Arial" w:hAnsi="Arial"/>
          <w:sz w:val="20"/>
          <w:szCs w:val="20"/>
          <w:color w:val="auto"/>
        </w:rPr>
        <w:t>.</w:t>
      </w:r>
    </w:p>
    <w:p>
      <w:pPr>
        <w:spacing w:after="0" w:line="212" w:lineRule="exact"/>
        <w:rPr>
          <w:sz w:val="20"/>
          <w:szCs w:val="20"/>
          <w:color w:val="auto"/>
        </w:rPr>
      </w:pPr>
    </w:p>
    <w:p>
      <w:pPr>
        <w:ind w:left="1740" w:right="420" w:hanging="840"/>
        <w:spacing w:after="0" w:line="238" w:lineRule="auto"/>
        <w:tabs>
          <w:tab w:leader="none" w:pos="1740" w:val="left"/>
        </w:tabs>
        <w:numPr>
          <w:ilvl w:val="0"/>
          <w:numId w:val="51"/>
        </w:numPr>
        <w:rPr>
          <w:rFonts w:ascii="Arial" w:cs="Arial" w:eastAsia="Arial" w:hAnsi="Arial"/>
          <w:sz w:val="22"/>
          <w:szCs w:val="22"/>
          <w:color w:val="auto"/>
        </w:rPr>
      </w:pPr>
      <w:r>
        <w:rPr>
          <w:rFonts w:ascii="Arial" w:cs="Arial" w:eastAsia="Arial" w:hAnsi="Arial"/>
          <w:sz w:val="20"/>
          <w:szCs w:val="20"/>
          <w:color w:val="auto"/>
        </w:rPr>
        <w:t xml:space="preserve">Payment for the PSUs, after and to the extent they have satisfied both the Performance Condition and the service based vesting condition in </w:t>
      </w:r>
      <w:r>
        <w:rPr>
          <w:rFonts w:ascii="Arial" w:cs="Arial" w:eastAsia="Arial" w:hAnsi="Arial"/>
          <w:sz w:val="20"/>
          <w:szCs w:val="20"/>
          <w:b w:val="1"/>
          <w:bCs w:val="1"/>
          <w:u w:val="single" w:color="auto"/>
          <w:color w:val="auto"/>
        </w:rPr>
        <w:t>Section 4(a)</w:t>
      </w:r>
      <w:r>
        <w:rPr>
          <w:rFonts w:ascii="Arial" w:cs="Arial" w:eastAsia="Arial" w:hAnsi="Arial"/>
          <w:sz w:val="20"/>
          <w:szCs w:val="20"/>
          <w:color w:val="auto"/>
        </w:rPr>
        <w:t xml:space="preserve"> (such date,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xml:space="preserve">”), shall be made in the form of Common Stock or the cash equivalent. Except as provided in </w:t>
      </w:r>
      <w:r>
        <w:rPr>
          <w:rFonts w:ascii="Arial" w:cs="Arial" w:eastAsia="Arial" w:hAnsi="Arial"/>
          <w:sz w:val="20"/>
          <w:szCs w:val="20"/>
          <w:b w:val="1"/>
          <w:bCs w:val="1"/>
          <w:u w:val="single" w:color="auto"/>
          <w:color w:val="auto"/>
        </w:rPr>
        <w:t>Section 5(b)</w:t>
      </w:r>
      <w:r>
        <w:rPr>
          <w:rFonts w:ascii="Arial" w:cs="Arial" w:eastAsia="Arial" w:hAnsi="Arial"/>
          <w:sz w:val="20"/>
          <w:szCs w:val="20"/>
          <w:color w:val="auto"/>
        </w:rPr>
        <w:t>, payment shall be made within sixty (60) days following the Vesting Date attributable to such PSUs.</w:t>
      </w:r>
    </w:p>
    <w:p>
      <w:pPr>
        <w:spacing w:after="0" w:line="192" w:lineRule="exact"/>
        <w:rPr>
          <w:rFonts w:ascii="Arial" w:cs="Arial" w:eastAsia="Arial" w:hAnsi="Arial"/>
          <w:sz w:val="22"/>
          <w:szCs w:val="22"/>
          <w:color w:val="auto"/>
        </w:rPr>
      </w:pPr>
    </w:p>
    <w:p>
      <w:pPr>
        <w:ind w:left="1740" w:right="60" w:hanging="840"/>
        <w:spacing w:after="0" w:line="255" w:lineRule="auto"/>
        <w:tabs>
          <w:tab w:leader="none" w:pos="1740" w:val="left"/>
        </w:tabs>
        <w:numPr>
          <w:ilvl w:val="0"/>
          <w:numId w:val="51"/>
        </w:numPr>
        <w:rPr>
          <w:rFonts w:ascii="Arial" w:cs="Arial" w:eastAsia="Arial" w:hAnsi="Arial"/>
          <w:sz w:val="21"/>
          <w:szCs w:val="21"/>
          <w:color w:val="auto"/>
        </w:rPr>
      </w:pPr>
      <w:r>
        <w:rPr>
          <w:rFonts w:ascii="Arial" w:cs="Arial" w:eastAsia="Arial" w:hAnsi="Arial"/>
          <w:sz w:val="19"/>
          <w:szCs w:val="19"/>
          <w:color w:val="auto"/>
        </w:rPr>
        <w:t xml:space="preserve">Notwithstanding </w:t>
      </w:r>
      <w:r>
        <w:rPr>
          <w:rFonts w:ascii="Arial" w:cs="Arial" w:eastAsia="Arial" w:hAnsi="Arial"/>
          <w:sz w:val="19"/>
          <w:szCs w:val="19"/>
          <w:b w:val="1"/>
          <w:bCs w:val="1"/>
          <w:u w:val="single" w:color="auto"/>
          <w:color w:val="auto"/>
        </w:rPr>
        <w:t>Section 5(a)</w:t>
      </w:r>
      <w:r>
        <w:rPr>
          <w:rFonts w:ascii="Arial" w:cs="Arial" w:eastAsia="Arial" w:hAnsi="Arial"/>
          <w:sz w:val="19"/>
          <w:szCs w:val="19"/>
          <w:color w:val="auto"/>
        </w:rPr>
        <w:t xml:space="preserve">, to the extent that the PSUs become vested on the date of a Change in Control, Grantee will receive payment for vested PSUs in shares of Common Stock on the date of the Change in Control; provided, however, that if such Change in Control would not qualify as a permissible date of distribution under Section 409A(a)(2)(A) of the Code, and the regulations thereunder, and where Section 409A of the Code applies to such distribution, the Grantee is entitled to receive the corresponding payment on the date that would have otherwise applied pursuant to </w:t>
      </w:r>
      <w:r>
        <w:rPr>
          <w:rFonts w:ascii="Arial" w:cs="Arial" w:eastAsia="Arial" w:hAnsi="Arial"/>
          <w:sz w:val="19"/>
          <w:szCs w:val="19"/>
          <w:b w:val="1"/>
          <w:bCs w:val="1"/>
          <w:u w:val="single" w:color="auto"/>
          <w:color w:val="auto"/>
        </w:rPr>
        <w:t>Section 5(a)</w:t>
      </w:r>
      <w:r>
        <w:rPr>
          <w:rFonts w:ascii="Arial" w:cs="Arial" w:eastAsia="Arial" w:hAnsi="Arial"/>
          <w:sz w:val="19"/>
          <w:szCs w:val="19"/>
          <w:color w:val="auto"/>
        </w:rPr>
        <w:t>.</w:t>
      </w:r>
    </w:p>
    <w:p>
      <w:pPr>
        <w:spacing w:after="0" w:line="181" w:lineRule="exact"/>
        <w:rPr>
          <w:rFonts w:ascii="Arial" w:cs="Arial" w:eastAsia="Arial" w:hAnsi="Arial"/>
          <w:sz w:val="21"/>
          <w:szCs w:val="21"/>
          <w:color w:val="auto"/>
        </w:rPr>
      </w:pPr>
    </w:p>
    <w:p>
      <w:pPr>
        <w:ind w:left="1740" w:right="940" w:hanging="840"/>
        <w:spacing w:after="0" w:line="238" w:lineRule="auto"/>
        <w:tabs>
          <w:tab w:leader="none" w:pos="1740" w:val="left"/>
        </w:tabs>
        <w:numPr>
          <w:ilvl w:val="0"/>
          <w:numId w:val="51"/>
        </w:numPr>
        <w:rPr>
          <w:rFonts w:ascii="Arial" w:cs="Arial" w:eastAsia="Arial" w:hAnsi="Arial"/>
          <w:sz w:val="22"/>
          <w:szCs w:val="22"/>
          <w:color w:val="auto"/>
        </w:rPr>
      </w:pPr>
      <w:r>
        <w:rPr>
          <w:rFonts w:ascii="Arial" w:cs="Arial" w:eastAsia="Arial" w:hAnsi="Arial"/>
          <w:sz w:val="20"/>
          <w:szCs w:val="20"/>
          <w:color w:val="auto"/>
        </w:rPr>
        <w:t>Except to the extent provided by Section 409A of the Code and permitted by the Committee, no shares of Common Stock may be issued to the Grantee at a time earlier than otherwise expressly provided in this Agreement.</w:t>
      </w:r>
    </w:p>
    <w:p>
      <w:pPr>
        <w:spacing w:after="0" w:line="191" w:lineRule="exact"/>
        <w:rPr>
          <w:rFonts w:ascii="Arial" w:cs="Arial" w:eastAsia="Arial" w:hAnsi="Arial"/>
          <w:sz w:val="22"/>
          <w:szCs w:val="22"/>
          <w:color w:val="auto"/>
        </w:rPr>
      </w:pPr>
    </w:p>
    <w:p>
      <w:pPr>
        <w:ind w:left="1740" w:hanging="840"/>
        <w:spacing w:after="0" w:line="243" w:lineRule="auto"/>
        <w:tabs>
          <w:tab w:leader="none" w:pos="1740" w:val="left"/>
        </w:tabs>
        <w:numPr>
          <w:ilvl w:val="0"/>
          <w:numId w:val="51"/>
        </w:numPr>
        <w:rPr>
          <w:rFonts w:ascii="Arial" w:cs="Arial" w:eastAsia="Arial" w:hAnsi="Arial"/>
          <w:sz w:val="22"/>
          <w:szCs w:val="22"/>
          <w:color w:val="auto"/>
        </w:rPr>
      </w:pPr>
      <w:r>
        <w:rPr>
          <w:rFonts w:ascii="Arial" w:cs="Arial" w:eastAsia="Arial" w:hAnsi="Arial"/>
          <w:sz w:val="20"/>
          <w:szCs w:val="20"/>
          <w:color w:val="auto"/>
        </w:rPr>
        <w:t xml:space="preserve">The Company’s obligations to the Grantee with respect to the PSUs that become vested in accordance with </w:t>
      </w:r>
      <w:r>
        <w:rPr>
          <w:rFonts w:ascii="Arial" w:cs="Arial" w:eastAsia="Arial" w:hAnsi="Arial"/>
          <w:sz w:val="20"/>
          <w:szCs w:val="20"/>
          <w:b w:val="1"/>
          <w:bCs w:val="1"/>
          <w:u w:val="single" w:color="auto"/>
          <w:color w:val="auto"/>
        </w:rPr>
        <w:t>Section 4</w:t>
      </w:r>
      <w:r>
        <w:rPr>
          <w:rFonts w:ascii="Arial" w:cs="Arial" w:eastAsia="Arial" w:hAnsi="Arial"/>
          <w:sz w:val="20"/>
          <w:szCs w:val="20"/>
          <w:color w:val="auto"/>
        </w:rPr>
        <w:t xml:space="preserve"> will be satisfied in full upon the issuance of Common Stock corresponding to such PSUs.</w:t>
      </w:r>
    </w:p>
    <w:p>
      <w:pPr>
        <w:spacing w:after="0" w:line="186" w:lineRule="exact"/>
        <w:rPr>
          <w:sz w:val="20"/>
          <w:szCs w:val="20"/>
          <w:color w:val="auto"/>
        </w:rPr>
      </w:pPr>
    </w:p>
    <w:p>
      <w:pPr>
        <w:ind w:left="1740" w:hanging="840"/>
        <w:spacing w:after="0"/>
        <w:tabs>
          <w:tab w:leader="none" w:pos="1740" w:val="left"/>
        </w:tabs>
        <w:numPr>
          <w:ilvl w:val="0"/>
          <w:numId w:val="52"/>
        </w:numPr>
        <w:rPr>
          <w:rFonts w:ascii="Arial" w:cs="Arial" w:eastAsia="Arial" w:hAnsi="Arial"/>
          <w:sz w:val="22"/>
          <w:szCs w:val="22"/>
          <w:color w:val="auto"/>
        </w:rPr>
      </w:pPr>
      <w:r>
        <w:rPr>
          <w:rFonts w:ascii="Arial" w:cs="Arial" w:eastAsia="Arial" w:hAnsi="Arial"/>
          <w:sz w:val="20"/>
          <w:szCs w:val="20"/>
          <w:b w:val="1"/>
          <w:bCs w:val="1"/>
          <w:u w:val="single" w:color="auto"/>
          <w:color w:val="auto"/>
        </w:rPr>
        <w:t>Dividend Equivalents; Voting and Other Rights</w:t>
      </w:r>
      <w:r>
        <w:rPr>
          <w:rFonts w:ascii="Arial" w:cs="Arial" w:eastAsia="Arial" w:hAnsi="Arial"/>
          <w:sz w:val="20"/>
          <w:szCs w:val="20"/>
          <w:color w:val="auto"/>
        </w:rPr>
        <w:t>.</w:t>
      </w:r>
    </w:p>
    <w:p>
      <w:pPr>
        <w:spacing w:after="0" w:line="212" w:lineRule="exact"/>
        <w:rPr>
          <w:sz w:val="20"/>
          <w:szCs w:val="20"/>
          <w:color w:val="auto"/>
        </w:rPr>
      </w:pPr>
    </w:p>
    <w:p>
      <w:pPr>
        <w:ind w:left="1740" w:right="560" w:hanging="840"/>
        <w:spacing w:after="0" w:line="238" w:lineRule="auto"/>
        <w:tabs>
          <w:tab w:leader="none" w:pos="1740" w:val="left"/>
        </w:tabs>
        <w:numPr>
          <w:ilvl w:val="0"/>
          <w:numId w:val="53"/>
        </w:numPr>
        <w:rPr>
          <w:rFonts w:ascii="Arial" w:cs="Arial" w:eastAsia="Arial" w:hAnsi="Arial"/>
          <w:sz w:val="22"/>
          <w:szCs w:val="22"/>
          <w:color w:val="auto"/>
        </w:rPr>
      </w:pPr>
      <w:r>
        <w:rPr>
          <w:rFonts w:ascii="Arial" w:cs="Arial" w:eastAsia="Arial" w:hAnsi="Arial"/>
          <w:sz w:val="20"/>
          <w:szCs w:val="20"/>
          <w:color w:val="auto"/>
        </w:rPr>
        <w:t xml:space="preserve">The Grantee shall have no rights of ownership in the Common Stock underlying the PSUs and no right to vote the Common Stock underlying the PSUs until the date on which the Common Stock underlying the PSUs is issued or transferred to the Grantee pursuant to </w:t>
      </w:r>
      <w:r>
        <w:rPr>
          <w:rFonts w:ascii="Arial" w:cs="Arial" w:eastAsia="Arial" w:hAnsi="Arial"/>
          <w:sz w:val="20"/>
          <w:szCs w:val="20"/>
          <w:b w:val="1"/>
          <w:bCs w:val="1"/>
          <w:u w:val="single" w:color="auto"/>
          <w:color w:val="auto"/>
        </w:rPr>
        <w:t>Section 5</w:t>
      </w:r>
      <w:r>
        <w:rPr>
          <w:rFonts w:ascii="Arial" w:cs="Arial" w:eastAsia="Arial" w:hAnsi="Arial"/>
          <w:sz w:val="20"/>
          <w:szCs w:val="20"/>
          <w:color w:val="auto"/>
        </w:rPr>
        <w:t xml:space="preserve"> above.</w:t>
      </w:r>
    </w:p>
    <w:p>
      <w:pPr>
        <w:spacing w:after="0" w:line="191" w:lineRule="exact"/>
        <w:rPr>
          <w:rFonts w:ascii="Arial" w:cs="Arial" w:eastAsia="Arial" w:hAnsi="Arial"/>
          <w:sz w:val="22"/>
          <w:szCs w:val="22"/>
          <w:color w:val="auto"/>
        </w:rPr>
      </w:pPr>
    </w:p>
    <w:p>
      <w:pPr>
        <w:ind w:left="1740" w:right="100" w:hanging="840"/>
        <w:spacing w:after="0" w:line="255" w:lineRule="auto"/>
        <w:tabs>
          <w:tab w:leader="none" w:pos="1740" w:val="left"/>
        </w:tabs>
        <w:numPr>
          <w:ilvl w:val="0"/>
          <w:numId w:val="53"/>
        </w:numPr>
        <w:rPr>
          <w:rFonts w:ascii="Arial" w:cs="Arial" w:eastAsia="Arial" w:hAnsi="Arial"/>
          <w:sz w:val="21"/>
          <w:szCs w:val="21"/>
          <w:color w:val="auto"/>
        </w:rPr>
      </w:pPr>
      <w:r>
        <w:rPr>
          <w:rFonts w:ascii="Arial" w:cs="Arial" w:eastAsia="Arial" w:hAnsi="Arial"/>
          <w:sz w:val="19"/>
          <w:szCs w:val="19"/>
          <w:color w:val="auto"/>
        </w:rPr>
        <w:t xml:space="preserve">Upon the payment of vested PSUs in accordance with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above, the Grantee shall receive additional shares of Common Stock or cash, as applicable, equal in value to the accrued dividend equivalents (without interest). The amount of dividend equivalents for each vested PSU shall equal the dividends paid on one share of Common Stock for each dividend whose record date occurs during the period between the Date of Grant and the payment of the vested PSUs in accordance with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above.</w:t>
      </w:r>
    </w:p>
    <w:p>
      <w:pPr>
        <w:spacing w:after="0" w:line="184" w:lineRule="exact"/>
        <w:rPr>
          <w:rFonts w:ascii="Arial" w:cs="Arial" w:eastAsia="Arial" w:hAnsi="Arial"/>
          <w:sz w:val="21"/>
          <w:szCs w:val="21"/>
          <w:color w:val="auto"/>
        </w:rPr>
      </w:pPr>
    </w:p>
    <w:p>
      <w:pPr>
        <w:ind w:left="1740" w:right="160" w:hanging="840"/>
        <w:spacing w:after="0" w:line="238" w:lineRule="auto"/>
        <w:tabs>
          <w:tab w:leader="none" w:pos="1740" w:val="left"/>
        </w:tabs>
        <w:numPr>
          <w:ilvl w:val="0"/>
          <w:numId w:val="53"/>
        </w:numPr>
        <w:rPr>
          <w:rFonts w:ascii="Arial" w:cs="Arial" w:eastAsia="Arial" w:hAnsi="Arial"/>
          <w:sz w:val="22"/>
          <w:szCs w:val="22"/>
          <w:color w:val="auto"/>
        </w:rPr>
      </w:pPr>
      <w:r>
        <w:rPr>
          <w:rFonts w:ascii="Arial" w:cs="Arial" w:eastAsia="Arial" w:hAnsi="Arial"/>
          <w:sz w:val="20"/>
          <w:szCs w:val="20"/>
          <w:color w:val="auto"/>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spacing w:after="0" w:line="194" w:lineRule="exact"/>
        <w:rPr>
          <w:sz w:val="20"/>
          <w:szCs w:val="20"/>
          <w:color w:val="auto"/>
        </w:rPr>
      </w:pPr>
    </w:p>
    <w:p>
      <w:pPr>
        <w:ind w:left="60" w:right="380" w:firstLine="806"/>
        <w:spacing w:after="0" w:line="297" w:lineRule="auto"/>
        <w:rPr>
          <w:sz w:val="20"/>
          <w:szCs w:val="20"/>
          <w:color w:val="auto"/>
        </w:rPr>
      </w:pPr>
      <w:r>
        <w:rPr>
          <w:rFonts w:ascii="Arial" w:cs="Arial" w:eastAsia="Arial" w:hAnsi="Arial"/>
          <w:sz w:val="21"/>
          <w:szCs w:val="21"/>
          <w:color w:val="auto"/>
        </w:rPr>
        <w:t xml:space="preserve">7. </w:t>
      </w: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 The PSUs and the number of shares of Common Stock issuable for each PSU, and the</w:t>
      </w:r>
      <w:r>
        <w:rPr>
          <w:rFonts w:ascii="Arial" w:cs="Arial" w:eastAsia="Arial" w:hAnsi="Arial"/>
          <w:sz w:val="21"/>
          <w:szCs w:val="21"/>
          <w:color w:val="auto"/>
        </w:rPr>
        <w:t xml:space="preserve"> </w:t>
      </w:r>
      <w:r>
        <w:rPr>
          <w:rFonts w:ascii="Arial" w:cs="Arial" w:eastAsia="Arial" w:hAnsi="Arial"/>
          <w:sz w:val="18"/>
          <w:szCs w:val="18"/>
          <w:color w:val="auto"/>
        </w:rPr>
        <w:t>other terms and conditions of the grant evidenced by this Agreement, are subject to adjustment as provided in Section 11 of the Plan.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293370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400" w:top="960" w:right="559" w:bottom="1440" w:gutter="0" w:footer="0" w:header="0"/>
        </w:sectPr>
      </w:pPr>
    </w:p>
    <w:bookmarkStart w:id="105" w:name="page106"/>
    <w:bookmarkEnd w:id="105"/>
    <w:p>
      <w:pPr>
        <w:ind w:left="60" w:right="80" w:firstLine="816"/>
        <w:spacing w:after="0" w:line="253" w:lineRule="auto"/>
        <w:rPr>
          <w:sz w:val="20"/>
          <w:szCs w:val="20"/>
          <w:color w:val="auto"/>
        </w:rPr>
      </w:pPr>
      <w:r>
        <w:rPr>
          <w:rFonts w:ascii="Arial" w:cs="Arial" w:eastAsia="Arial" w:hAnsi="Arial"/>
          <w:sz w:val="22"/>
          <w:szCs w:val="22"/>
          <w:color w:val="auto"/>
        </w:rPr>
        <w:t xml:space="preserve">8. </w:t>
      </w:r>
      <w:r>
        <w:rPr>
          <w:rFonts w:ascii="Arial" w:cs="Arial" w:eastAsia="Arial" w:hAnsi="Arial"/>
          <w:sz w:val="19"/>
          <w:szCs w:val="19"/>
          <w:b w:val="1"/>
          <w:bCs w:val="1"/>
          <w:u w:val="single" w:color="auto"/>
          <w:color w:val="auto"/>
        </w:rPr>
        <w:t>Withholding Taxes</w:t>
      </w:r>
      <w:r>
        <w:rPr>
          <w:rFonts w:ascii="Arial" w:cs="Arial" w:eastAsia="Arial" w:hAnsi="Arial"/>
          <w:sz w:val="19"/>
          <w:szCs w:val="19"/>
          <w:color w:val="auto"/>
        </w:rPr>
        <w:t>. To the extent that the Company is required to withhold federal, state, local or foreign</w:t>
      </w:r>
      <w:r>
        <w:rPr>
          <w:rFonts w:ascii="Arial" w:cs="Arial" w:eastAsia="Arial" w:hAnsi="Arial"/>
          <w:sz w:val="22"/>
          <w:szCs w:val="22"/>
          <w:color w:val="auto"/>
        </w:rPr>
        <w:t xml:space="preserve"> </w:t>
      </w:r>
      <w:r>
        <w:rPr>
          <w:rFonts w:ascii="Arial" w:cs="Arial" w:eastAsia="Arial" w:hAnsi="Arial"/>
          <w:sz w:val="19"/>
          <w:szCs w:val="19"/>
          <w:color w:val="auto"/>
        </w:rPr>
        <w:t xml:space="preserve">taxes or other amounts in connection with the delivery to the Grantee of Common Stock or any other payment to the Grantee or any other payment or vesting event under this Agreement, the Grantee agrees that the Company will withhold from the shares of Common Stock required to be delivered to the Grantee under this Agreement, shares of Common Stock having a value equal to the amount required to be withheld under applicable income and employment tax laws. The shares so retained shall be credited against any such withholding requirement at the market value of such Common Stock on the date of such delivery. To the extent that the amounts available to the Company for such withholding are insufficient, it shall be a condition to the obligation of the Company to make any such delivery or payment that the Grantee make arrangements satisfactory to the Company for payment of the balance of such taxes or other amounts required to be withheld. In no event will the market value of the shares of Common Stock to be withheld and/or delivered pursuant to this </w:t>
      </w:r>
      <w:r>
        <w:rPr>
          <w:rFonts w:ascii="Arial" w:cs="Arial" w:eastAsia="Arial" w:hAnsi="Arial"/>
          <w:sz w:val="19"/>
          <w:szCs w:val="19"/>
          <w:b w:val="1"/>
          <w:bCs w:val="1"/>
          <w:u w:val="single" w:color="auto"/>
          <w:color w:val="auto"/>
        </w:rPr>
        <w:t>Section 8</w:t>
      </w:r>
      <w:r>
        <w:rPr>
          <w:rFonts w:ascii="Arial" w:cs="Arial" w:eastAsia="Arial" w:hAnsi="Arial"/>
          <w:sz w:val="19"/>
          <w:szCs w:val="19"/>
          <w:color w:val="auto"/>
        </w:rPr>
        <w:t xml:space="preserve"> to satisfy applicable withholding taxes exceed the minimum amount required to be withheld, unless (i) an additional amount can be withheld and not result in adverse accounting consequences, (ii) such additional withholding amount is authorized by the Committee, and (iii) the total amount withheld does not exceed the Grantee’s estimated tax obligations attributable to the applicable transaction.</w:t>
      </w:r>
    </w:p>
    <w:p>
      <w:pPr>
        <w:spacing w:after="0" w:line="182" w:lineRule="exact"/>
        <w:rPr>
          <w:sz w:val="20"/>
          <w:szCs w:val="20"/>
          <w:color w:val="auto"/>
        </w:rPr>
      </w:pPr>
    </w:p>
    <w:p>
      <w:pPr>
        <w:jc w:val="both"/>
        <w:ind w:left="60" w:right="100" w:firstLine="816"/>
        <w:spacing w:after="0" w:line="278" w:lineRule="auto"/>
        <w:rPr>
          <w:sz w:val="20"/>
          <w:szCs w:val="20"/>
          <w:color w:val="auto"/>
        </w:rPr>
      </w:pPr>
      <w:r>
        <w:rPr>
          <w:rFonts w:ascii="Arial" w:cs="Arial" w:eastAsia="Arial" w:hAnsi="Arial"/>
          <w:sz w:val="21"/>
          <w:szCs w:val="21"/>
          <w:color w:val="auto"/>
        </w:rPr>
        <w:t xml:space="preserve">9. </w:t>
      </w: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 The Company shall make reasonable efforts to comply with all applicable federal</w:t>
      </w:r>
      <w:r>
        <w:rPr>
          <w:rFonts w:ascii="Arial" w:cs="Arial" w:eastAsia="Arial" w:hAnsi="Arial"/>
          <w:sz w:val="21"/>
          <w:szCs w:val="21"/>
          <w:color w:val="auto"/>
        </w:rPr>
        <w:t xml:space="preserve"> </w:t>
      </w:r>
      <w:r>
        <w:rPr>
          <w:rFonts w:ascii="Arial" w:cs="Arial" w:eastAsia="Arial" w:hAnsi="Arial"/>
          <w:sz w:val="18"/>
          <w:szCs w:val="18"/>
          <w:color w:val="auto"/>
        </w:rPr>
        <w:t xml:space="preserve">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59"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19"/>
          <w:szCs w:val="19"/>
          <w:b w:val="1"/>
          <w:bCs w:val="1"/>
          <w:u w:val="single" w:color="auto"/>
          <w:color w:val="auto"/>
        </w:rPr>
        <w:t>Compliance With or Exemption From Section 409A of the Code</w:t>
      </w:r>
      <w:r>
        <w:rPr>
          <w:rFonts w:ascii="Arial" w:cs="Arial" w:eastAsia="Arial" w:hAnsi="Arial"/>
          <w:sz w:val="19"/>
          <w:szCs w:val="19"/>
          <w:color w:val="auto"/>
        </w:rPr>
        <w:t>. To the extent applicable, it is</w:t>
      </w:r>
    </w:p>
    <w:p>
      <w:pPr>
        <w:spacing w:after="0" w:line="22" w:lineRule="exact"/>
        <w:rPr>
          <w:sz w:val="20"/>
          <w:szCs w:val="20"/>
          <w:color w:val="auto"/>
        </w:rPr>
      </w:pPr>
    </w:p>
    <w:p>
      <w:pPr>
        <w:ind w:left="180" w:right="60"/>
        <w:spacing w:after="0" w:line="272" w:lineRule="auto"/>
        <w:rPr>
          <w:sz w:val="20"/>
          <w:szCs w:val="20"/>
          <w:color w:val="auto"/>
        </w:rPr>
      </w:pPr>
      <w:r>
        <w:rPr>
          <w:rFonts w:ascii="Arial" w:cs="Arial" w:eastAsia="Arial" w:hAnsi="Arial"/>
          <w:sz w:val="18"/>
          <w:szCs w:val="18"/>
          <w:color w:val="auto"/>
        </w:rPr>
        <w:t>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Notwithstanding the foregoing, the Company is not guaranteeing any particular tax outcome, and the Grantee shall remain solely liable for any and all tax consequences associated with the PSUs.</w:t>
      </w:r>
    </w:p>
    <w:p>
      <w:pPr>
        <w:spacing w:after="0" w:line="165" w:lineRule="exact"/>
        <w:rPr>
          <w:sz w:val="20"/>
          <w:szCs w:val="20"/>
          <w:color w:val="auto"/>
        </w:rPr>
      </w:pPr>
    </w:p>
    <w:p>
      <w:pPr>
        <w:ind w:left="180" w:right="100" w:firstLine="706"/>
        <w:spacing w:after="0" w:line="259" w:lineRule="auto"/>
        <w:rPr>
          <w:sz w:val="20"/>
          <w:szCs w:val="20"/>
          <w:color w:val="auto"/>
        </w:rPr>
      </w:pPr>
      <w:r>
        <w:rPr>
          <w:rFonts w:ascii="Arial" w:cs="Arial" w:eastAsia="Arial" w:hAnsi="Arial"/>
          <w:sz w:val="22"/>
          <w:szCs w:val="22"/>
          <w:color w:val="auto"/>
        </w:rPr>
        <w:t xml:space="preserve">11. </w:t>
      </w: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Any reference in this Agreement to Section 409A of the Code will also include any</w:t>
      </w:r>
      <w:r>
        <w:rPr>
          <w:rFonts w:ascii="Arial" w:cs="Arial" w:eastAsia="Arial" w:hAnsi="Arial"/>
          <w:sz w:val="22"/>
          <w:szCs w:val="22"/>
          <w:color w:val="auto"/>
        </w:rPr>
        <w:t xml:space="preserve"> </w:t>
      </w:r>
      <w:r>
        <w:rPr>
          <w:rFonts w:ascii="Arial" w:cs="Arial" w:eastAsia="Arial" w:hAnsi="Arial"/>
          <w:sz w:val="19"/>
          <w:szCs w:val="19"/>
          <w:color w:val="auto"/>
        </w:rPr>
        <w:t>proposed, temporary or final regulations, or any other guidance, promulgated with respect to such Section by the U.S. Department of the Treasury or the Internal Revenue Service.</w:t>
      </w:r>
    </w:p>
    <w:p>
      <w:pPr>
        <w:spacing w:after="0" w:line="173" w:lineRule="exact"/>
        <w:rPr>
          <w:sz w:val="20"/>
          <w:szCs w:val="20"/>
          <w:color w:val="auto"/>
        </w:rPr>
      </w:pPr>
    </w:p>
    <w:p>
      <w:pPr>
        <w:ind w:left="60" w:firstLine="821"/>
        <w:spacing w:after="0" w:line="271" w:lineRule="auto"/>
        <w:rPr>
          <w:sz w:val="20"/>
          <w:szCs w:val="20"/>
          <w:color w:val="auto"/>
        </w:rPr>
      </w:pPr>
      <w:r>
        <w:rPr>
          <w:rFonts w:ascii="Arial" w:cs="Arial" w:eastAsia="Arial" w:hAnsi="Arial"/>
          <w:sz w:val="21"/>
          <w:szCs w:val="21"/>
          <w:color w:val="auto"/>
        </w:rPr>
        <w:t xml:space="preserve">12. </w:t>
      </w:r>
      <w:r>
        <w:rPr>
          <w:rFonts w:ascii="Arial" w:cs="Arial" w:eastAsia="Arial" w:hAnsi="Arial"/>
          <w:sz w:val="18"/>
          <w:szCs w:val="18"/>
          <w:b w:val="1"/>
          <w:bCs w:val="1"/>
          <w:u w:val="single" w:color="auto"/>
          <w:color w:val="auto"/>
        </w:rPr>
        <w:t>No Right to Future Awards or Employment</w:t>
      </w:r>
      <w:r>
        <w:rPr>
          <w:rFonts w:ascii="Arial" w:cs="Arial" w:eastAsia="Arial" w:hAnsi="Arial"/>
          <w:sz w:val="18"/>
          <w:szCs w:val="18"/>
          <w:color w:val="auto"/>
        </w:rPr>
        <w:t>. The grant of the PSUs under this Agreement to the Grantee</w:t>
      </w:r>
      <w:r>
        <w:rPr>
          <w:rFonts w:ascii="Arial" w:cs="Arial" w:eastAsia="Arial" w:hAnsi="Arial"/>
          <w:sz w:val="21"/>
          <w:szCs w:val="21"/>
          <w:color w:val="auto"/>
        </w:rPr>
        <w:t xml:space="preserve"> </w:t>
      </w:r>
      <w:r>
        <w:rPr>
          <w:rFonts w:ascii="Arial" w:cs="Arial" w:eastAsia="Arial" w:hAnsi="Arial"/>
          <w:sz w:val="18"/>
          <w:szCs w:val="18"/>
          <w:color w:val="auto"/>
        </w:rPr>
        <w:t>is a voluntary, discretionary award being made on a one-time basis and it does not constitute a commitment to make any future awards. The grant of the PSUs and any payments made hereunder will not be considered salary or other compensation for purposes of any severance pay or similar allowance, except as otherwise required by law.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spacing w:after="0" w:line="165" w:lineRule="exact"/>
        <w:rPr>
          <w:sz w:val="20"/>
          <w:szCs w:val="20"/>
          <w:color w:val="auto"/>
        </w:rPr>
      </w:pPr>
    </w:p>
    <w:p>
      <w:pPr>
        <w:ind w:left="60" w:right="160" w:firstLine="811"/>
        <w:spacing w:after="0" w:line="255" w:lineRule="auto"/>
        <w:rPr>
          <w:sz w:val="20"/>
          <w:szCs w:val="20"/>
          <w:color w:val="auto"/>
        </w:rPr>
      </w:pPr>
      <w:r>
        <w:rPr>
          <w:rFonts w:ascii="Arial" w:cs="Arial" w:eastAsia="Arial" w:hAnsi="Arial"/>
          <w:sz w:val="22"/>
          <w:szCs w:val="22"/>
          <w:color w:val="auto"/>
        </w:rPr>
        <w:t xml:space="preserve">13. </w:t>
      </w:r>
      <w:r>
        <w:rPr>
          <w:rFonts w:ascii="Arial" w:cs="Arial" w:eastAsia="Arial" w:hAnsi="Arial"/>
          <w:sz w:val="19"/>
          <w:szCs w:val="19"/>
          <w:b w:val="1"/>
          <w:bCs w:val="1"/>
          <w:u w:val="single" w:color="auto"/>
          <w:color w:val="auto"/>
        </w:rPr>
        <w:t>Relation to Other Benefits</w:t>
      </w:r>
      <w:r>
        <w:rPr>
          <w:rFonts w:ascii="Arial" w:cs="Arial" w:eastAsia="Arial" w:hAnsi="Arial"/>
          <w:sz w:val="19"/>
          <w:szCs w:val="19"/>
          <w:color w:val="auto"/>
        </w:rPr>
        <w:t>. Any economic or other benefit to the Grantee under this Agreement or the</w:t>
      </w:r>
      <w:r>
        <w:rPr>
          <w:rFonts w:ascii="Arial" w:cs="Arial" w:eastAsia="Arial" w:hAnsi="Arial"/>
          <w:sz w:val="22"/>
          <w:szCs w:val="22"/>
          <w:color w:val="auto"/>
        </w:rPr>
        <w:t xml:space="preserve"> </w:t>
      </w:r>
      <w:r>
        <w:rPr>
          <w:rFonts w:ascii="Arial" w:cs="Arial" w:eastAsia="Arial" w:hAnsi="Arial"/>
          <w:sz w:val="19"/>
          <w:szCs w:val="19"/>
          <w:color w:val="auto"/>
        </w:rPr>
        <w:t>Plan 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293370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400" w:top="955" w:right="479" w:bottom="1440" w:gutter="0" w:footer="0" w:header="0"/>
        </w:sectPr>
      </w:pPr>
    </w:p>
    <w:bookmarkStart w:id="106" w:name="page107"/>
    <w:bookmarkEnd w:id="106"/>
    <w:tbl>
      <w:tblPr>
        <w:tblLayout w:type="fixed"/>
        <w:tblInd w:w="60" w:type="dxa"/>
        <w:tblCellMar>
          <w:top w:w="0" w:type="dxa"/>
          <w:left w:w="0" w:type="dxa"/>
          <w:bottom w:w="0" w:type="dxa"/>
          <w:right w:w="0" w:type="dxa"/>
        </w:tblCellMar>
      </w:tblPr>
      <w:tr>
        <w:trPr>
          <w:trHeight w:val="253"/>
        </w:trPr>
        <w:tc>
          <w:tcPr>
            <w:tcW w:w="2480" w:type="dxa"/>
            <w:vAlign w:val="bottom"/>
          </w:tcPr>
          <w:p>
            <w:pPr>
              <w:jc w:val="right"/>
              <w:ind w:right="1298"/>
              <w:spacing w:after="0"/>
              <w:rPr>
                <w:sz w:val="20"/>
                <w:szCs w:val="20"/>
                <w:color w:val="auto"/>
              </w:rPr>
            </w:pPr>
            <w:r>
              <w:rPr>
                <w:rFonts w:ascii="Arial" w:cs="Arial" w:eastAsia="Arial" w:hAnsi="Arial"/>
                <w:sz w:val="22"/>
                <w:szCs w:val="22"/>
                <w:color w:val="auto"/>
              </w:rPr>
              <w:t>14.</w:t>
            </w:r>
          </w:p>
        </w:tc>
        <w:tc>
          <w:tcPr>
            <w:tcW w:w="8300" w:type="dxa"/>
            <w:vAlign w:val="bottom"/>
            <w:gridSpan w:val="6"/>
          </w:tcPr>
          <w:p>
            <w:pPr>
              <w:spacing w:after="0"/>
              <w:rPr>
                <w:sz w:val="20"/>
                <w:szCs w:val="20"/>
                <w:color w:val="auto"/>
              </w:rPr>
            </w:pPr>
            <w:r>
              <w:rPr>
                <w:rFonts w:ascii="Arial" w:cs="Arial" w:eastAsia="Arial" w:hAnsi="Arial"/>
                <w:sz w:val="20"/>
                <w:szCs w:val="20"/>
                <w:b w:val="1"/>
                <w:bCs w:val="1"/>
                <w:color w:val="auto"/>
                <w:w w:val="87"/>
              </w:rPr>
              <w:t>Amendments</w:t>
            </w:r>
            <w:r>
              <w:rPr>
                <w:rFonts w:ascii="Arial" w:cs="Arial" w:eastAsia="Arial" w:hAnsi="Arial"/>
                <w:sz w:val="20"/>
                <w:szCs w:val="20"/>
                <w:color w:val="auto"/>
                <w:w w:val="87"/>
              </w:rPr>
              <w:t>. Any amendment to the Plan shall be deemed to be an amendment to this Agreement to the</w:t>
            </w:r>
          </w:p>
        </w:tc>
      </w:tr>
      <w:tr>
        <w:trPr>
          <w:trHeight w:val="20"/>
        </w:trPr>
        <w:tc>
          <w:tcPr>
            <w:tcW w:w="24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09"/>
        </w:trPr>
        <w:tc>
          <w:tcPr>
            <w:tcW w:w="10780" w:type="dxa"/>
            <w:vAlign w:val="bottom"/>
            <w:gridSpan w:val="7"/>
          </w:tcPr>
          <w:p>
            <w:pPr>
              <w:spacing w:after="0" w:line="209" w:lineRule="exact"/>
              <w:rPr>
                <w:sz w:val="20"/>
                <w:szCs w:val="20"/>
                <w:color w:val="auto"/>
              </w:rPr>
            </w:pPr>
            <w:r>
              <w:rPr>
                <w:rFonts w:ascii="Arial" w:cs="Arial" w:eastAsia="Arial" w:hAnsi="Arial"/>
                <w:sz w:val="20"/>
                <w:szCs w:val="20"/>
                <w:color w:val="auto"/>
                <w:w w:val="94"/>
              </w:rPr>
              <w:t>extent that the amendment is applicable hereto; provided, however, that (a) no amendment shall adversely affect the rights of the</w:t>
            </w:r>
          </w:p>
        </w:tc>
      </w:tr>
      <w:tr>
        <w:trPr>
          <w:trHeight w:val="20"/>
        </w:trPr>
        <w:tc>
          <w:tcPr>
            <w:tcW w:w="380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49"/>
        </w:trPr>
        <w:tc>
          <w:tcPr>
            <w:tcW w:w="10780" w:type="dxa"/>
            <w:vAlign w:val="bottom"/>
            <w:gridSpan w:val="7"/>
          </w:tcPr>
          <w:p>
            <w:pPr>
              <w:spacing w:after="0"/>
              <w:rPr>
                <w:sz w:val="20"/>
                <w:szCs w:val="20"/>
                <w:color w:val="auto"/>
              </w:rPr>
            </w:pPr>
            <w:r>
              <w:rPr>
                <w:rFonts w:ascii="Arial" w:cs="Arial" w:eastAsia="Arial" w:hAnsi="Arial"/>
                <w:sz w:val="20"/>
                <w:szCs w:val="20"/>
                <w:color w:val="auto"/>
                <w:w w:val="96"/>
              </w:rPr>
              <w:t>Grantee under this Agreement without the Grantee’s written consent, and (b) the Grantee’s consent shall not be required to an</w:t>
            </w:r>
          </w:p>
        </w:tc>
      </w:tr>
    </w:tbl>
    <w:p>
      <w:pPr>
        <w:ind w:left="60" w:right="620"/>
        <w:spacing w:after="0" w:line="244" w:lineRule="auto"/>
        <w:rPr>
          <w:sz w:val="20"/>
          <w:szCs w:val="20"/>
          <w:color w:val="auto"/>
        </w:rPr>
      </w:pPr>
      <w:r>
        <w:rPr>
          <w:rFonts w:ascii="Arial" w:cs="Arial" w:eastAsia="Arial" w:hAnsi="Arial"/>
          <w:sz w:val="20"/>
          <w:szCs w:val="20"/>
          <w:color w:val="auto"/>
        </w:rPr>
        <w:t>amendment that is deemed necessary by the Company to ensure compliance with Section 409A of the Code or Section 10D of the Exchange Act.</w:t>
      </w:r>
    </w:p>
    <w:p>
      <w:pPr>
        <w:spacing w:after="0" w:line="187" w:lineRule="exact"/>
        <w:rPr>
          <w:sz w:val="20"/>
          <w:szCs w:val="20"/>
          <w:color w:val="auto"/>
        </w:rPr>
      </w:pPr>
    </w:p>
    <w:p>
      <w:pPr>
        <w:ind w:left="60" w:right="200" w:firstLine="807"/>
        <w:spacing w:after="0" w:line="259" w:lineRule="auto"/>
        <w:rPr>
          <w:sz w:val="20"/>
          <w:szCs w:val="20"/>
          <w:color w:val="auto"/>
        </w:rPr>
      </w:pPr>
      <w:r>
        <w:rPr>
          <w:rFonts w:ascii="Arial" w:cs="Arial" w:eastAsia="Arial" w:hAnsi="Arial"/>
          <w:sz w:val="22"/>
          <w:szCs w:val="22"/>
          <w:color w:val="auto"/>
        </w:rPr>
        <w:t xml:space="preserve">15. </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In the event that one or more of the provisions of this Agreement shall be invalidated for</w:t>
      </w:r>
      <w:r>
        <w:rPr>
          <w:rFonts w:ascii="Arial" w:cs="Arial" w:eastAsia="Arial" w:hAnsi="Arial"/>
          <w:sz w:val="22"/>
          <w:szCs w:val="22"/>
          <w:color w:val="auto"/>
        </w:rPr>
        <w:t xml:space="preserve"> </w:t>
      </w:r>
      <w:r>
        <w:rPr>
          <w:rFonts w:ascii="Arial" w:cs="Arial" w:eastAsia="Arial" w:hAnsi="Arial"/>
          <w:sz w:val="19"/>
          <w:szCs w:val="19"/>
          <w:color w:val="auto"/>
        </w:rPr>
        <w:t>any reason by a court of competent jurisdiction, any provision so invalidated shall be deemed to be separable from the other provisions hereof, and the remaining provisions hereof shall continue to be valid and fully enforceable.</w:t>
      </w:r>
    </w:p>
    <w:p>
      <w:pPr>
        <w:spacing w:after="0" w:line="173" w:lineRule="exact"/>
        <w:rPr>
          <w:sz w:val="20"/>
          <w:szCs w:val="20"/>
          <w:color w:val="auto"/>
        </w:rPr>
      </w:pPr>
    </w:p>
    <w:p>
      <w:pPr>
        <w:ind w:left="900"/>
        <w:spacing w:after="0"/>
        <w:tabs>
          <w:tab w:leader="none" w:pos="252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b w:val="1"/>
          <w:bCs w:val="1"/>
          <w:u w:val="single" w:color="auto"/>
          <w:color w:val="auto"/>
        </w:rPr>
        <w:t>Relation to Plan and Compensation Recovery Policy</w:t>
      </w:r>
      <w:r>
        <w:rPr>
          <w:rFonts w:ascii="Arial" w:cs="Arial" w:eastAsia="Arial" w:hAnsi="Arial"/>
          <w:sz w:val="18"/>
          <w:szCs w:val="18"/>
          <w:color w:val="auto"/>
        </w:rPr>
        <w:t>. This Agreement is subject to the terms and</w:t>
      </w:r>
    </w:p>
    <w:p>
      <w:pPr>
        <w:spacing w:after="0" w:line="45" w:lineRule="exact"/>
        <w:rPr>
          <w:sz w:val="20"/>
          <w:szCs w:val="20"/>
          <w:color w:val="auto"/>
        </w:rPr>
      </w:pPr>
    </w:p>
    <w:p>
      <w:pPr>
        <w:ind w:left="60"/>
        <w:spacing w:after="0" w:line="270" w:lineRule="auto"/>
        <w:rPr>
          <w:sz w:val="20"/>
          <w:szCs w:val="20"/>
          <w:color w:val="auto"/>
        </w:rPr>
      </w:pPr>
      <w:r>
        <w:rPr>
          <w:rFonts w:ascii="Arial" w:cs="Arial" w:eastAsia="Arial" w:hAnsi="Arial"/>
          <w:sz w:val="18"/>
          <w:szCs w:val="18"/>
          <w:color w:val="auto"/>
        </w:rPr>
        <w:t>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(if any) as may be in effect from time to time specifically to implement Section 10D of the Exchange Act and any applicable rules or regulations promulgated thereunder (including applicable rules and regulations of any national securities exchange on which the Common Stock may be traded) (the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Recovery Policy</w:t>
      </w:r>
      <w:r>
        <w:rPr>
          <w:rFonts w:ascii="Arial" w:cs="Arial" w:eastAsia="Arial" w:hAnsi="Arial"/>
          <w:sz w:val="18"/>
          <w:szCs w:val="18"/>
          <w:color w:val="auto"/>
        </w:rPr>
        <w:t>”), and that relevant sections of this Agreement shall be deemed superseded by and subject to the applicable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the Compensation Recovery Policy from and after the effective date thereof.</w:t>
      </w:r>
    </w:p>
    <w:p>
      <w:pPr>
        <w:spacing w:after="0" w:line="165" w:lineRule="exact"/>
        <w:rPr>
          <w:sz w:val="20"/>
          <w:szCs w:val="20"/>
          <w:color w:val="auto"/>
        </w:rPr>
      </w:pPr>
    </w:p>
    <w:p>
      <w:pPr>
        <w:ind w:left="60" w:right="160" w:firstLine="807"/>
        <w:spacing w:after="0" w:line="255" w:lineRule="auto"/>
        <w:rPr>
          <w:sz w:val="20"/>
          <w:szCs w:val="20"/>
          <w:color w:val="auto"/>
        </w:rPr>
      </w:pPr>
      <w:r>
        <w:rPr>
          <w:rFonts w:ascii="Arial" w:cs="Arial" w:eastAsia="Arial" w:hAnsi="Arial"/>
          <w:sz w:val="22"/>
          <w:szCs w:val="22"/>
          <w:color w:val="auto"/>
        </w:rPr>
        <w:t xml:space="preserve">17. </w:t>
      </w:r>
      <w:r>
        <w:rPr>
          <w:rFonts w:ascii="Arial" w:cs="Arial" w:eastAsia="Arial" w:hAnsi="Arial"/>
          <w:sz w:val="19"/>
          <w:szCs w:val="19"/>
          <w:b w:val="1"/>
          <w:bCs w:val="1"/>
          <w:u w:val="single" w:color="auto"/>
          <w:color w:val="auto"/>
        </w:rPr>
        <w:t>Electronic Delivery</w:t>
      </w:r>
      <w:r>
        <w:rPr>
          <w:rFonts w:ascii="Arial" w:cs="Arial" w:eastAsia="Arial" w:hAnsi="Arial"/>
          <w:sz w:val="19"/>
          <w:szCs w:val="19"/>
          <w:color w:val="auto"/>
        </w:rPr>
        <w:t>. The Company may, in its sole discretion, deliver any documents related to the</w:t>
      </w:r>
      <w:r>
        <w:rPr>
          <w:rFonts w:ascii="Arial" w:cs="Arial" w:eastAsia="Arial" w:hAnsi="Arial"/>
          <w:sz w:val="22"/>
          <w:szCs w:val="22"/>
          <w:color w:val="auto"/>
        </w:rPr>
        <w:t xml:space="preserve"> </w:t>
      </w:r>
      <w:r>
        <w:rPr>
          <w:rFonts w:ascii="Arial" w:cs="Arial" w:eastAsia="Arial" w:hAnsi="Arial"/>
          <w:sz w:val="19"/>
          <w:szCs w:val="19"/>
          <w:color w:val="auto"/>
        </w:rPr>
        <w:t>PSUs and 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80" w:lineRule="exact"/>
        <w:rPr>
          <w:sz w:val="20"/>
          <w:szCs w:val="20"/>
          <w:color w:val="auto"/>
        </w:rPr>
      </w:pPr>
    </w:p>
    <w:p>
      <w:pPr>
        <w:jc w:val="both"/>
        <w:ind w:left="60" w:right="120" w:firstLine="807"/>
        <w:spacing w:after="0" w:line="259" w:lineRule="auto"/>
        <w:rPr>
          <w:sz w:val="20"/>
          <w:szCs w:val="20"/>
          <w:color w:val="auto"/>
        </w:rPr>
      </w:pPr>
      <w:r>
        <w:rPr>
          <w:rFonts w:ascii="Arial" w:cs="Arial" w:eastAsia="Arial" w:hAnsi="Arial"/>
          <w:sz w:val="22"/>
          <w:szCs w:val="22"/>
          <w:color w:val="auto"/>
        </w:rPr>
        <w:t xml:space="preserve">18. </w:t>
      </w: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This Agreement shall be governed by and construed with the internal substantive laws</w:t>
      </w:r>
      <w:r>
        <w:rPr>
          <w:rFonts w:ascii="Arial" w:cs="Arial" w:eastAsia="Arial" w:hAnsi="Arial"/>
          <w:sz w:val="22"/>
          <w:szCs w:val="22"/>
          <w:color w:val="auto"/>
        </w:rPr>
        <w:t xml:space="preserve"> </w:t>
      </w:r>
      <w:r>
        <w:rPr>
          <w:rFonts w:ascii="Arial" w:cs="Arial" w:eastAsia="Arial" w:hAnsi="Arial"/>
          <w:sz w:val="19"/>
          <w:szCs w:val="19"/>
          <w:color w:val="auto"/>
        </w:rPr>
        <w:t>of the State of Delaware, without giving effect to any principle of law that would result in the application of the law of any other jurisdiction.</w:t>
      </w:r>
    </w:p>
    <w:p>
      <w:pPr>
        <w:spacing w:after="0" w:line="173" w:lineRule="exact"/>
        <w:rPr>
          <w:sz w:val="20"/>
          <w:szCs w:val="20"/>
          <w:color w:val="auto"/>
        </w:rPr>
      </w:pPr>
    </w:p>
    <w:p>
      <w:pPr>
        <w:ind w:left="60" w:right="340" w:firstLine="802"/>
        <w:spacing w:after="0" w:line="259" w:lineRule="auto"/>
        <w:rPr>
          <w:sz w:val="20"/>
          <w:szCs w:val="20"/>
          <w:color w:val="auto"/>
        </w:rPr>
      </w:pPr>
      <w:r>
        <w:rPr>
          <w:rFonts w:ascii="Arial" w:cs="Arial" w:eastAsia="Arial" w:hAnsi="Arial"/>
          <w:sz w:val="22"/>
          <w:szCs w:val="22"/>
          <w:color w:val="auto"/>
        </w:rPr>
        <w:t xml:space="preserve">19. </w:t>
      </w: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Without limiting</w:t>
      </w:r>
      <w:r>
        <w:rPr>
          <w:rFonts w:ascii="Arial" w:cs="Arial" w:eastAsia="Arial" w:hAnsi="Arial"/>
          <w:sz w:val="22"/>
          <w:szCs w:val="22"/>
          <w:color w:val="auto"/>
        </w:rPr>
        <w:t xml:space="preserve"> </w:t>
      </w:r>
      <w:r>
        <w:rPr>
          <w:rFonts w:ascii="Arial" w:cs="Arial" w:eastAsia="Arial" w:hAnsi="Arial"/>
          <w:sz w:val="19"/>
          <w:szCs w:val="19"/>
          <w:b w:val="1"/>
          <w:bCs w:val="1"/>
          <w:u w:val="single" w:color="auto"/>
          <w:color w:val="auto"/>
        </w:rPr>
        <w:t>Section 3</w:t>
      </w:r>
      <w:r>
        <w:rPr>
          <w:rFonts w:ascii="Arial" w:cs="Arial" w:eastAsia="Arial" w:hAnsi="Arial"/>
          <w:sz w:val="22"/>
          <w:szCs w:val="22"/>
          <w:color w:val="auto"/>
        </w:rPr>
        <w:t xml:space="preserve"> </w:t>
      </w:r>
      <w:r>
        <w:rPr>
          <w:rFonts w:ascii="Arial" w:cs="Arial" w:eastAsia="Arial" w:hAnsi="Arial"/>
          <w:sz w:val="19"/>
          <w:szCs w:val="19"/>
          <w:color w:val="auto"/>
        </w:rPr>
        <w:t>hereof, the provisions of this Agreement shall</w:t>
      </w:r>
      <w:r>
        <w:rPr>
          <w:rFonts w:ascii="Arial" w:cs="Arial" w:eastAsia="Arial" w:hAnsi="Arial"/>
          <w:sz w:val="22"/>
          <w:szCs w:val="22"/>
          <w:color w:val="auto"/>
        </w:rPr>
        <w:t xml:space="preserve"> </w:t>
      </w:r>
      <w:r>
        <w:rPr>
          <w:rFonts w:ascii="Arial" w:cs="Arial" w:eastAsia="Arial" w:hAnsi="Arial"/>
          <w:sz w:val="19"/>
          <w:szCs w:val="19"/>
          <w:color w:val="auto"/>
        </w:rPr>
        <w:t>inure to the benefit of, and be binding upon, the successors, administrators, heirs, legal representatives and assigns of the Grantee, and the successors and assigns of the Company.</w:t>
      </w:r>
    </w:p>
    <w:p>
      <w:pPr>
        <w:spacing w:after="0" w:line="173" w:lineRule="exact"/>
        <w:rPr>
          <w:sz w:val="20"/>
          <w:szCs w:val="20"/>
          <w:color w:val="auto"/>
        </w:rPr>
      </w:pPr>
    </w:p>
    <w:p>
      <w:pPr>
        <w:ind w:left="60" w:right="60" w:firstLine="814"/>
        <w:spacing w:after="0" w:line="259" w:lineRule="auto"/>
        <w:rPr>
          <w:sz w:val="20"/>
          <w:szCs w:val="20"/>
          <w:color w:val="auto"/>
        </w:rPr>
      </w:pPr>
      <w:r>
        <w:rPr>
          <w:rFonts w:ascii="Arial" w:cs="Arial" w:eastAsia="Arial" w:hAnsi="Arial"/>
          <w:sz w:val="22"/>
          <w:szCs w:val="22"/>
          <w:color w:val="auto"/>
        </w:rPr>
        <w:t xml:space="preserve">20. </w:t>
      </w:r>
      <w:r>
        <w:rPr>
          <w:rFonts w:ascii="Arial" w:cs="Arial" w:eastAsia="Arial" w:hAnsi="Arial"/>
          <w:sz w:val="19"/>
          <w:szCs w:val="19"/>
          <w:b w:val="1"/>
          <w:bCs w:val="1"/>
          <w:u w:val="single" w:color="auto"/>
          <w:color w:val="auto"/>
        </w:rPr>
        <w:t>Acknowledgement and Complete Agreement</w:t>
      </w:r>
      <w:r>
        <w:rPr>
          <w:rFonts w:ascii="Arial" w:cs="Arial" w:eastAsia="Arial" w:hAnsi="Arial"/>
          <w:sz w:val="19"/>
          <w:szCs w:val="19"/>
          <w:color w:val="auto"/>
        </w:rPr>
        <w:t>. The Grantee acknowledges that the Grantee (a) has</w:t>
      </w:r>
      <w:r>
        <w:rPr>
          <w:rFonts w:ascii="Arial" w:cs="Arial" w:eastAsia="Arial" w:hAnsi="Arial"/>
          <w:sz w:val="22"/>
          <w:szCs w:val="22"/>
          <w:color w:val="auto"/>
        </w:rPr>
        <w:t xml:space="preserve"> </w:t>
      </w:r>
      <w:r>
        <w:rPr>
          <w:rFonts w:ascii="Arial" w:cs="Arial" w:eastAsia="Arial" w:hAnsi="Arial"/>
          <w:sz w:val="19"/>
          <w:szCs w:val="19"/>
          <w:color w:val="auto"/>
        </w:rPr>
        <w:t>received a copy of the Plan, (b) has had an opportunity to review the terms of this Agreement and the Plan, (c) understands the terms and conditions of this Agreement and the Plan and (d) agrees to such terms and conditions.</w:t>
      </w:r>
    </w:p>
    <w:p>
      <w:pPr>
        <w:spacing w:after="0" w:line="173" w:lineRule="exact"/>
        <w:rPr>
          <w:sz w:val="20"/>
          <w:szCs w:val="20"/>
          <w:color w:val="auto"/>
        </w:rPr>
      </w:pPr>
    </w:p>
    <w:p>
      <w:pPr>
        <w:ind w:left="60" w:right="480" w:firstLine="797"/>
        <w:spacing w:after="0" w:line="269" w:lineRule="auto"/>
        <w:rPr>
          <w:sz w:val="20"/>
          <w:szCs w:val="20"/>
          <w:color w:val="auto"/>
        </w:rPr>
      </w:pPr>
      <w:r>
        <w:rPr>
          <w:rFonts w:ascii="Arial" w:cs="Arial" w:eastAsia="Arial" w:hAnsi="Arial"/>
          <w:sz w:val="22"/>
          <w:szCs w:val="22"/>
          <w:color w:val="auto"/>
        </w:rPr>
        <w:t xml:space="preserve">21. </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one or more counterparts, each of which shall be</w:t>
      </w:r>
      <w:r>
        <w:rPr>
          <w:rFonts w:ascii="Arial" w:cs="Arial" w:eastAsia="Arial" w:hAnsi="Arial"/>
          <w:sz w:val="22"/>
          <w:szCs w:val="22"/>
          <w:color w:val="auto"/>
        </w:rPr>
        <w:t xml:space="preserve"> </w:t>
      </w:r>
      <w:r>
        <w:rPr>
          <w:rFonts w:ascii="Arial" w:cs="Arial" w:eastAsia="Arial" w:hAnsi="Arial"/>
          <w:sz w:val="19"/>
          <w:szCs w:val="19"/>
          <w:color w:val="auto"/>
        </w:rPr>
        <w:t>deemed to be an original but all of which together will constitute one and the same agreement.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293370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400" w:top="926" w:right="539" w:bottom="1440" w:gutter="0" w:footer="0" w:header="0"/>
        </w:sectPr>
      </w:pPr>
    </w:p>
    <w:bookmarkStart w:id="107" w:name="page108"/>
    <w:bookmarkEnd w:id="107"/>
    <w:p>
      <w:pPr>
        <w:ind w:left="5540"/>
        <w:spacing w:after="0"/>
        <w:rPr>
          <w:sz w:val="20"/>
          <w:szCs w:val="20"/>
          <w:color w:val="auto"/>
        </w:rPr>
      </w:pPr>
      <w:r>
        <w:rPr>
          <w:rFonts w:ascii="Arial" w:cs="Arial" w:eastAsia="Arial" w:hAnsi="Arial"/>
          <w:sz w:val="20"/>
          <w:szCs w:val="20"/>
          <w:b w:val="1"/>
          <w:bCs w:val="1"/>
          <w:color w:val="auto"/>
        </w:rPr>
        <w:t>SYNAPTICS INCORPORATED</w:t>
      </w:r>
    </w:p>
    <w:p>
      <w:pPr>
        <w:spacing w:after="0" w:line="235"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w:t>
      </w:r>
    </w:p>
    <w:p>
      <w:pPr>
        <w:spacing w:after="0" w:line="21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Name:</w:t>
      </w:r>
    </w:p>
    <w:p>
      <w:pPr>
        <w:spacing w:after="0" w:line="2"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Title:</w:t>
      </w:r>
    </w:p>
    <w:p>
      <w:pPr>
        <w:spacing w:after="0" w:line="194" w:lineRule="exact"/>
        <w:rPr>
          <w:sz w:val="20"/>
          <w:szCs w:val="20"/>
          <w:color w:val="auto"/>
        </w:rPr>
      </w:pPr>
    </w:p>
    <w:p>
      <w:pPr>
        <w:ind w:left="5540"/>
        <w:spacing w:after="0"/>
        <w:rPr>
          <w:sz w:val="20"/>
          <w:szCs w:val="20"/>
          <w:color w:val="auto"/>
        </w:rPr>
      </w:pPr>
      <w:r>
        <w:rPr>
          <w:rFonts w:ascii="Arial" w:cs="Arial" w:eastAsia="Arial" w:hAnsi="Arial"/>
          <w:sz w:val="16"/>
          <w:szCs w:val="16"/>
          <w:b w:val="1"/>
          <w:bCs w:val="1"/>
          <w:color w:val="auto"/>
        </w:rPr>
        <w:t>Grantee Acknowledgment and Acceptance</w:t>
      </w:r>
    </w:p>
    <w:p>
      <w:pPr>
        <w:spacing w:after="0" w:line="281"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293370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59"/>
          </w:cols>
          <w:pgMar w:left="400" w:top="954" w:right="1440" w:bottom="1440" w:gutter="0" w:footer="0" w:header="0"/>
        </w:sectPr>
      </w:pPr>
    </w:p>
    <w:bookmarkStart w:id="108" w:name="page109"/>
    <w:bookmarkEnd w:id="108"/>
    <w:p>
      <w:pPr>
        <w:ind w:left="4180"/>
        <w:spacing w:after="0"/>
        <w:rPr>
          <w:sz w:val="20"/>
          <w:szCs w:val="20"/>
          <w:color w:val="auto"/>
        </w:rPr>
      </w:pPr>
      <w:r>
        <w:rPr>
          <w:rFonts w:ascii="Arial" w:cs="Arial" w:eastAsia="Arial" w:hAnsi="Arial"/>
          <w:sz w:val="20"/>
          <w:szCs w:val="20"/>
          <w:b w:val="1"/>
          <w:bCs w:val="1"/>
          <w:color w:val="auto"/>
        </w:rPr>
        <w:t>EXHIBIT A PERFORMANCE</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CONDITION</w:t>
      </w:r>
    </w:p>
    <w:p>
      <w:pPr>
        <w:ind w:left="140" w:right="140"/>
        <w:spacing w:after="0" w:line="244" w:lineRule="auto"/>
        <w:rPr>
          <w:sz w:val="20"/>
          <w:szCs w:val="20"/>
          <w:color w:val="auto"/>
        </w:rPr>
      </w:pPr>
      <w:r>
        <w:rPr>
          <w:rFonts w:ascii="Arial" w:cs="Arial" w:eastAsia="Arial" w:hAnsi="Arial"/>
          <w:sz w:val="20"/>
          <w:szCs w:val="20"/>
          <w:color w:val="auto"/>
        </w:rPr>
        <w:t xml:space="preserve">Subject to Section 4 of this Agreement, the number of PSUs as to which the Performance Condition is satisfied and that will be considered Earned PSUs will be determined as set forth below in this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Performance Period: </w:t>
      </w:r>
      <w:r>
        <w:rPr>
          <w:rFonts w:ascii="Arial" w:cs="Arial" w:eastAsia="Arial" w:hAnsi="Arial"/>
          <w:sz w:val="20"/>
          <w:szCs w:val="20"/>
          <w:color w:val="auto"/>
        </w:rPr>
        <w:t>Four fiscal quarters ending June 25, 2022</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Definition of Non-GAAP Earnings Per Share</w:t>
      </w:r>
    </w:p>
    <w:p>
      <w:pPr>
        <w:spacing w:after="0" w:line="216" w:lineRule="exact"/>
        <w:rPr>
          <w:sz w:val="20"/>
          <w:szCs w:val="20"/>
          <w:color w:val="auto"/>
        </w:rPr>
      </w:pPr>
    </w:p>
    <w:p>
      <w:pPr>
        <w:jc w:val="both"/>
        <w:ind w:left="140" w:righ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Non-GAAP Earnings Per Share</w:t>
      </w:r>
      <w:r>
        <w:rPr>
          <w:rFonts w:ascii="Arial" w:cs="Arial" w:eastAsia="Arial" w:hAnsi="Arial"/>
          <w:sz w:val="20"/>
          <w:szCs w:val="20"/>
          <w:color w:val="auto"/>
        </w:rPr>
        <w:t>” shall be GAAP net income (loss) per share (diluted) + acquisition and related costs + share-based compensation expense + restructuring costs + other non-cash items (net) + equity investment loss + non-GAAP tax adjustments + non-GAAP share adjustments.</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Permitted Adjustments</w:t>
      </w:r>
    </w:p>
    <w:p>
      <w:pPr>
        <w:spacing w:after="0" w:line="22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Non-GAAP Earnings Per Share shall be adjusted for the following non-recurring items or events:</w:t>
      </w:r>
    </w:p>
    <w:p>
      <w:pPr>
        <w:spacing w:after="0" w:line="216" w:lineRule="exact"/>
        <w:rPr>
          <w:sz w:val="20"/>
          <w:szCs w:val="20"/>
          <w:color w:val="auto"/>
        </w:rPr>
      </w:pPr>
    </w:p>
    <w:p>
      <w:pPr>
        <w:ind w:left="980" w:hanging="419"/>
        <w:spacing w:after="0"/>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charges, costs or benefits or gains associated with restructurings of the Company;</w:t>
      </w:r>
    </w:p>
    <w:p>
      <w:pPr>
        <w:spacing w:after="0" w:line="15" w:lineRule="exact"/>
        <w:rPr>
          <w:rFonts w:ascii="Arial" w:cs="Arial" w:eastAsia="Arial" w:hAnsi="Arial"/>
          <w:sz w:val="20"/>
          <w:szCs w:val="20"/>
          <w:color w:val="auto"/>
        </w:rPr>
      </w:pPr>
    </w:p>
    <w:p>
      <w:pPr>
        <w:ind w:left="980" w:hanging="419"/>
        <w:spacing w:after="0" w:line="225"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litigation or claim adjudication, judgments or settlements;</w:t>
      </w:r>
    </w:p>
    <w:p>
      <w:pPr>
        <w:ind w:left="980" w:hanging="419"/>
        <w:spacing w:after="0" w:line="225"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share purchases occurring during the period (both in respect of timing and volume);</w:t>
      </w:r>
    </w:p>
    <w:p>
      <w:pPr>
        <w:ind w:left="980" w:hanging="419"/>
        <w:spacing w:after="0"/>
        <w:tabs>
          <w:tab w:leader="none" w:pos="9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mergers, acquisitions, spin-off transaction costs, or divestitures (including shares issued in connection with such events);</w:t>
      </w:r>
    </w:p>
    <w:p>
      <w:pPr>
        <w:spacing w:after="0" w:line="11" w:lineRule="exact"/>
        <w:rPr>
          <w:rFonts w:ascii="Arial" w:cs="Arial" w:eastAsia="Arial" w:hAnsi="Arial"/>
          <w:sz w:val="19"/>
          <w:szCs w:val="19"/>
          <w:color w:val="auto"/>
        </w:rPr>
      </w:pPr>
    </w:p>
    <w:p>
      <w:pPr>
        <w:ind w:left="980" w:hanging="419"/>
        <w:spacing w:after="0" w:line="225"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material changes in business, operations, corporate or capital structure;</w:t>
      </w:r>
    </w:p>
    <w:p>
      <w:pPr>
        <w:ind w:left="980" w:hanging="419"/>
        <w:spacing w:after="0" w:line="225"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non-operating/non-cash gains/losses;</w:t>
      </w:r>
    </w:p>
    <w:p>
      <w:pPr>
        <w:ind w:left="980" w:hanging="419"/>
        <w:spacing w:after="0" w:line="225"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foreign exchange gains and losses outside of norms;</w:t>
      </w:r>
    </w:p>
    <w:p>
      <w:pPr>
        <w:ind w:left="980" w:hanging="419"/>
        <w:spacing w:after="0" w:line="225"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derivative-related gains and losses;</w:t>
      </w:r>
    </w:p>
    <w:p>
      <w:pPr>
        <w:ind w:left="980" w:hanging="419"/>
        <w:spacing w:after="0" w:line="225"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charges and costs associated with asset or other write-downs and impairments;</w:t>
      </w:r>
    </w:p>
    <w:p>
      <w:pPr>
        <w:ind w:left="980" w:hanging="419"/>
        <w:spacing w:after="0" w:line="225"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charges associated with in-process research and development write-offs in asset acquisitions;</w:t>
      </w:r>
    </w:p>
    <w:p>
      <w:pPr>
        <w:ind w:left="980" w:hanging="419"/>
        <w:spacing w:after="0" w:line="225"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charges associated with non-recurring phantom stock programs;</w:t>
      </w:r>
    </w:p>
    <w:p>
      <w:pPr>
        <w:ind w:left="560"/>
        <w:spacing w:after="0"/>
        <w:tabs>
          <w:tab w:leader="none" w:pos="96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the movement of an operation into discontinued operations or its sale after the start of the Performance Period;</w:t>
      </w:r>
    </w:p>
    <w:p>
      <w:pPr>
        <w:ind w:left="980" w:hanging="419"/>
        <w:spacing w:after="0"/>
        <w:tabs>
          <w:tab w:leader="none" w:pos="9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adjustments to prior year tax liabilities or to the Company’s long-term GAAP tax rate; and</w:t>
      </w:r>
    </w:p>
    <w:p>
      <w:pPr>
        <w:ind w:left="980" w:hanging="419"/>
        <w:spacing w:after="0"/>
        <w:tabs>
          <w:tab w:leader="none" w:pos="9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cumulative effects of accounting changes.</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Scaling for Performance Above/Below Target</w:t>
      </w:r>
    </w:p>
    <w:p>
      <w:pPr>
        <w:spacing w:after="0" w:line="222" w:lineRule="exact"/>
        <w:rPr>
          <w:sz w:val="20"/>
          <w:szCs w:val="20"/>
          <w:color w:val="auto"/>
        </w:rPr>
      </w:pPr>
    </w:p>
    <w:p>
      <w:pPr>
        <w:jc w:val="both"/>
        <w:ind w:left="140" w:right="300"/>
        <w:spacing w:after="0" w:line="385" w:lineRule="auto"/>
        <w:rPr>
          <w:sz w:val="20"/>
          <w:szCs w:val="20"/>
          <w:color w:val="auto"/>
        </w:rPr>
      </w:pPr>
      <w:r>
        <w:rPr>
          <w:rFonts w:ascii="Arial" w:cs="Arial" w:eastAsia="Arial" w:hAnsi="Arial"/>
          <w:sz w:val="16"/>
          <w:szCs w:val="16"/>
          <w:color w:val="auto"/>
        </w:rPr>
        <w:t>The Committee will determine the number of PSUs that satisfy the Performance-Based Vesting Condition during the Performance Period based on the following goals (with earned amounts based on linear interpolation for performance levels in between the following goals):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440" w:type="dxa"/>
            <w:vAlign w:val="bottom"/>
            <w:tcBorders>
              <w:right w:val="single" w:sz="8" w:color="auto"/>
            </w:tcBorders>
          </w:tcPr>
          <w:p>
            <w:pPr>
              <w:spacing w:after="0"/>
              <w:rPr>
                <w:sz w:val="23"/>
                <w:szCs w:val="23"/>
                <w:color w:val="auto"/>
              </w:rPr>
            </w:pPr>
          </w:p>
        </w:tc>
        <w:tc>
          <w:tcPr>
            <w:tcW w:w="2160" w:type="dxa"/>
            <w:vAlign w:val="bottom"/>
            <w:tcBorders>
              <w:top w:val="single" w:sz="8" w:color="auto"/>
              <w:right w:val="single" w:sz="8" w:color="auto"/>
            </w:tcBorders>
            <w:shd w:val="clear" w:color="auto" w:fill="BEBEBE"/>
          </w:tcPr>
          <w:p>
            <w:pPr>
              <w:ind w:left="100"/>
              <w:spacing w:after="0"/>
              <w:rPr>
                <w:sz w:val="20"/>
                <w:szCs w:val="20"/>
                <w:color w:val="auto"/>
              </w:rPr>
            </w:pPr>
            <w:r>
              <w:rPr>
                <w:rFonts w:ascii="Arial" w:cs="Arial" w:eastAsia="Arial" w:hAnsi="Arial"/>
                <w:sz w:val="20"/>
                <w:szCs w:val="20"/>
                <w:b w:val="1"/>
                <w:bCs w:val="1"/>
                <w:color w:val="auto"/>
              </w:rPr>
              <w:t>Achievement Level</w:t>
            </w:r>
          </w:p>
        </w:tc>
        <w:tc>
          <w:tcPr>
            <w:tcW w:w="2140" w:type="dxa"/>
            <w:vAlign w:val="bottom"/>
            <w:tcBorders>
              <w:top w:val="single" w:sz="8" w:color="auto"/>
              <w:right w:val="single" w:sz="8" w:color="auto"/>
            </w:tcBorders>
            <w:shd w:val="clear" w:color="auto" w:fill="BEBEBE"/>
          </w:tcPr>
          <w:p>
            <w:pPr>
              <w:ind w:left="80"/>
              <w:spacing w:after="0"/>
              <w:rPr>
                <w:sz w:val="20"/>
                <w:szCs w:val="20"/>
                <w:color w:val="auto"/>
              </w:rPr>
            </w:pPr>
            <w:r>
              <w:rPr>
                <w:rFonts w:ascii="Arial" w:cs="Arial" w:eastAsia="Arial" w:hAnsi="Arial"/>
                <w:sz w:val="20"/>
                <w:szCs w:val="20"/>
                <w:b w:val="1"/>
                <w:bCs w:val="1"/>
                <w:color w:val="auto"/>
              </w:rPr>
              <w:t>Non-GAAP EPS</w:t>
            </w:r>
          </w:p>
        </w:tc>
        <w:tc>
          <w:tcPr>
            <w:tcW w:w="2160" w:type="dxa"/>
            <w:vAlign w:val="bottom"/>
            <w:tcBorders>
              <w:top w:val="single" w:sz="8" w:color="auto"/>
              <w:right w:val="single" w:sz="8" w:color="auto"/>
            </w:tcBorders>
            <w:shd w:val="clear" w:color="auto" w:fill="BEBEBE"/>
          </w:tcPr>
          <w:p>
            <w:pPr>
              <w:ind w:left="100"/>
              <w:spacing w:after="0"/>
              <w:rPr>
                <w:sz w:val="20"/>
                <w:szCs w:val="20"/>
                <w:color w:val="auto"/>
              </w:rPr>
            </w:pPr>
            <w:r>
              <w:rPr>
                <w:rFonts w:ascii="Arial" w:cs="Arial" w:eastAsia="Arial" w:hAnsi="Arial"/>
                <w:sz w:val="20"/>
                <w:szCs w:val="20"/>
                <w:b w:val="1"/>
                <w:bCs w:val="1"/>
                <w:color w:val="auto"/>
              </w:rPr>
              <w:t>PSUs Earned</w:t>
            </w:r>
          </w:p>
        </w:tc>
        <w:tc>
          <w:tcPr>
            <w:tcW w:w="3360" w:type="dxa"/>
            <w:vAlign w:val="bottom"/>
          </w:tcPr>
          <w:p>
            <w:pPr>
              <w:spacing w:after="0"/>
              <w:rPr>
                <w:sz w:val="23"/>
                <w:szCs w:val="23"/>
                <w:color w:val="auto"/>
              </w:rPr>
            </w:pPr>
          </w:p>
        </w:tc>
      </w:tr>
      <w:tr>
        <w:trPr>
          <w:trHeight w:val="176"/>
        </w:trPr>
        <w:tc>
          <w:tcPr>
            <w:tcW w:w="1440" w:type="dxa"/>
            <w:vAlign w:val="bottom"/>
            <w:tcBorders>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shd w:val="clear" w:color="auto" w:fill="BEBEBE"/>
          </w:tcPr>
          <w:p>
            <w:pPr>
              <w:spacing w:after="0"/>
              <w:rPr>
                <w:sz w:val="15"/>
                <w:szCs w:val="15"/>
                <w:color w:val="auto"/>
              </w:rPr>
            </w:pPr>
          </w:p>
        </w:tc>
        <w:tc>
          <w:tcPr>
            <w:tcW w:w="2140" w:type="dxa"/>
            <w:vAlign w:val="bottom"/>
            <w:tcBorders>
              <w:bottom w:val="single" w:sz="8" w:color="auto"/>
              <w:right w:val="single" w:sz="8" w:color="auto"/>
            </w:tcBorders>
            <w:shd w:val="clear" w:color="auto" w:fill="BEBEBE"/>
          </w:tcPr>
          <w:p>
            <w:pPr>
              <w:spacing w:after="0"/>
              <w:rPr>
                <w:sz w:val="15"/>
                <w:szCs w:val="15"/>
                <w:color w:val="auto"/>
              </w:rPr>
            </w:pPr>
          </w:p>
        </w:tc>
        <w:tc>
          <w:tcPr>
            <w:tcW w:w="2160" w:type="dxa"/>
            <w:vAlign w:val="bottom"/>
            <w:tcBorders>
              <w:bottom w:val="single" w:sz="8" w:color="auto"/>
              <w:right w:val="single" w:sz="8" w:color="auto"/>
            </w:tcBorders>
            <w:shd w:val="clear" w:color="auto" w:fill="BEBEBE"/>
          </w:tcPr>
          <w:p>
            <w:pPr>
              <w:spacing w:after="0"/>
              <w:rPr>
                <w:sz w:val="15"/>
                <w:szCs w:val="15"/>
                <w:color w:val="auto"/>
              </w:rPr>
            </w:pPr>
          </w:p>
        </w:tc>
        <w:tc>
          <w:tcPr>
            <w:tcW w:w="3360" w:type="dxa"/>
            <w:vAlign w:val="bottom"/>
          </w:tcPr>
          <w:p>
            <w:pPr>
              <w:spacing w:after="0"/>
              <w:rPr>
                <w:sz w:val="15"/>
                <w:szCs w:val="15"/>
                <w:color w:val="auto"/>
              </w:rPr>
            </w:pPr>
          </w:p>
        </w:tc>
      </w:tr>
      <w:tr>
        <w:trPr>
          <w:trHeight w:val="244"/>
        </w:trPr>
        <w:tc>
          <w:tcPr>
            <w:tcW w:w="14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Threshold</w:t>
            </w: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 (65% of Target)</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0</w:t>
            </w:r>
          </w:p>
        </w:tc>
        <w:tc>
          <w:tcPr>
            <w:tcW w:w="3360" w:type="dxa"/>
            <w:vAlign w:val="bottom"/>
          </w:tcPr>
          <w:p>
            <w:pPr>
              <w:spacing w:after="0"/>
              <w:rPr>
                <w:sz w:val="21"/>
                <w:szCs w:val="21"/>
                <w:color w:val="auto"/>
              </w:rPr>
            </w:pPr>
          </w:p>
        </w:tc>
      </w:tr>
      <w:tr>
        <w:trPr>
          <w:trHeight w:val="411"/>
        </w:trPr>
        <w:tc>
          <w:tcPr>
            <w:tcW w:w="1440" w:type="dxa"/>
            <w:vAlign w:val="bottom"/>
            <w:tcBorders>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3360" w:type="dxa"/>
            <w:vAlign w:val="bottom"/>
          </w:tcPr>
          <w:p>
            <w:pPr>
              <w:spacing w:after="0"/>
              <w:rPr>
                <w:sz w:val="24"/>
                <w:szCs w:val="24"/>
                <w:color w:val="auto"/>
              </w:rPr>
            </w:pPr>
          </w:p>
        </w:tc>
      </w:tr>
      <w:tr>
        <w:trPr>
          <w:trHeight w:val="206"/>
        </w:trPr>
        <w:tc>
          <w:tcPr>
            <w:tcW w:w="144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Target</w:t>
            </w:r>
          </w:p>
        </w:tc>
        <w:tc>
          <w:tcPr>
            <w:tcW w:w="21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Target Number of</w:t>
            </w:r>
          </w:p>
        </w:tc>
        <w:tc>
          <w:tcPr>
            <w:tcW w:w="3360" w:type="dxa"/>
            <w:vAlign w:val="bottom"/>
          </w:tcPr>
          <w:p>
            <w:pPr>
              <w:spacing w:after="0"/>
              <w:rPr>
                <w:sz w:val="17"/>
                <w:szCs w:val="17"/>
                <w:color w:val="auto"/>
              </w:rPr>
            </w:pPr>
          </w:p>
        </w:tc>
      </w:tr>
      <w:tr>
        <w:trPr>
          <w:trHeight w:val="230"/>
        </w:trPr>
        <w:tc>
          <w:tcPr>
            <w:tcW w:w="144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PSUs, as set forth in</w:t>
            </w:r>
          </w:p>
        </w:tc>
        <w:tc>
          <w:tcPr>
            <w:tcW w:w="3360" w:type="dxa"/>
            <w:vAlign w:val="bottom"/>
          </w:tcPr>
          <w:p>
            <w:pPr>
              <w:spacing w:after="0"/>
              <w:rPr>
                <w:sz w:val="19"/>
                <w:szCs w:val="19"/>
                <w:color w:val="auto"/>
              </w:rPr>
            </w:pPr>
          </w:p>
        </w:tc>
      </w:tr>
      <w:tr>
        <w:trPr>
          <w:trHeight w:val="250"/>
        </w:trPr>
        <w:tc>
          <w:tcPr>
            <w:tcW w:w="14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Grant Notice</w:t>
            </w:r>
          </w:p>
        </w:tc>
        <w:tc>
          <w:tcPr>
            <w:tcW w:w="3360" w:type="dxa"/>
            <w:vAlign w:val="bottom"/>
          </w:tcPr>
          <w:p>
            <w:pPr>
              <w:spacing w:after="0"/>
              <w:rPr>
                <w:sz w:val="21"/>
                <w:szCs w:val="21"/>
                <w:color w:val="auto"/>
              </w:rPr>
            </w:pPr>
          </w:p>
        </w:tc>
      </w:tr>
      <w:tr>
        <w:trPr>
          <w:trHeight w:val="198"/>
        </w:trPr>
        <w:tc>
          <w:tcPr>
            <w:tcW w:w="1440" w:type="dxa"/>
            <w:vAlign w:val="bottom"/>
            <w:tcBorders>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r>
        <w:trPr>
          <w:trHeight w:val="568"/>
        </w:trPr>
        <w:tc>
          <w:tcPr>
            <w:tcW w:w="14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14" w:right="319" w:bottom="1440" w:gutter="0" w:footer="0" w:header="0"/>
        </w:sectPr>
      </w:pPr>
    </w:p>
    <w:bookmarkStart w:id="109" w:name="page110"/>
    <w:bookmarkEnd w:id="109"/>
    <w:tbl>
      <w:tblPr>
        <w:tblLayout w:type="fixed"/>
        <w:tblInd w:w="310" w:type="dxa"/>
        <w:tblCellMar>
          <w:top w:w="0" w:type="dxa"/>
          <w:left w:w="0" w:type="dxa"/>
          <w:bottom w:w="0" w:type="dxa"/>
          <w:right w:w="0" w:type="dxa"/>
        </w:tblCellMar>
      </w:tblPr>
      <w:tr>
        <w:trPr>
          <w:trHeight w:val="226"/>
        </w:trPr>
        <w:tc>
          <w:tcPr>
            <w:tcW w:w="2180" w:type="dxa"/>
            <w:vAlign w:val="bottom"/>
            <w:tcBorders>
              <w:top w:val="single" w:sz="8" w:color="auto"/>
              <w:left w:val="single" w:sz="8" w:color="auto"/>
              <w:right w:val="single" w:sz="8" w:color="auto"/>
            </w:tcBorders>
          </w:tcPr>
          <w:p>
            <w:pPr>
              <w:ind w:left="120"/>
              <w:spacing w:after="0" w:line="227" w:lineRule="exact"/>
              <w:rPr>
                <w:sz w:val="20"/>
                <w:szCs w:val="20"/>
                <w:color w:val="auto"/>
              </w:rPr>
            </w:pPr>
            <w:r>
              <w:rPr>
                <w:rFonts w:ascii="Arial" w:cs="Arial" w:eastAsia="Arial" w:hAnsi="Arial"/>
                <w:sz w:val="20"/>
                <w:szCs w:val="20"/>
                <w:color w:val="auto"/>
              </w:rPr>
              <w:t>Maximum</w:t>
            </w:r>
          </w:p>
        </w:tc>
        <w:tc>
          <w:tcPr>
            <w:tcW w:w="2140" w:type="dxa"/>
            <w:vAlign w:val="bottom"/>
            <w:tcBorders>
              <w:top w:val="single" w:sz="8" w:color="auto"/>
              <w:right w:val="single" w:sz="8" w:color="auto"/>
            </w:tcBorders>
          </w:tcPr>
          <w:p>
            <w:pPr>
              <w:ind w:left="80"/>
              <w:spacing w:after="0" w:line="227" w:lineRule="exact"/>
              <w:rPr>
                <w:sz w:val="20"/>
                <w:szCs w:val="20"/>
                <w:color w:val="auto"/>
              </w:rPr>
            </w:pPr>
            <w:r>
              <w:rPr>
                <w:rFonts w:ascii="Arial" w:cs="Arial" w:eastAsia="Arial" w:hAnsi="Arial"/>
                <w:sz w:val="20"/>
                <w:szCs w:val="20"/>
                <w:color w:val="auto"/>
              </w:rPr>
              <w:t>$[] (135% of Target)</w:t>
            </w:r>
          </w:p>
        </w:tc>
        <w:tc>
          <w:tcPr>
            <w:tcW w:w="2160" w:type="dxa"/>
            <w:vAlign w:val="bottom"/>
            <w:tcBorders>
              <w:top w:val="single" w:sz="8" w:color="auto"/>
              <w:right w:val="single" w:sz="8" w:color="auto"/>
            </w:tcBorders>
          </w:tcPr>
          <w:p>
            <w:pPr>
              <w:ind w:left="100"/>
              <w:spacing w:after="0" w:line="227" w:lineRule="exact"/>
              <w:rPr>
                <w:sz w:val="20"/>
                <w:szCs w:val="20"/>
                <w:color w:val="auto"/>
              </w:rPr>
            </w:pPr>
            <w:r>
              <w:rPr>
                <w:rFonts w:ascii="Arial" w:cs="Arial" w:eastAsia="Arial" w:hAnsi="Arial"/>
                <w:sz w:val="20"/>
                <w:szCs w:val="20"/>
                <w:color w:val="auto"/>
              </w:rPr>
              <w:t>200% of the Target</w:t>
            </w:r>
          </w:p>
        </w:tc>
      </w:tr>
      <w:tr>
        <w:trPr>
          <w:trHeight w:val="250"/>
        </w:trPr>
        <w:tc>
          <w:tcPr>
            <w:tcW w:w="218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Number of PSUs</w:t>
            </w:r>
          </w:p>
        </w:tc>
      </w:tr>
      <w:tr>
        <w:trPr>
          <w:trHeight w:val="198"/>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578"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6920" w:type="dxa"/>
            <w:vAlign w:val="bottom"/>
            <w:gridSpan w:val="3"/>
          </w:tcPr>
          <w:p>
            <w:pPr>
              <w:ind w:left="560"/>
              <w:spacing w:after="0"/>
              <w:rPr>
                <w:sz w:val="20"/>
                <w:szCs w:val="20"/>
                <w:color w:val="auto"/>
              </w:rPr>
            </w:pPr>
            <w:r>
              <w:rPr>
                <w:rFonts w:ascii="Arial" w:cs="Arial" w:eastAsia="Arial" w:hAnsi="Arial"/>
                <w:sz w:val="18"/>
                <w:szCs w:val="18"/>
                <w:b w:val="1"/>
                <w:bCs w:val="1"/>
                <w:color w:val="auto"/>
              </w:rPr>
              <w:t>List of Subsidiaries</w:t>
            </w:r>
          </w:p>
        </w:tc>
      </w:tr>
      <w:tr>
        <w:trPr>
          <w:trHeight w:val="427"/>
        </w:trPr>
        <w:tc>
          <w:tcPr>
            <w:tcW w:w="4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rPr>
              <w:t>STATE OR JURISDICTION</w:t>
            </w:r>
          </w:p>
        </w:tc>
      </w:tr>
      <w:tr>
        <w:trPr>
          <w:trHeight w:val="234"/>
        </w:trPr>
        <w:tc>
          <w:tcPr>
            <w:tcW w:w="43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rPr>
              <w:t>NAME</w:t>
            </w:r>
          </w:p>
        </w:tc>
        <w:tc>
          <w:tcPr>
            <w:tcW w:w="10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OF ORGANIZATION</w:t>
            </w:r>
          </w:p>
        </w:tc>
      </w:tr>
      <w:tr>
        <w:trPr>
          <w:trHeight w:val="318"/>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98"/>
              </w:rPr>
              <w:t>DisplayLink (UK) Limited</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324"/>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89"/>
              </w:rPr>
              <w:t>Synaptics Japan GK</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81"/>
              </w:rPr>
              <w:t>Japan</w:t>
            </w:r>
          </w:p>
        </w:tc>
      </w:tr>
      <w:tr>
        <w:trPr>
          <w:trHeight w:val="324"/>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92"/>
              </w:rPr>
              <w:t>Synaptics Holding GmbH</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324"/>
        </w:trPr>
        <w:tc>
          <w:tcPr>
            <w:tcW w:w="4320" w:type="dxa"/>
            <w:vAlign w:val="bottom"/>
          </w:tcPr>
          <w:p>
            <w:pPr>
              <w:jc w:val="center"/>
              <w:ind w:left="910"/>
              <w:spacing w:after="0"/>
              <w:rPr>
                <w:sz w:val="20"/>
                <w:szCs w:val="20"/>
                <w:color w:val="auto"/>
              </w:rPr>
            </w:pPr>
            <w:r>
              <w:rPr>
                <w:rFonts w:ascii="Arial" w:cs="Arial" w:eastAsia="Arial" w:hAnsi="Arial"/>
                <w:sz w:val="18"/>
                <w:szCs w:val="18"/>
                <w:color w:val="auto"/>
                <w:w w:val="93"/>
              </w:rPr>
              <w:t>Synaptics Hong Kong Limited</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324"/>
        </w:trPr>
        <w:tc>
          <w:tcPr>
            <w:tcW w:w="4320" w:type="dxa"/>
            <w:vAlign w:val="bottom"/>
          </w:tcPr>
          <w:p>
            <w:pPr>
              <w:jc w:val="center"/>
              <w:ind w:left="910"/>
              <w:spacing w:after="0"/>
              <w:rPr>
                <w:sz w:val="20"/>
                <w:szCs w:val="20"/>
                <w:color w:val="auto"/>
              </w:rPr>
            </w:pPr>
            <w:r>
              <w:rPr>
                <w:rFonts w:ascii="Arial" w:cs="Arial" w:eastAsia="Arial" w:hAnsi="Arial"/>
                <w:sz w:val="18"/>
                <w:szCs w:val="18"/>
                <w:color w:val="auto"/>
                <w:w w:val="93"/>
              </w:rPr>
              <w:t>Synaptics LLC</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240"/>
          </w:cols>
          <w:pgMar w:left="320" w:top="36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Synaptics Incorporated:</w:t>
      </w:r>
    </w:p>
    <w:p>
      <w:pPr>
        <w:spacing w:after="0" w:line="2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(Nos. 333-170401, 333-193470, 333-214950, 333-221585, 333-228118, 333-233338, 333-234437, and 333-249793) on Form S-8 and (No. 333-115274) on Form S-4 of Synaptics Incorporated (the Company) of our report dated August 20, 2021, with respect to the consolidated balance sheets of Synaptics Incorporated as of June 26, 2021 and June 27, 2020, and the related consolidated statements of operations, comprehensive income/(loss), stockholders’ equity, and cash flows for each of the fiscal years in the three fiscal year period ended June 26, 2021, and the related notes, and the effectiveness of internal control over financial reporting as of June 26, 2021, which report appears in the June 26, 2021 annual report on Form 10-K of Synaptics Incorporated.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E. Hurlston, certify that:</w:t>
      </w:r>
    </w:p>
    <w:p>
      <w:pPr>
        <w:spacing w:after="0" w:line="117"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Synaptics Incorporated;</w:t>
      </w:r>
    </w:p>
    <w:p>
      <w:pPr>
        <w:spacing w:after="0" w:line="117" w:lineRule="exact"/>
        <w:rPr>
          <w:rFonts w:ascii="Arial" w:cs="Arial" w:eastAsia="Arial" w:hAnsi="Arial"/>
          <w:sz w:val="18"/>
          <w:szCs w:val="18"/>
          <w:color w:val="auto"/>
        </w:rPr>
      </w:pPr>
    </w:p>
    <w:p>
      <w:pPr>
        <w:jc w:val="both"/>
        <w:ind w:left="540" w:hanging="532"/>
        <w:spacing w:after="0" w:line="263"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40" w:hanging="532"/>
        <w:spacing w:after="0" w:line="308"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40" w:hanging="532"/>
        <w:spacing w:after="0" w:line="263"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1"/>
        <w:spacing w:after="0" w:line="263" w:lineRule="auto"/>
        <w:tabs>
          <w:tab w:leader="none" w:pos="1332"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1"/>
        <w:spacing w:after="0" w:line="263" w:lineRule="auto"/>
        <w:tabs>
          <w:tab w:leader="none" w:pos="130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1"/>
        <w:spacing w:after="0" w:line="342" w:lineRule="auto"/>
        <w:tabs>
          <w:tab w:leader="none" w:pos="1298"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1"/>
        <w:spacing w:after="0" w:line="263" w:lineRule="auto"/>
        <w:tabs>
          <w:tab w:leader="none" w:pos="1306"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40" w:right="20" w:hanging="532"/>
        <w:spacing w:after="0" w:line="308"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1"/>
        <w:spacing w:after="0" w:line="308" w:lineRule="auto"/>
        <w:tabs>
          <w:tab w:leader="none" w:pos="131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1"/>
        <w:spacing w:after="0" w:line="277" w:lineRule="auto"/>
        <w:tabs>
          <w:tab w:leader="none" w:pos="1302"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2021</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E. Hurlston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Dean Butler, certify that:</w:t>
      </w:r>
    </w:p>
    <w:p>
      <w:pPr>
        <w:spacing w:after="0" w:line="117"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Synaptics Incorporated;</w:t>
      </w:r>
    </w:p>
    <w:p>
      <w:pPr>
        <w:spacing w:after="0" w:line="117" w:lineRule="exact"/>
        <w:rPr>
          <w:rFonts w:ascii="Arial" w:cs="Arial" w:eastAsia="Arial" w:hAnsi="Arial"/>
          <w:sz w:val="18"/>
          <w:szCs w:val="18"/>
          <w:color w:val="auto"/>
        </w:rPr>
      </w:pPr>
    </w:p>
    <w:p>
      <w:pPr>
        <w:jc w:val="both"/>
        <w:ind w:left="540" w:hanging="532"/>
        <w:spacing w:after="0" w:line="263"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40" w:hanging="532"/>
        <w:spacing w:after="0" w:line="308" w:lineRule="auto"/>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40" w:hanging="532"/>
        <w:spacing w:after="0" w:line="263"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1"/>
        <w:spacing w:after="0" w:line="263" w:lineRule="auto"/>
        <w:tabs>
          <w:tab w:leader="none" w:pos="1332"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1"/>
        <w:spacing w:after="0" w:line="263" w:lineRule="auto"/>
        <w:tabs>
          <w:tab w:leader="none" w:pos="130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1"/>
        <w:spacing w:after="0" w:line="342" w:lineRule="auto"/>
        <w:tabs>
          <w:tab w:leader="none" w:pos="1298"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1"/>
        <w:spacing w:after="0" w:line="263" w:lineRule="auto"/>
        <w:tabs>
          <w:tab w:leader="none" w:pos="1306"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40" w:right="20" w:hanging="532"/>
        <w:spacing w:after="0" w:line="308" w:lineRule="auto"/>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1"/>
        <w:spacing w:after="0" w:line="308" w:lineRule="auto"/>
        <w:tabs>
          <w:tab w:leader="none" w:pos="131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1"/>
        <w:spacing w:after="0" w:line="277" w:lineRule="auto"/>
        <w:tabs>
          <w:tab w:leader="none" w:pos="1302"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2021</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Dean Butler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In connection with the Annual Report on Form 10-K of Synaptics Incorporated (the “Company”) for the year ended June 26, 2021 as filed with the Securities and Exchange Commission on the date hereof (the “Report”), I, Michael E. Hurlston, President and Chief Executive Officer of the Company, certify, to the best of my knowledge and belief, pursuant to 18 U.S.C. § 1350, as adopted pursuant to § 906 of the Sarbanes-Oxley Act of 2002, that:</w:t>
      </w:r>
    </w:p>
    <w:p>
      <w:pPr>
        <w:spacing w:after="0" w:line="41" w:lineRule="exact"/>
        <w:rPr>
          <w:sz w:val="20"/>
          <w:szCs w:val="20"/>
          <w:color w:val="auto"/>
        </w:rPr>
      </w:pPr>
    </w:p>
    <w:p>
      <w:pPr>
        <w:ind w:left="10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E. Hurlston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August 20, 2021</w:t>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In connection with the Annual Report on Form 10-K of Synaptics Incorporated (the “Company”) for the year ended June 26, 2021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57" w:lineRule="exact"/>
        <w:rPr>
          <w:sz w:val="20"/>
          <w:szCs w:val="20"/>
          <w:color w:val="auto"/>
        </w:rPr>
      </w:pPr>
    </w:p>
    <w:p>
      <w:pPr>
        <w:ind w:left="10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Dean Butler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August 20,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lowerRoman"/>
      <w:start w:val="4"/>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lowerLetter"/>
      <w:start w:val="1"/>
    </w:lvl>
    <w:lvl w:ilvl="1">
      <w:lvlJc w:val="left"/>
      <w:lvlText w:val="(%2)"/>
      <w:numFmt w:val="decimal"/>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lvl w:ilvl="1">
      <w:lvlJc w:val="left"/>
      <w:lvlText w:val="●"/>
      <w:numFmt w:val="bullet"/>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decimal"/>
      <w:start w:val="2"/>
    </w:lvl>
  </w:abstractNum>
  <w:abstractNum w:abstractNumId="30">
    <w:nsid w:val="57E4CCAF"/>
    <w:multiLevelType w:val="hybridMultilevel"/>
    <w:lvl w:ilvl="0">
      <w:lvlJc w:val="left"/>
      <w:lvlText w:val="%1."/>
      <w:numFmt w:val="decimal"/>
      <w:start w:val="3"/>
    </w:lvl>
  </w:abstractNum>
  <w:abstractNum w:abstractNumId="31">
    <w:nsid w:val="7A6D8D3C"/>
    <w:multiLevelType w:val="hybridMultilevel"/>
    <w:lvl w:ilvl="0">
      <w:lvlJc w:val="left"/>
      <w:lvlText w:val="%1."/>
      <w:numFmt w:val="decimal"/>
      <w:start w:val="4"/>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5"/>
    </w:lvl>
  </w:abstractNum>
  <w:abstractNum w:abstractNumId="34">
    <w:nsid w:val="6DE91B18"/>
    <w:multiLevelType w:val="hybridMultilevel"/>
    <w:lvl w:ilvl="0">
      <w:lvlJc w:val="left"/>
      <w:lvlText w:val="%1."/>
      <w:numFmt w:val="decimal"/>
      <w:start w:val="6"/>
    </w:lvl>
  </w:abstractNum>
  <w:abstractNum w:abstractNumId="35">
    <w:nsid w:val="38437FDB"/>
    <w:multiLevelType w:val="hybridMultilevel"/>
    <w:lvl w:ilvl="0">
      <w:lvlJc w:val="left"/>
      <w:lvlText w:val="(%1)"/>
      <w:numFmt w:val="lowerRoman"/>
      <w:start w:val="4"/>
    </w:lvl>
  </w:abstractNum>
  <w:abstractNum w:abstractNumId="36">
    <w:nsid w:val="7644A45C"/>
    <w:multiLevelType w:val="hybridMultilevel"/>
    <w:lvl w:ilvl="0">
      <w:lvlJc w:val="left"/>
      <w:lvlText w:val="%1."/>
      <w:numFmt w:val="decimal"/>
      <w:start w:val="7"/>
    </w:lvl>
  </w:abstractNum>
  <w:abstractNum w:abstractNumId="37">
    <w:nsid w:val="32FFF902"/>
    <w:multiLevelType w:val="hybridMultilevel"/>
    <w:lvl w:ilvl="0">
      <w:lvlJc w:val="left"/>
      <w:lvlText w:val="%1."/>
      <w:numFmt w:val="decimal"/>
      <w:start w:val="8"/>
    </w:lvl>
  </w:abstractNum>
  <w:abstractNum w:abstractNumId="38">
    <w:nsid w:val="684A481A"/>
    <w:multiLevelType w:val="hybridMultilevel"/>
    <w:lvl w:ilvl="0">
      <w:lvlJc w:val="left"/>
      <w:lvlText w:val="%1."/>
      <w:numFmt w:val="decimal"/>
      <w:start w:val="9"/>
    </w:lvl>
  </w:abstractNum>
  <w:abstractNum w:abstractNumId="39">
    <w:nsid w:val="579478FE"/>
    <w:multiLevelType w:val="hybridMultilevel"/>
    <w:lvl w:ilvl="0">
      <w:lvlJc w:val="left"/>
      <w:lvlText w:val="%1."/>
      <w:numFmt w:val="decimal"/>
      <w:start w:val="4"/>
    </w:lvl>
  </w:abstractNum>
  <w:abstractNum w:abstractNumId="40">
    <w:nsid w:val="749ABB43"/>
    <w:multiLevelType w:val="hybridMultilevel"/>
    <w:lvl w:ilvl="0">
      <w:lvlJc w:val="left"/>
      <w:lvlText w:val="(%1)"/>
      <w:numFmt w:val="lowerLetter"/>
      <w:start w:val="1"/>
    </w:lvl>
  </w:abstractNum>
  <w:abstractNum w:abstractNumId="41">
    <w:nsid w:val="3DC240FB"/>
    <w:multiLevelType w:val="hybridMultilevel"/>
    <w:lvl w:ilvl="0">
      <w:lvlJc w:val="left"/>
      <w:lvlText w:val="(%1)"/>
      <w:numFmt w:val="lowerLetter"/>
      <w:start w:val="2"/>
    </w:lvl>
  </w:abstractNum>
  <w:abstractNum w:abstractNumId="42">
    <w:nsid w:val="1BA026FA"/>
    <w:multiLevelType w:val="hybridMultilevel"/>
    <w:lvl w:ilvl="0">
      <w:lvlJc w:val="left"/>
      <w:lvlText w:val="%1."/>
      <w:numFmt w:val="decimal"/>
      <w:start w:val="5"/>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decimal"/>
      <w:start w:val="6"/>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decimal"/>
      <w:start w:val="4"/>
    </w:lvl>
  </w:abstractNum>
  <w:abstractNum w:abstractNumId="47">
    <w:nsid w:val="520EEDD1"/>
    <w:multiLevelType w:val="hybridMultilevel"/>
    <w:lvl w:ilvl="0">
      <w:lvlJc w:val="left"/>
      <w:lvlText w:val="(%1)"/>
      <w:numFmt w:val="lowerLetter"/>
      <w:start w:val="1"/>
    </w:lvl>
    <w:lvl w:ilvl="1">
      <w:lvlJc w:val="left"/>
      <w:lvlText w:val="(%2)"/>
      <w:numFmt w:val="lowerRoman"/>
      <w:start w:val="1"/>
    </w:lvl>
  </w:abstractNum>
  <w:abstractNum w:abstractNumId="48">
    <w:nsid w:val="374A3FE6"/>
    <w:multiLevelType w:val="hybridMultilevel"/>
    <w:lvl w:ilvl="0">
      <w:lvlJc w:val="left"/>
      <w:lvlText w:val="(%1)"/>
      <w:numFmt w:val="lowerLetter"/>
      <w:start w:val="2"/>
    </w:lvl>
    <w:lvl w:ilvl="1">
      <w:lvlJc w:val="left"/>
      <w:lvlText w:val="(%2)"/>
      <w:numFmt w:val="lowerRoman"/>
      <w:start w:val="1"/>
    </w:lvl>
  </w:abstractNum>
  <w:abstractNum w:abstractNumId="49">
    <w:nsid w:val="4F4EF005"/>
    <w:multiLevelType w:val="hybridMultilevel"/>
    <w:lvl w:ilvl="0">
      <w:lvlJc w:val="left"/>
      <w:lvlText w:val="%1."/>
      <w:numFmt w:val="decimal"/>
      <w:start w:val="5"/>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decimal"/>
      <w:start w:val="6"/>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3" Type="http://schemas.openxmlformats.org/officeDocument/2006/relationships/image" Target="media/image62.png"/><Relationship Id="rId99" Type="http://schemas.openxmlformats.org/officeDocument/2006/relationships/image" Target="media/image63.png"/><Relationship Id="rId100" Type="http://schemas.openxmlformats.org/officeDocument/2006/relationships/image" Target="media/image64.png"/><Relationship Id="rId114" Type="http://schemas.openxmlformats.org/officeDocument/2006/relationships/image" Target="media/image65.png"/><Relationship Id="rId115" Type="http://schemas.openxmlformats.org/officeDocument/2006/relationships/image" Target="media/image66.png"/><Relationship Id="rId116" Type="http://schemas.openxmlformats.org/officeDocument/2006/relationships/image" Target="media/image67.png"/><Relationship Id="rId117" Type="http://schemas.openxmlformats.org/officeDocument/2006/relationships/image" Target="media/image68.png"/><Relationship Id="rId118" Type="http://schemas.openxmlformats.org/officeDocument/2006/relationships/image" Target="media/image69.png"/><Relationship Id="rId119" Type="http://schemas.openxmlformats.org/officeDocument/2006/relationships/image" Target="media/image70.png"/><Relationship Id="rId120" Type="http://schemas.openxmlformats.org/officeDocument/2006/relationships/image" Target="media/image71.png"/><Relationship Id="rId121" Type="http://schemas.openxmlformats.org/officeDocument/2006/relationships/image" Target="media/image72.png"/><Relationship Id="rId122" Type="http://schemas.openxmlformats.org/officeDocument/2006/relationships/image" Target="media/image73.png"/><Relationship Id="rId123" Type="http://schemas.openxmlformats.org/officeDocument/2006/relationships/image" Target="media/image74.png"/><Relationship Id="rId124" Type="http://schemas.openxmlformats.org/officeDocument/2006/relationships/image" Target="media/image75.png"/><Relationship Id="rId125" Type="http://schemas.openxmlformats.org/officeDocument/2006/relationships/image" Target="media/image76.png"/><Relationship Id="rId126" Type="http://schemas.openxmlformats.org/officeDocument/2006/relationships/image" Target="media/image77.png"/><Relationship Id="rId127" Type="http://schemas.openxmlformats.org/officeDocument/2006/relationships/image" Target="media/image78.png"/><Relationship Id="rId128" Type="http://schemas.openxmlformats.org/officeDocument/2006/relationships/image" Target="media/image79.png"/><Relationship Id="rId129" Type="http://schemas.openxmlformats.org/officeDocument/2006/relationships/image" Target="media/image80.png"/><Relationship Id="rId130" Type="http://schemas.openxmlformats.org/officeDocument/2006/relationships/image" Target="media/image81.png"/><Relationship Id="rId131"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69" Type="http://schemas.openxmlformats.org/officeDocument/2006/relationships/hyperlink" Target="http://www.sec.gov/Archives/edgar/data/817720/000156459020003726/syna-ex21_90.htm" TargetMode="External"/><Relationship Id="rId70" Type="http://schemas.openxmlformats.org/officeDocument/2006/relationships/hyperlink" Target="http://www.sec.gov/Archives/edgar/data/817720/000156459020022985/syna-ex102_100.htm" TargetMode="External"/><Relationship Id="rId71" Type="http://schemas.openxmlformats.org/officeDocument/2006/relationships/hyperlink" Target="http://www.sec.gov/Archives/edgar/data/817720/000156459020040946/syna-ex22c_635.htm" TargetMode="External"/><Relationship Id="rId72" Type="http://schemas.openxmlformats.org/officeDocument/2006/relationships/hyperlink" Target="http://www.sec.gov/Archives/edgar/data/817720/000156459020051445/syna-ex21_160.htm" TargetMode="External"/><Relationship Id="rId73" Type="http://schemas.openxmlformats.org/officeDocument/2006/relationships/hyperlink" Target="http://www.sec.gov/Archives/edgar/data/817720/000095015302000298/p66191ex3-1.txt" TargetMode="External"/><Relationship Id="rId74" Type="http://schemas.openxmlformats.org/officeDocument/2006/relationships/hyperlink" Target="http://www.sec.gov/Archives/edgar/data/817720/000095015302001446/p66932exv3w1wb.txt" TargetMode="External"/><Relationship Id="rId75" Type="http://schemas.openxmlformats.org/officeDocument/2006/relationships/hyperlink" Target="http://www.sec.gov/Archives/edgar/data/817720/000095012310070616/c04076exv3w2.htm" TargetMode="External"/><Relationship Id="rId76" Type="http://schemas.openxmlformats.org/officeDocument/2006/relationships/hyperlink" Target="http://www.sec.gov/Archives/edgar/data/817720/000095015304002451/p69952exv3w3.txt" TargetMode="External"/><Relationship Id="rId77" Type="http://schemas.openxmlformats.org/officeDocument/2006/relationships/hyperlink" Target="http://www.sec.gov/Archives/edgar/data/817720/000095012310095290/c07159exv3w4.htm" TargetMode="External"/><Relationship Id="rId78" Type="http://schemas.openxmlformats.org/officeDocument/2006/relationships/hyperlink" Target="http://www.sec.gov/Archives/edgar/data/817720/000095015302001553/p66995exv4.txt" TargetMode="External"/><Relationship Id="rId79" Type="http://schemas.openxmlformats.org/officeDocument/2006/relationships/hyperlink" Target="http://www.sec.gov/Archives/edgar/data/817720/000119312517213349/d394134dex41.htm" TargetMode="External"/><Relationship Id="rId80" Type="http://schemas.openxmlformats.org/officeDocument/2006/relationships/hyperlink" Target="http://www.sec.gov/Archives/edgar/data/817720/000156459017017839/syna-ex43_467.htm" TargetMode="External"/><Relationship Id="rId81" Type="http://schemas.openxmlformats.org/officeDocument/2006/relationships/hyperlink" Target="http://www.sec.gov/Archives/edgar/data/817720/000156459019032908/syna-ex44_665.htm" TargetMode="External"/><Relationship Id="rId82" Type="http://schemas.openxmlformats.org/officeDocument/2006/relationships/hyperlink" Target="http://www.sec.gov/Archives/edgar/data/817720/000119312521077766/d107594dex41.htm" TargetMode="External"/><Relationship Id="rId84" Type="http://schemas.openxmlformats.org/officeDocument/2006/relationships/hyperlink" Target="http://www.sec.gov/Archives/edgar/data/817720/000119312521077766/d107594dex101.htm" TargetMode="External"/><Relationship Id="rId85" Type="http://schemas.openxmlformats.org/officeDocument/2006/relationships/hyperlink" Target="http://www.sec.gov/Archives/edgar/data/817720/000119312519223462/d790437dex1031a.htm" TargetMode="External"/><Relationship Id="rId86" Type="http://schemas.openxmlformats.org/officeDocument/2006/relationships/hyperlink" Target="http://www.sec.gov/Archives/edgar/data/817720/000119312519223462/d790437dex1031b.htm" TargetMode="External"/><Relationship Id="rId87" Type="http://schemas.openxmlformats.org/officeDocument/2006/relationships/hyperlink" Target="http://www.sec.gov/Archives/edgar/data/817720/000119312519223462/d790437dex1031c.htm" TargetMode="External"/><Relationship Id="rId88" Type="http://schemas.openxmlformats.org/officeDocument/2006/relationships/hyperlink" Target="http://www.sec.gov/Archives/edgar/data/817720/000119312519223462/d790437dex1031d.htm" TargetMode="External"/><Relationship Id="rId89" Type="http://schemas.openxmlformats.org/officeDocument/2006/relationships/hyperlink" Target="http://www.sec.gov/Archives/edgar/data/817720/000119312519281932/d828543dex101a.htm" TargetMode="External"/><Relationship Id="rId90" Type="http://schemas.openxmlformats.org/officeDocument/2006/relationships/hyperlink" Target="http://www.sec.gov/Archives/edgar/data/817720/000119312520281023/d26729dex101.htm" TargetMode="External"/><Relationship Id="rId91" Type="http://schemas.openxmlformats.org/officeDocument/2006/relationships/hyperlink" Target="http://www.sec.gov/Archives/edgar/data/817720/000119312519281932/d828543dex101b.htm" TargetMode="External"/><Relationship Id="rId92" Type="http://schemas.openxmlformats.org/officeDocument/2006/relationships/hyperlink" Target="http://www.sec.gov/Archives/edgar/data/817720/000119312519281932/d828543dex101c.htm" TargetMode="External"/><Relationship Id="rId93" Type="http://schemas.openxmlformats.org/officeDocument/2006/relationships/hyperlink" Target="http://www.sec.gov/Archives/edgar/data/817720/000119312519281932/d828543dex101d.htm" TargetMode="External"/><Relationship Id="rId94" Type="http://schemas.openxmlformats.org/officeDocument/2006/relationships/hyperlink" Target="http://www.sec.gov/Archives/edgar/data/817720/000119312519281932/d828543dex102a.htm" TargetMode="External"/><Relationship Id="rId95" Type="http://schemas.openxmlformats.org/officeDocument/2006/relationships/hyperlink" Target="http://www.sec.gov/Archives/edgar/data/817720/000119312516751582/d249304dex101.htm" TargetMode="External"/><Relationship Id="rId96" Type="http://schemas.openxmlformats.org/officeDocument/2006/relationships/hyperlink" Target="http://www.sec.gov/Archives/edgar/data/817720/000156459017017839/syna-ex1024b_468.htm" TargetMode="External"/><Relationship Id="rId97" Type="http://schemas.openxmlformats.org/officeDocument/2006/relationships/hyperlink" Target="http://www.sec.gov/Archives/edgar/data/817720/000095012310095290/c07159exv10w24wc.htm" TargetMode="External"/><Relationship Id="rId98" Type="http://schemas.openxmlformats.org/officeDocument/2006/relationships/hyperlink" Target="http://www.sec.gov/Archives/edgar/data/817720/000156459017017839/syna-ex1024d_469.htm" TargetMode="External"/><Relationship Id="rId101" Type="http://schemas.openxmlformats.org/officeDocument/2006/relationships/hyperlink" Target="http://www.sec.gov/Archives/edgar/data/817720/000156459018001689/syna-ex1024e_42.htm" TargetMode="External"/><Relationship Id="rId102" Type="http://schemas.openxmlformats.org/officeDocument/2006/relationships/hyperlink" Target="http://www.sec.gov/Archives/edgar/data/817720/000156459018001689/syna-ex1024f_41.htm" TargetMode="External"/><Relationship Id="rId103" Type="http://schemas.openxmlformats.org/officeDocument/2006/relationships/hyperlink" Target="http://www.sec.gov/Archives/edgar/data/817720/000156459019032908/syna-ex1026_261.htm" TargetMode="External"/><Relationship Id="rId104" Type="http://schemas.openxmlformats.org/officeDocument/2006/relationships/hyperlink" Target="http://www.sec.gov/Archives/edgar/data/817720/000156459019032908/syna-ex1027_260.htm" TargetMode="External"/><Relationship Id="rId105" Type="http://schemas.openxmlformats.org/officeDocument/2006/relationships/hyperlink" Target="http://www.sec.gov/Archives/edgar/data/817720/000119312516593183/d192591dex1032.htm" TargetMode="External"/><Relationship Id="rId106" Type="http://schemas.openxmlformats.org/officeDocument/2006/relationships/hyperlink" Target="http://www.sec.gov/Archives/edgar/data/817720/000156459019018089/syna-ex101_33.htm" TargetMode="External"/><Relationship Id="rId107" Type="http://schemas.openxmlformats.org/officeDocument/2006/relationships/hyperlink" Target="http://www.sec.gov/Archives/edgar/data/817720/000156459019032908/syna-ex1033_524.htm" TargetMode="External"/><Relationship Id="rId108" Type="http://schemas.openxmlformats.org/officeDocument/2006/relationships/hyperlink" Target="http://www.sec.gov/Archives/edgar/data/817720/000156459019041858/syna-ex101_81.htm" TargetMode="External"/><Relationship Id="rId109" Type="http://schemas.openxmlformats.org/officeDocument/2006/relationships/hyperlink" Target="http://www.sec.gov/Archives/edgar/data/817720/000156459020003726/syna-ex101_91.htm" TargetMode="External"/><Relationship Id="rId110" Type="http://schemas.openxmlformats.org/officeDocument/2006/relationships/hyperlink" Target="http://www.sec.gov/Archives/edgar/data/817720/000156459020040946/syna-ex1013_314.htm" TargetMode="External"/><Relationship Id="rId111" Type="http://schemas.openxmlformats.org/officeDocument/2006/relationships/hyperlink" Target="http://www.sec.gov/Archives/edgar/data/817720/000156459020040946/syna-ex1014_313.htm" TargetMode="External"/><Relationship Id="rId112" Type="http://schemas.openxmlformats.org/officeDocument/2006/relationships/hyperlink" Target="http://www.sec.gov/Archives/edgar/data/817720/000156459020051445/syna-ex102_108.htm" TargetMode="External"/><Relationship Id="rId113" Type="http://schemas.openxmlformats.org/officeDocument/2006/relationships/hyperlink" Target="http://www.sec.gov/Archives/edgar/data/817720/000156459020051445/syna-ex103_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2021-08-23T05:20:38Z</dcterms:created>
  <dcterms:modified xsi:type="dcterms:W3CDTF">2021-08-23T05:20:38Z</dcterms:modified>
</cp:coreProperties>
</file>